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2020年度</w:t>
      </w:r>
      <w:r>
        <w:rPr>
          <w:rFonts w:hint="eastAsia" w:ascii="方正小标宋简体" w:hAnsi="方正小标宋简体" w:eastAsia="方正小标宋简体" w:cs="方正小标宋简体"/>
          <w:b/>
          <w:bCs/>
          <w:sz w:val="44"/>
          <w:szCs w:val="44"/>
        </w:rPr>
        <w:t>市公共交通总公司成本规制补贴</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项目</w:t>
      </w:r>
      <w:r>
        <w:rPr>
          <w:rFonts w:hint="eastAsia" w:ascii="方正小标宋简体" w:hAnsi="方正小标宋简体" w:eastAsia="方正小标宋简体" w:cs="方正小标宋简体"/>
          <w:b/>
          <w:bCs/>
          <w:sz w:val="44"/>
          <w:szCs w:val="44"/>
        </w:rPr>
        <w:t>绩效评价报告</w:t>
      </w:r>
    </w:p>
    <w:p>
      <w:pPr>
        <w:pStyle w:val="2"/>
        <w:keepNext w:val="0"/>
        <w:keepLines w:val="0"/>
        <w:pageBreakBefore w:val="0"/>
        <w:widowControl w:val="0"/>
        <w:kinsoku/>
        <w:wordWrap/>
        <w:overflowPunct/>
        <w:topLinePunct w:val="0"/>
        <w:autoSpaceDE/>
        <w:autoSpaceDN/>
        <w:bidi w:val="0"/>
        <w:adjustRightInd/>
        <w:spacing w:beforeLines="0" w:afterLines="0" w:line="56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3" w:firstLineChars="200"/>
        <w:textAlignment w:val="auto"/>
        <w:outlineLvl w:val="0"/>
        <w:rPr>
          <w:rFonts w:ascii="Times New Roman" w:hAnsi="Times New Roman" w:eastAsia="黑体" w:cs="Times New Roman"/>
          <w:b/>
          <w:bCs/>
          <w:sz w:val="32"/>
          <w:szCs w:val="32"/>
        </w:rPr>
      </w:pPr>
      <w:bookmarkStart w:id="0" w:name="_Toc19376"/>
      <w:bookmarkStart w:id="1" w:name="_Toc1358"/>
      <w:r>
        <w:rPr>
          <w:rFonts w:ascii="Times New Roman" w:hAnsi="Times New Roman" w:eastAsia="黑体" w:cs="Times New Roman"/>
          <w:b/>
          <w:bCs/>
          <w:sz w:val="32"/>
          <w:szCs w:val="32"/>
        </w:rPr>
        <w:t>评价项目概要</w:t>
      </w:r>
      <w:bookmarkEnd w:id="0"/>
      <w:bookmarkEnd w:id="1"/>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3" w:firstLineChars="200"/>
        <w:textAlignment w:val="auto"/>
        <w:outlineLvl w:val="1"/>
        <w:rPr>
          <w:rFonts w:ascii="仿宋" w:hAnsi="仿宋" w:eastAsia="仿宋" w:cs="仿宋"/>
          <w:b/>
          <w:bCs/>
          <w:color w:val="000000"/>
          <w:sz w:val="32"/>
          <w:szCs w:val="32"/>
        </w:rPr>
      </w:pPr>
      <w:bookmarkStart w:id="2" w:name="_Toc32520"/>
      <w:bookmarkStart w:id="3" w:name="_Toc10901"/>
      <w:r>
        <w:rPr>
          <w:rFonts w:hint="eastAsia" w:ascii="仿宋" w:hAnsi="仿宋" w:eastAsia="仿宋" w:cs="仿宋"/>
          <w:b/>
          <w:bCs/>
          <w:color w:val="000000"/>
          <w:sz w:val="32"/>
          <w:szCs w:val="32"/>
        </w:rPr>
        <w:t>项目概况</w:t>
      </w:r>
      <w:bookmarkEnd w:id="2"/>
      <w:bookmarkEnd w:id="3"/>
    </w:p>
    <w:p>
      <w:pPr>
        <w:keepNext w:val="0"/>
        <w:keepLines w:val="0"/>
        <w:pageBreakBefore w:val="0"/>
        <w:widowControl w:val="0"/>
        <w:numPr>
          <w:ilvl w:val="255"/>
          <w:numId w:val="0"/>
        </w:numPr>
        <w:kinsoku/>
        <w:wordWrap/>
        <w:overflowPunct/>
        <w:topLinePunct w:val="0"/>
        <w:autoSpaceDE/>
        <w:autoSpaceDN/>
        <w:bidi w:val="0"/>
        <w:adjustRightInd/>
        <w:spacing w:line="560" w:lineRule="exact"/>
        <w:ind w:firstLine="643" w:firstLineChars="200"/>
        <w:textAlignment w:val="auto"/>
        <w:outlineLvl w:val="2"/>
        <w:rPr>
          <w:rFonts w:ascii="仿宋" w:hAnsi="仿宋" w:eastAsia="仿宋" w:cs="仿宋"/>
          <w:b/>
          <w:bCs/>
          <w:color w:val="000000" w:themeColor="text1"/>
          <w:sz w:val="32"/>
          <w:szCs w:val="32"/>
          <w14:textFill>
            <w14:solidFill>
              <w14:schemeClr w14:val="tx1"/>
            </w14:solidFill>
          </w14:textFill>
        </w:rPr>
      </w:pPr>
      <w:bookmarkStart w:id="4" w:name="_Toc8208"/>
      <w:bookmarkStart w:id="5" w:name="_Toc9961"/>
      <w:r>
        <w:rPr>
          <w:rFonts w:hint="eastAsia" w:ascii="仿宋" w:hAnsi="仿宋" w:eastAsia="仿宋" w:cs="仿宋"/>
          <w:b/>
          <w:bCs/>
          <w:color w:val="000000" w:themeColor="text1"/>
          <w:sz w:val="32"/>
          <w:szCs w:val="32"/>
          <w14:textFill>
            <w14:solidFill>
              <w14:schemeClr w14:val="tx1"/>
            </w14:solidFill>
          </w14:textFill>
        </w:rPr>
        <w:t>1.项目背景</w:t>
      </w:r>
      <w:bookmarkEnd w:id="4"/>
      <w:bookmarkEnd w:id="5"/>
    </w:p>
    <w:p>
      <w:pPr>
        <w:keepNext w:val="0"/>
        <w:keepLines w:val="0"/>
        <w:pageBreakBefore w:val="0"/>
        <w:widowControl w:val="0"/>
        <w:numPr>
          <w:ilvl w:val="255"/>
          <w:numId w:val="0"/>
        </w:numPr>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仿宋_GB2312" w:cs="Times New Roman"/>
          <w:color w:val="000000" w:themeColor="text1"/>
          <w:sz w:val="32"/>
          <w:szCs w:val="32"/>
          <w14:textFill>
            <w14:solidFill>
              <w14:schemeClr w14:val="tx1"/>
            </w14:solidFill>
          </w14:textFill>
        </w:rPr>
      </w:pPr>
      <w:bookmarkStart w:id="6" w:name="_Toc804"/>
      <w:bookmarkStart w:id="7" w:name="_Toc3215"/>
      <w:r>
        <w:rPr>
          <w:rFonts w:hint="eastAsia" w:ascii="Times New Roman" w:hAnsi="Times New Roman" w:eastAsia="仿宋_GB2312" w:cs="Times New Roman"/>
          <w:color w:val="000000" w:themeColor="text1"/>
          <w:sz w:val="32"/>
          <w:szCs w:val="32"/>
          <w14:textFill>
            <w14:solidFill>
              <w14:schemeClr w14:val="tx1"/>
            </w14:solidFill>
          </w14:textFill>
        </w:rPr>
        <w:t>2018年4月14日，汕头市人民政府办公室《市政府常务会议决定事项通知》（汕府办会函〔2018〕2209号），为了保障购置的600辆新能源公交车投入使用后公交线路的正常运营，预拨付成本规制补贴资金2000万元。根据“汕国资函〔2018〕407号”文，上述600辆新能源公交车其中60辆无偿调拨给汕头市汕运公共交通有限公司，由汕头市公共交通总公司运营剩下540辆。</w:t>
      </w:r>
    </w:p>
    <w:p>
      <w:pPr>
        <w:keepNext w:val="0"/>
        <w:keepLines w:val="0"/>
        <w:pageBreakBefore w:val="0"/>
        <w:widowControl w:val="0"/>
        <w:numPr>
          <w:ilvl w:val="255"/>
          <w:numId w:val="0"/>
        </w:numPr>
        <w:kinsoku/>
        <w:wordWrap/>
        <w:overflowPunct/>
        <w:topLinePunct w:val="0"/>
        <w:autoSpaceDE/>
        <w:autoSpaceDN/>
        <w:bidi w:val="0"/>
        <w:adjustRightInd/>
        <w:spacing w:line="560" w:lineRule="exact"/>
        <w:ind w:firstLine="643" w:firstLineChars="200"/>
        <w:textAlignment w:val="auto"/>
        <w:outlineLvl w:val="2"/>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2.项目资金投入和使用情况</w:t>
      </w:r>
      <w:bookmarkEnd w:id="6"/>
      <w:bookmarkEnd w:id="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公交公司成本规制</w:t>
      </w:r>
      <w:r>
        <w:rPr>
          <w:rFonts w:ascii="Times New Roman" w:hAnsi="Times New Roman" w:eastAsia="仿宋_GB2312" w:cs="Times New Roman"/>
          <w:color w:val="000000" w:themeColor="text1"/>
          <w:sz w:val="32"/>
          <w:szCs w:val="32"/>
          <w14:textFill>
            <w14:solidFill>
              <w14:schemeClr w14:val="tx1"/>
            </w14:solidFill>
          </w14:textFill>
        </w:rPr>
        <w:t>项目预算资金安排</w:t>
      </w:r>
      <w:r>
        <w:rPr>
          <w:rFonts w:hint="eastAsia" w:ascii="Times New Roman" w:hAnsi="Times New Roman" w:eastAsia="仿宋_GB2312" w:cs="Times New Roman"/>
          <w:color w:val="000000" w:themeColor="text1"/>
          <w:sz w:val="32"/>
          <w:szCs w:val="32"/>
          <w14:textFill>
            <w14:solidFill>
              <w14:schemeClr w14:val="tx1"/>
            </w14:solidFill>
          </w14:textFill>
        </w:rPr>
        <w:t>1337.13</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（汕市财预〔2020〕2号批准），收回财政存量资金安排662.87万元</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预算单位为汕头市人民政府国有资产监督管理委员会。2020</w:t>
      </w:r>
      <w:r>
        <w:rPr>
          <w:rFonts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2月</w:t>
      </w:r>
      <w:r>
        <w:rPr>
          <w:rFonts w:ascii="Times New Roman" w:hAnsi="Times New Roman" w:eastAsia="仿宋_GB2312" w:cs="Times New Roman"/>
          <w:color w:val="000000" w:themeColor="text1"/>
          <w:sz w:val="32"/>
          <w:szCs w:val="32"/>
          <w14:textFill>
            <w14:solidFill>
              <w14:schemeClr w14:val="tx1"/>
            </w14:solidFill>
          </w14:textFill>
        </w:rPr>
        <w:t>至</w:t>
      </w:r>
      <w:r>
        <w:rPr>
          <w:rFonts w:hint="eastAsia" w:ascii="Times New Roman" w:hAnsi="Times New Roman" w:eastAsia="仿宋_GB2312" w:cs="Times New Roman"/>
          <w:color w:val="000000" w:themeColor="text1"/>
          <w:sz w:val="32"/>
          <w:szCs w:val="32"/>
          <w14:textFill>
            <w14:solidFill>
              <w14:schemeClr w14:val="tx1"/>
            </w14:solidFill>
          </w14:textFill>
        </w:rPr>
        <w:t>12月汕头市财政局</w:t>
      </w:r>
      <w:r>
        <w:rPr>
          <w:rFonts w:ascii="Times New Roman" w:hAnsi="Times New Roman" w:eastAsia="仿宋_GB2312" w:cs="Times New Roman"/>
          <w:color w:val="000000" w:themeColor="text1"/>
          <w:sz w:val="32"/>
          <w:szCs w:val="32"/>
          <w14:textFill>
            <w14:solidFill>
              <w14:schemeClr w14:val="tx1"/>
            </w14:solidFill>
          </w14:textFill>
        </w:rPr>
        <w:t>实际拨付资金</w:t>
      </w:r>
      <w:r>
        <w:rPr>
          <w:rFonts w:hint="eastAsia" w:ascii="Times New Roman" w:hAnsi="Times New Roman" w:eastAsia="仿宋_GB2312" w:cs="Times New Roman"/>
          <w:color w:val="000000" w:themeColor="text1"/>
          <w:sz w:val="32"/>
          <w:szCs w:val="32"/>
          <w14:textFill>
            <w14:solidFill>
              <w14:schemeClr w14:val="tx1"/>
            </w14:solidFill>
          </w14:textFill>
        </w:rPr>
        <w:t>2000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，公交公司成本规制项目</w:t>
      </w:r>
      <w:r>
        <w:rPr>
          <w:rFonts w:ascii="Times New Roman" w:hAnsi="Times New Roman" w:eastAsia="仿宋_GB2312" w:cs="Times New Roman"/>
          <w:color w:val="000000" w:themeColor="text1"/>
          <w:sz w:val="32"/>
          <w:szCs w:val="32"/>
          <w14:textFill>
            <w14:solidFill>
              <w14:schemeClr w14:val="tx1"/>
            </w14:solidFill>
          </w14:textFill>
        </w:rPr>
        <w:t>资金总体</w:t>
      </w:r>
      <w:r>
        <w:rPr>
          <w:rFonts w:hint="eastAsia" w:ascii="Times New Roman" w:hAnsi="Times New Roman" w:eastAsia="仿宋_GB2312" w:cs="Times New Roman"/>
          <w:color w:val="000000" w:themeColor="text1"/>
          <w:sz w:val="32"/>
          <w:szCs w:val="32"/>
          <w14:textFill>
            <w14:solidFill>
              <w14:schemeClr w14:val="tx1"/>
            </w14:solidFill>
          </w14:textFill>
        </w:rPr>
        <w:t>拨付占预算100%</w:t>
      </w:r>
      <w:bookmarkStart w:id="8" w:name="_Toc32279"/>
      <w:bookmarkStart w:id="9" w:name="_Toc5612"/>
      <w:r>
        <w:rPr>
          <w:rFonts w:hint="eastAsia" w:ascii="Times New Roman" w:hAnsi="Times New Roman" w:eastAsia="仿宋_GB2312" w:cs="Times New Roman"/>
          <w:color w:val="000000" w:themeColor="text1"/>
          <w:sz w:val="32"/>
          <w:szCs w:val="32"/>
          <w14:textFill>
            <w14:solidFill>
              <w14:schemeClr w14:val="tx1"/>
            </w14:solidFill>
          </w14:textFill>
        </w:rPr>
        <w:t>。评价基准日为2021年3月31日。</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3" w:firstLineChars="200"/>
        <w:textAlignment w:val="auto"/>
        <w:outlineLvl w:val="1"/>
        <w:rPr>
          <w:rFonts w:ascii="仿宋" w:hAnsi="仿宋" w:eastAsia="仿宋" w:cs="仿宋"/>
          <w:b/>
          <w:bCs/>
          <w:color w:val="000000"/>
          <w:sz w:val="32"/>
          <w:szCs w:val="32"/>
        </w:rPr>
      </w:pPr>
      <w:r>
        <w:rPr>
          <w:rFonts w:hint="eastAsia" w:ascii="仿宋" w:hAnsi="仿宋" w:eastAsia="仿宋" w:cs="仿宋"/>
          <w:b/>
          <w:bCs/>
          <w:color w:val="000000"/>
          <w:sz w:val="32"/>
          <w:szCs w:val="32"/>
        </w:rPr>
        <w:t>项目绩效目标</w:t>
      </w:r>
      <w:bookmarkEnd w:id="8"/>
      <w:bookmarkEnd w:id="9"/>
    </w:p>
    <w:p>
      <w:pPr>
        <w:pStyle w:val="2"/>
        <w:keepNext w:val="0"/>
        <w:keepLines w:val="0"/>
        <w:pageBreakBefore w:val="0"/>
        <w:widowControl w:val="0"/>
        <w:kinsoku/>
        <w:wordWrap/>
        <w:overflowPunct/>
        <w:topLinePunct w:val="0"/>
        <w:autoSpaceDE/>
        <w:autoSpaceDN/>
        <w:bidi w:val="0"/>
        <w:adjustRightInd/>
        <w:spacing w:beforeLines="0" w:afterLines="0" w:line="560" w:lineRule="exact"/>
        <w:ind w:firstLine="640"/>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公交成本规制政策尚未出台，预算未制定绩效目标，根据汕头市公共交通总公司自评报告，公交公司成本规制项目应实现以下目标：确保2018年新购600辆比亚迪纯电动公交车正常上路营运，确实缓解群众出行难问题。</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3" w:firstLineChars="200"/>
        <w:textAlignment w:val="auto"/>
        <w:outlineLvl w:val="1"/>
        <w:rPr>
          <w:rFonts w:ascii="仿宋" w:hAnsi="仿宋" w:eastAsia="仿宋" w:cs="仿宋"/>
          <w:b/>
          <w:bCs/>
          <w:color w:val="000000"/>
          <w:sz w:val="32"/>
          <w:szCs w:val="32"/>
        </w:rPr>
      </w:pPr>
      <w:bookmarkStart w:id="10" w:name="_Toc11318"/>
      <w:bookmarkStart w:id="11" w:name="_Toc613"/>
      <w:r>
        <w:rPr>
          <w:rFonts w:ascii="仿宋" w:hAnsi="仿宋" w:eastAsia="仿宋" w:cs="仿宋"/>
          <w:b/>
          <w:bCs/>
          <w:color w:val="000000"/>
          <w:sz w:val="32"/>
          <w:szCs w:val="32"/>
        </w:rPr>
        <w:t>评价原则与评价方法</w:t>
      </w:r>
      <w:bookmarkEnd w:id="10"/>
      <w:bookmarkEnd w:id="11"/>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根据汕头市财政局《关于开展2021年市级第二批预算项目支出重点绩效评价工作的通知》（汕市财法函〔2021〕86号）以及有关</w:t>
      </w:r>
      <w:r>
        <w:rPr>
          <w:rFonts w:ascii="Times New Roman" w:hAnsi="Times New Roman" w:eastAsia="仿宋_GB2312" w:cs="Times New Roman"/>
          <w:color w:val="000000" w:themeColor="text1"/>
          <w:sz w:val="32"/>
          <w:szCs w:val="32"/>
          <w14:textFill>
            <w14:solidFill>
              <w14:schemeClr w14:val="tx1"/>
            </w14:solidFill>
          </w14:textFill>
        </w:rPr>
        <w:t>规定，根据</w:t>
      </w:r>
      <w:r>
        <w:rPr>
          <w:rFonts w:hint="eastAsia" w:ascii="Times New Roman" w:hAnsi="Times New Roman" w:eastAsia="仿宋_GB2312" w:cs="Times New Roman"/>
          <w:color w:val="000000" w:themeColor="text1"/>
          <w:sz w:val="32"/>
          <w:szCs w:val="32"/>
          <w14:textFill>
            <w14:solidFill>
              <w14:schemeClr w14:val="tx1"/>
            </w14:solidFill>
          </w14:textFill>
        </w:rPr>
        <w:t>汕头市公共交通总公司提供的有关资料</w:t>
      </w:r>
      <w:r>
        <w:rPr>
          <w:rFonts w:ascii="Times New Roman" w:hAnsi="Times New Roman" w:eastAsia="仿宋_GB2312" w:cs="Times New Roman"/>
          <w:color w:val="000000" w:themeColor="text1"/>
          <w:sz w:val="32"/>
          <w:szCs w:val="32"/>
          <w14:textFill>
            <w14:solidFill>
              <w14:schemeClr w14:val="tx1"/>
            </w14:solidFill>
          </w14:textFill>
        </w:rPr>
        <w:t>，采用目标预定与实施效果比较法、</w:t>
      </w:r>
      <w:r>
        <w:rPr>
          <w:rFonts w:hint="eastAsia" w:ascii="Times New Roman" w:hAnsi="Times New Roman" w:eastAsia="仿宋_GB2312" w:cs="Times New Roman"/>
          <w:color w:val="000000" w:themeColor="text1"/>
          <w:sz w:val="32"/>
          <w:szCs w:val="32"/>
          <w14:textFill>
            <w14:solidFill>
              <w14:schemeClr w14:val="tx1"/>
            </w14:solidFill>
          </w14:textFill>
        </w:rPr>
        <w:t>案卷研究、</w:t>
      </w:r>
      <w:r>
        <w:rPr>
          <w:rFonts w:ascii="Times New Roman" w:hAnsi="Times New Roman" w:eastAsia="仿宋_GB2312" w:cs="Times New Roman"/>
          <w:color w:val="000000" w:themeColor="text1"/>
          <w:sz w:val="32"/>
          <w:szCs w:val="32"/>
          <w14:textFill>
            <w14:solidFill>
              <w14:schemeClr w14:val="tx1"/>
            </w14:solidFill>
          </w14:textFill>
        </w:rPr>
        <w:t>问卷调查法、抽样调查法</w:t>
      </w:r>
      <w:r>
        <w:rPr>
          <w:rFonts w:hint="eastAsia" w:ascii="Times New Roman" w:hAnsi="Times New Roman" w:eastAsia="仿宋_GB2312" w:cs="Times New Roman"/>
          <w:color w:val="000000" w:themeColor="text1"/>
          <w:sz w:val="32"/>
          <w:szCs w:val="32"/>
          <w14:textFill>
            <w14:solidFill>
              <w14:schemeClr w14:val="tx1"/>
            </w14:solidFill>
          </w14:textFill>
        </w:rPr>
        <w:t>以及实地调研</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用定量指标分析，并辅以部分定性分析</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3" w:firstLineChars="200"/>
        <w:textAlignment w:val="auto"/>
        <w:outlineLvl w:val="0"/>
        <w:rPr>
          <w:rFonts w:ascii="Times New Roman" w:hAnsi="Times New Roman" w:eastAsia="黑体" w:cs="Times New Roman"/>
          <w:b/>
          <w:bCs/>
          <w:sz w:val="32"/>
          <w:szCs w:val="32"/>
        </w:rPr>
      </w:pPr>
      <w:bookmarkStart w:id="12" w:name="_Toc12292"/>
      <w:bookmarkStart w:id="13" w:name="_Toc28210"/>
      <w:r>
        <w:rPr>
          <w:rFonts w:ascii="Times New Roman" w:hAnsi="Times New Roman" w:eastAsia="黑体" w:cs="Times New Roman"/>
          <w:b/>
          <w:bCs/>
          <w:sz w:val="32"/>
          <w:szCs w:val="32"/>
        </w:rPr>
        <w:t>评价结论与绩效分析</w:t>
      </w:r>
      <w:bookmarkEnd w:id="12"/>
      <w:bookmarkEnd w:id="1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通过分析自评材料、项目实施单位提供的相关资料、现场核实和问卷调查等情况，评价小组从投入、过程、产出、效益等4个一级指标、9个二级指标、16个三级指标对项目综合评价，得分80分，绩效等级为“良”。</w:t>
      </w:r>
    </w:p>
    <w:p>
      <w:pPr>
        <w:spacing w:line="360" w:lineRule="auto"/>
        <w:jc w:val="center"/>
        <w:rPr>
          <w:rFonts w:ascii="Times New Roman" w:hAnsi="Times New Roman" w:eastAsia="黑体" w:cs="Times New Roman"/>
          <w:sz w:val="32"/>
          <w:szCs w:val="32"/>
        </w:rPr>
      </w:pPr>
      <w:bookmarkStart w:id="14" w:name="_Toc8073"/>
      <w:r>
        <w:rPr>
          <w:rFonts w:hint="eastAsia" w:ascii="Times New Roman" w:hAnsi="Times New Roman" w:eastAsia="黑体" w:cs="Times New Roman"/>
          <w:sz w:val="32"/>
          <w:szCs w:val="32"/>
        </w:rPr>
        <w:t>2-1</w:t>
      </w:r>
      <w:r>
        <w:rPr>
          <w:rFonts w:ascii="Times New Roman" w:hAnsi="Times New Roman" w:eastAsia="黑体" w:cs="Times New Roman"/>
          <w:sz w:val="32"/>
          <w:szCs w:val="32"/>
        </w:rPr>
        <w:t>评价情况总表</w:t>
      </w:r>
      <w:bookmarkEnd w:id="14"/>
    </w:p>
    <w:tbl>
      <w:tblPr>
        <w:tblStyle w:val="15"/>
        <w:tblW w:w="8080" w:type="dxa"/>
        <w:tblInd w:w="299" w:type="dxa"/>
        <w:tblLayout w:type="fixed"/>
        <w:tblCellMar>
          <w:top w:w="0" w:type="dxa"/>
          <w:left w:w="0" w:type="dxa"/>
          <w:bottom w:w="0" w:type="dxa"/>
          <w:right w:w="0" w:type="dxa"/>
        </w:tblCellMar>
      </w:tblPr>
      <w:tblGrid>
        <w:gridCol w:w="2268"/>
        <w:gridCol w:w="1900"/>
        <w:gridCol w:w="1927"/>
        <w:gridCol w:w="1985"/>
      </w:tblGrid>
      <w:tr>
        <w:tblPrEx>
          <w:tblCellMar>
            <w:top w:w="0" w:type="dxa"/>
            <w:left w:w="0" w:type="dxa"/>
            <w:bottom w:w="0" w:type="dxa"/>
            <w:right w:w="0" w:type="dxa"/>
          </w:tblCellMar>
        </w:tblPrEx>
        <w:trPr>
          <w:trHeight w:val="518"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8"/>
                <w:szCs w:val="32"/>
              </w:rPr>
            </w:pPr>
            <w:r>
              <w:rPr>
                <w:rFonts w:hint="eastAsia" w:ascii="Times New Roman" w:hAnsi="Times New Roman" w:eastAsia="仿宋_GB2312" w:cs="Times New Roman"/>
                <w:b/>
                <w:bCs/>
                <w:sz w:val="28"/>
                <w:szCs w:val="32"/>
              </w:rPr>
              <w:t>评价因素</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分值</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评价得分</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得分率</w:t>
            </w:r>
          </w:p>
        </w:tc>
      </w:tr>
      <w:tr>
        <w:tblPrEx>
          <w:tblCellMar>
            <w:top w:w="0" w:type="dxa"/>
            <w:left w:w="0" w:type="dxa"/>
            <w:bottom w:w="0" w:type="dxa"/>
            <w:right w:w="0" w:type="dxa"/>
          </w:tblCellMar>
        </w:tblPrEx>
        <w:trPr>
          <w:trHeight w:val="401"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8"/>
                <w:szCs w:val="32"/>
                <w14:textFill>
                  <w14:solidFill>
                    <w14:schemeClr w14:val="tx1"/>
                  </w14:solidFill>
                </w14:textFill>
              </w:rPr>
            </w:pPr>
            <w:r>
              <w:rPr>
                <w:rFonts w:ascii="Times New Roman" w:hAnsi="Times New Roman" w:eastAsia="仿宋_GB2312" w:cs="Times New Roman"/>
                <w:bCs/>
                <w:color w:val="000000" w:themeColor="text1"/>
                <w:sz w:val="28"/>
                <w:szCs w:val="32"/>
                <w14:textFill>
                  <w14:solidFill>
                    <w14:schemeClr w14:val="tx1"/>
                  </w14:solidFill>
                </w14:textFill>
              </w:rPr>
              <w:t>评价总得分</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Cs/>
                <w:color w:val="000000" w:themeColor="text1"/>
                <w:sz w:val="28"/>
                <w:szCs w:val="32"/>
                <w14:textFill>
                  <w14:solidFill>
                    <w14:schemeClr w14:val="tx1"/>
                  </w14:solidFill>
                </w14:textFill>
              </w:rPr>
            </w:pPr>
            <w:r>
              <w:rPr>
                <w:rFonts w:ascii="Times New Roman" w:hAnsi="Times New Roman" w:eastAsia="仿宋_GB2312" w:cs="Times New Roman"/>
                <w:bCs/>
                <w:color w:val="000000" w:themeColor="text1"/>
                <w:sz w:val="28"/>
                <w:szCs w:val="32"/>
                <w14:textFill>
                  <w14:solidFill>
                    <w14:schemeClr w14:val="tx1"/>
                  </w14:solidFill>
                </w14:textFill>
              </w:rPr>
              <w:t>100</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Cs/>
                <w:color w:val="000000" w:themeColor="text1"/>
                <w:sz w:val="28"/>
                <w:szCs w:val="32"/>
                <w14:textFill>
                  <w14:solidFill>
                    <w14:schemeClr w14:val="tx1"/>
                  </w14:solidFill>
                </w14:textFill>
              </w:rPr>
            </w:pPr>
            <w:r>
              <w:rPr>
                <w:rFonts w:ascii="Times New Roman" w:hAnsi="Times New Roman" w:eastAsia="仿宋_GB2312" w:cs="Times New Roman"/>
                <w:bCs/>
                <w:color w:val="000000" w:themeColor="text1"/>
                <w:sz w:val="28"/>
                <w:szCs w:val="32"/>
                <w14:textFill>
                  <w14:solidFill>
                    <w14:schemeClr w14:val="tx1"/>
                  </w14:solidFill>
                </w14:textFill>
              </w:rPr>
              <w:fldChar w:fldCharType="begin"/>
            </w:r>
            <w:r>
              <w:rPr>
                <w:rFonts w:ascii="Times New Roman" w:hAnsi="Times New Roman" w:eastAsia="仿宋_GB2312" w:cs="Times New Roman"/>
                <w:bCs/>
                <w:color w:val="000000" w:themeColor="text1"/>
                <w:sz w:val="28"/>
                <w:szCs w:val="32"/>
                <w14:textFill>
                  <w14:solidFill>
                    <w14:schemeClr w14:val="tx1"/>
                  </w14:solidFill>
                </w14:textFill>
              </w:rPr>
              <w:instrText xml:space="preserve"> =SUM(below) </w:instrText>
            </w:r>
            <w:r>
              <w:rPr>
                <w:rFonts w:ascii="Times New Roman" w:hAnsi="Times New Roman" w:eastAsia="仿宋_GB2312" w:cs="Times New Roman"/>
                <w:bCs/>
                <w:color w:val="000000" w:themeColor="text1"/>
                <w:sz w:val="28"/>
                <w:szCs w:val="32"/>
                <w14:textFill>
                  <w14:solidFill>
                    <w14:schemeClr w14:val="tx1"/>
                  </w14:solidFill>
                </w14:textFill>
              </w:rPr>
              <w:fldChar w:fldCharType="separate"/>
            </w:r>
            <w:r>
              <w:rPr>
                <w:rFonts w:ascii="Times New Roman" w:hAnsi="Times New Roman" w:eastAsia="仿宋_GB2312" w:cs="Times New Roman"/>
                <w:bCs/>
                <w:color w:val="000000" w:themeColor="text1"/>
                <w:sz w:val="28"/>
                <w:szCs w:val="32"/>
                <w14:textFill>
                  <w14:solidFill>
                    <w14:schemeClr w14:val="tx1"/>
                  </w14:solidFill>
                </w14:textFill>
              </w:rPr>
              <w:t>80</w:t>
            </w:r>
            <w:r>
              <w:rPr>
                <w:rFonts w:ascii="Times New Roman" w:hAnsi="Times New Roman" w:eastAsia="仿宋_GB2312" w:cs="Times New Roman"/>
                <w:bCs/>
                <w:color w:val="000000" w:themeColor="text1"/>
                <w:sz w:val="28"/>
                <w:szCs w:val="32"/>
                <w14:textFill>
                  <w14:solidFill>
                    <w14:schemeClr w14:val="tx1"/>
                  </w14:solidFill>
                </w14:textFill>
              </w:rPr>
              <w:fldChar w:fldCharType="end"/>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bCs/>
                <w:color w:val="000000" w:themeColor="text1"/>
                <w:sz w:val="28"/>
                <w:szCs w:val="32"/>
                <w14:textFill>
                  <w14:solidFill>
                    <w14:schemeClr w14:val="tx1"/>
                  </w14:solidFill>
                </w14:textFill>
              </w:rPr>
            </w:pPr>
            <w:r>
              <w:rPr>
                <w:rFonts w:hint="eastAsia" w:ascii="Times New Roman" w:hAnsi="Times New Roman" w:eastAsia="仿宋_GB2312" w:cs="Times New Roman"/>
                <w:bCs/>
                <w:color w:val="000000" w:themeColor="text1"/>
                <w:sz w:val="28"/>
                <w:szCs w:val="32"/>
                <w14:textFill>
                  <w14:solidFill>
                    <w14:schemeClr w14:val="tx1"/>
                  </w14:solidFill>
                </w14:textFill>
              </w:rPr>
              <w:t>80.00</w:t>
            </w:r>
            <w:r>
              <w:rPr>
                <w:rFonts w:ascii="Times New Roman" w:hAnsi="Times New Roman" w:eastAsia="仿宋_GB2312" w:cs="Times New Roman"/>
                <w:bCs/>
                <w:color w:val="000000" w:themeColor="text1"/>
                <w:sz w:val="28"/>
                <w:szCs w:val="32"/>
                <w14:textFill>
                  <w14:solidFill>
                    <w14:schemeClr w14:val="tx1"/>
                  </w14:solidFill>
                </w14:textFill>
              </w:rPr>
              <w:t>%</w:t>
            </w:r>
          </w:p>
        </w:tc>
      </w:tr>
      <w:tr>
        <w:tblPrEx>
          <w:tblCellMar>
            <w:top w:w="0" w:type="dxa"/>
            <w:left w:w="0" w:type="dxa"/>
            <w:bottom w:w="0" w:type="dxa"/>
            <w:right w:w="0" w:type="dxa"/>
          </w:tblCellMar>
        </w:tblPrEx>
        <w:trPr>
          <w:trHeight w:val="377"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一、</w:t>
            </w:r>
            <w:r>
              <w:rPr>
                <w:rFonts w:ascii="Times New Roman" w:hAnsi="Times New Roman" w:eastAsia="仿宋_GB2312" w:cs="Times New Roman"/>
                <w:color w:val="000000" w:themeColor="text1"/>
                <w:sz w:val="28"/>
                <w:szCs w:val="32"/>
                <w14:textFill>
                  <w14:solidFill>
                    <w14:schemeClr w14:val="tx1"/>
                  </w14:solidFill>
                </w14:textFill>
              </w:rPr>
              <w:t>投入</w:t>
            </w:r>
            <w:r>
              <w:rPr>
                <w:rFonts w:hint="eastAsia" w:ascii="Times New Roman" w:hAnsi="Times New Roman" w:eastAsia="仿宋_GB2312" w:cs="Times New Roman"/>
                <w:color w:val="000000" w:themeColor="text1"/>
                <w:sz w:val="28"/>
                <w:szCs w:val="32"/>
                <w14:textFill>
                  <w14:solidFill>
                    <w14:schemeClr w14:val="tx1"/>
                  </w14:solidFill>
                </w14:textFill>
              </w:rPr>
              <w:t>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ascii="Times New Roman" w:hAnsi="Times New Roman" w:eastAsia="仿宋_GB2312" w:cs="Times New Roman"/>
                <w:color w:val="000000" w:themeColor="text1"/>
                <w:sz w:val="28"/>
                <w:szCs w:val="32"/>
                <w14:textFill>
                  <w14:solidFill>
                    <w14:schemeClr w14:val="tx1"/>
                  </w14:solidFill>
                </w14:textFill>
              </w:rPr>
              <w:t>4</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ascii="Times New Roman" w:hAnsi="Times New Roman" w:eastAsia="仿宋_GB2312" w:cs="Times New Roman"/>
                <w:color w:val="000000" w:themeColor="text1"/>
                <w:sz w:val="28"/>
                <w:szCs w:val="32"/>
                <w14:textFill>
                  <w14:solidFill>
                    <w14:schemeClr w14:val="tx1"/>
                  </w14:solidFill>
                </w14:textFill>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10</w:t>
            </w:r>
            <w:r>
              <w:rPr>
                <w:rFonts w:ascii="Times New Roman" w:hAnsi="Times New Roman" w:eastAsia="仿宋_GB2312" w:cs="Times New Roman"/>
                <w:color w:val="000000" w:themeColor="text1"/>
                <w:sz w:val="28"/>
                <w:szCs w:val="32"/>
                <w14:textFill>
                  <w14:solidFill>
                    <w14:schemeClr w14:val="tx1"/>
                  </w14:solidFill>
                </w14:textFill>
              </w:rPr>
              <w:t>0</w:t>
            </w:r>
            <w:r>
              <w:rPr>
                <w:rFonts w:hint="eastAsia" w:ascii="Times New Roman" w:hAnsi="Times New Roman" w:eastAsia="仿宋_GB2312" w:cs="Times New Roman"/>
                <w:color w:val="000000" w:themeColor="text1"/>
                <w:sz w:val="28"/>
                <w:szCs w:val="32"/>
                <w14:textFill>
                  <w14:solidFill>
                    <w14:schemeClr w14:val="tx1"/>
                  </w14:solidFill>
                </w14:textFill>
              </w:rPr>
              <w:t>.00</w:t>
            </w:r>
            <w:r>
              <w:rPr>
                <w:rFonts w:ascii="Times New Roman" w:hAnsi="Times New Roman" w:eastAsia="仿宋_GB2312" w:cs="Times New Roman"/>
                <w:color w:val="000000" w:themeColor="text1"/>
                <w:sz w:val="28"/>
                <w:szCs w:val="32"/>
                <w14:textFill>
                  <w14:solidFill>
                    <w14:schemeClr w14:val="tx1"/>
                  </w14:solidFill>
                </w14:textFill>
              </w:rPr>
              <w:t>%</w:t>
            </w:r>
          </w:p>
        </w:tc>
      </w:tr>
      <w:tr>
        <w:tblPrEx>
          <w:tblCellMar>
            <w:top w:w="0" w:type="dxa"/>
            <w:left w:w="0" w:type="dxa"/>
            <w:bottom w:w="0" w:type="dxa"/>
            <w:right w:w="0" w:type="dxa"/>
          </w:tblCellMar>
        </w:tblPrEx>
        <w:trPr>
          <w:trHeight w:val="380"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二、</w:t>
            </w:r>
            <w:r>
              <w:rPr>
                <w:rFonts w:ascii="Times New Roman" w:hAnsi="Times New Roman" w:eastAsia="仿宋_GB2312" w:cs="Times New Roman"/>
                <w:color w:val="000000" w:themeColor="text1"/>
                <w:sz w:val="28"/>
                <w:szCs w:val="32"/>
                <w14:textFill>
                  <w14:solidFill>
                    <w14:schemeClr w14:val="tx1"/>
                  </w14:solidFill>
                </w14:textFill>
              </w:rPr>
              <w:t>过程</w:t>
            </w:r>
            <w:r>
              <w:rPr>
                <w:rFonts w:hint="eastAsia" w:ascii="Times New Roman" w:hAnsi="Times New Roman" w:eastAsia="仿宋_GB2312" w:cs="Times New Roman"/>
                <w:color w:val="000000" w:themeColor="text1"/>
                <w:sz w:val="28"/>
                <w:szCs w:val="32"/>
                <w14:textFill>
                  <w14:solidFill>
                    <w14:schemeClr w14:val="tx1"/>
                  </w14:solidFill>
                </w14:textFill>
              </w:rPr>
              <w:t>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ascii="Times New Roman" w:hAnsi="Times New Roman" w:eastAsia="仿宋_GB2312" w:cs="Times New Roman"/>
                <w:color w:val="000000" w:themeColor="text1"/>
                <w:sz w:val="28"/>
                <w:szCs w:val="32"/>
                <w14:textFill>
                  <w14:solidFill>
                    <w14:schemeClr w14:val="tx1"/>
                  </w14:solidFill>
                </w14:textFill>
              </w:rPr>
              <w:t>20</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ascii="Times New Roman" w:hAnsi="Times New Roman" w:eastAsia="仿宋_GB2312" w:cs="Times New Roman"/>
                <w:color w:val="000000" w:themeColor="text1"/>
                <w:sz w:val="28"/>
                <w:szCs w:val="32"/>
                <w14:textFill>
                  <w14:solidFill>
                    <w14:schemeClr w14:val="tx1"/>
                  </w14:solidFill>
                </w14:textFill>
              </w:rPr>
              <w:t>17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85.00</w:t>
            </w:r>
            <w:r>
              <w:rPr>
                <w:rFonts w:ascii="Times New Roman" w:hAnsi="Times New Roman" w:eastAsia="仿宋_GB2312" w:cs="Times New Roman"/>
                <w:color w:val="000000" w:themeColor="text1"/>
                <w:sz w:val="28"/>
                <w:szCs w:val="32"/>
                <w14:textFill>
                  <w14:solidFill>
                    <w14:schemeClr w14:val="tx1"/>
                  </w14:solidFill>
                </w14:textFill>
              </w:rPr>
              <w:t>%</w:t>
            </w:r>
          </w:p>
        </w:tc>
      </w:tr>
      <w:tr>
        <w:tblPrEx>
          <w:tblCellMar>
            <w:top w:w="0" w:type="dxa"/>
            <w:left w:w="0" w:type="dxa"/>
            <w:bottom w:w="0" w:type="dxa"/>
            <w:right w:w="0" w:type="dxa"/>
          </w:tblCellMar>
        </w:tblPrEx>
        <w:trPr>
          <w:trHeight w:val="332"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三、</w:t>
            </w:r>
            <w:r>
              <w:rPr>
                <w:rFonts w:ascii="Times New Roman" w:hAnsi="Times New Roman" w:eastAsia="仿宋_GB2312" w:cs="Times New Roman"/>
                <w:color w:val="000000" w:themeColor="text1"/>
                <w:sz w:val="28"/>
                <w:szCs w:val="32"/>
                <w14:textFill>
                  <w14:solidFill>
                    <w14:schemeClr w14:val="tx1"/>
                  </w14:solidFill>
                </w14:textFill>
              </w:rPr>
              <w:t>产出</w:t>
            </w:r>
            <w:r>
              <w:rPr>
                <w:rFonts w:hint="eastAsia" w:ascii="Times New Roman" w:hAnsi="Times New Roman" w:eastAsia="仿宋_GB2312" w:cs="Times New Roman"/>
                <w:color w:val="000000" w:themeColor="text1"/>
                <w:sz w:val="28"/>
                <w:szCs w:val="32"/>
                <w14:textFill>
                  <w14:solidFill>
                    <w14:schemeClr w14:val="tx1"/>
                  </w14:solidFill>
                </w14:textFill>
              </w:rPr>
              <w:t>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36</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24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66.67</w:t>
            </w:r>
            <w:r>
              <w:rPr>
                <w:rFonts w:ascii="Times New Roman" w:hAnsi="Times New Roman" w:eastAsia="仿宋_GB2312" w:cs="Times New Roman"/>
                <w:color w:val="000000" w:themeColor="text1"/>
                <w:sz w:val="28"/>
                <w:szCs w:val="32"/>
                <w14:textFill>
                  <w14:solidFill>
                    <w14:schemeClr w14:val="tx1"/>
                  </w14:solidFill>
                </w14:textFill>
              </w:rPr>
              <w:t>%</w:t>
            </w:r>
          </w:p>
        </w:tc>
      </w:tr>
      <w:tr>
        <w:tblPrEx>
          <w:tblCellMar>
            <w:top w:w="0" w:type="dxa"/>
            <w:left w:w="0" w:type="dxa"/>
            <w:bottom w:w="0" w:type="dxa"/>
            <w:right w:w="0" w:type="dxa"/>
          </w:tblCellMar>
        </w:tblPrEx>
        <w:trPr>
          <w:trHeight w:val="90"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b/>
                <w:bCs/>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四、</w:t>
            </w:r>
            <w:r>
              <w:rPr>
                <w:rFonts w:ascii="Times New Roman" w:hAnsi="Times New Roman" w:eastAsia="仿宋_GB2312" w:cs="Times New Roman"/>
                <w:color w:val="000000" w:themeColor="text1"/>
                <w:sz w:val="28"/>
                <w:szCs w:val="32"/>
                <w14:textFill>
                  <w14:solidFill>
                    <w14:schemeClr w14:val="tx1"/>
                  </w14:solidFill>
                </w14:textFill>
              </w:rPr>
              <w:t>效益</w:t>
            </w:r>
            <w:r>
              <w:rPr>
                <w:rFonts w:hint="eastAsia" w:ascii="Times New Roman" w:hAnsi="Times New Roman" w:eastAsia="仿宋_GB2312" w:cs="Times New Roman"/>
                <w:color w:val="000000" w:themeColor="text1"/>
                <w:sz w:val="28"/>
                <w:szCs w:val="32"/>
                <w14:textFill>
                  <w14:solidFill>
                    <w14:schemeClr w14:val="tx1"/>
                  </w14:solidFill>
                </w14:textFill>
              </w:rPr>
              <w:t>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40</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34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85.00</w:t>
            </w:r>
            <w:r>
              <w:rPr>
                <w:rFonts w:ascii="Times New Roman" w:hAnsi="Times New Roman" w:eastAsia="仿宋_GB2312" w:cs="Times New Roman"/>
                <w:color w:val="000000" w:themeColor="text1"/>
                <w:sz w:val="28"/>
                <w:szCs w:val="32"/>
                <w14:textFill>
                  <w14:solidFill>
                    <w14:schemeClr w14:val="tx1"/>
                  </w14:solidFill>
                </w14:textFill>
              </w:rPr>
              <w:t>%</w:t>
            </w:r>
          </w:p>
        </w:tc>
      </w:tr>
      <w:tr>
        <w:tblPrEx>
          <w:tblCellMar>
            <w:top w:w="0" w:type="dxa"/>
            <w:left w:w="0" w:type="dxa"/>
            <w:bottom w:w="0" w:type="dxa"/>
            <w:right w:w="0" w:type="dxa"/>
          </w:tblCellMar>
        </w:tblPrEx>
        <w:trPr>
          <w:trHeight w:val="222" w:hRule="atLeast"/>
          <w:tblHeader/>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五、加减分指标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w:t>
            </w:r>
            <w:r>
              <w:rPr>
                <w:rFonts w:ascii="Times New Roman" w:hAnsi="Times New Roman" w:eastAsia="仿宋_GB2312" w:cs="Times New Roman"/>
                <w:color w:val="000000" w:themeColor="text1"/>
                <w:sz w:val="28"/>
                <w:szCs w:val="32"/>
                <w14:textFill>
                  <w14:solidFill>
                    <w14:schemeClr w14:val="tx1"/>
                  </w14:solidFill>
                </w14:textFill>
              </w:rPr>
              <w:t>3</w:t>
            </w:r>
            <w:r>
              <w:rPr>
                <w:rFonts w:hint="eastAsia" w:ascii="Times New Roman" w:hAnsi="Times New Roman" w:eastAsia="仿宋_GB2312" w:cs="Times New Roman"/>
                <w:color w:val="000000" w:themeColor="text1"/>
                <w:sz w:val="28"/>
                <w:szCs w:val="32"/>
                <w14:textFill>
                  <w14:solidFill>
                    <w14:schemeClr w14:val="tx1"/>
                  </w14:solidFill>
                </w14:textFill>
              </w:rPr>
              <w:t>/</w:t>
            </w:r>
            <w:r>
              <w:rPr>
                <w:rFonts w:ascii="Times New Roman" w:hAnsi="Times New Roman" w:eastAsia="仿宋_GB2312" w:cs="Times New Roman"/>
                <w:color w:val="000000" w:themeColor="text1"/>
                <w:sz w:val="28"/>
                <w:szCs w:val="32"/>
                <w14:textFill>
                  <w14:solidFill>
                    <w14:schemeClr w14:val="tx1"/>
                  </w14:solidFill>
                </w14:textFill>
              </w:rPr>
              <w:t>-1</w:t>
            </w:r>
            <w:r>
              <w:rPr>
                <w:rFonts w:hint="eastAsia" w:ascii="Times New Roman" w:hAnsi="Times New Roman" w:eastAsia="仿宋_GB2312" w:cs="Times New Roman"/>
                <w:color w:val="000000" w:themeColor="text1"/>
                <w:sz w:val="28"/>
                <w:szCs w:val="32"/>
                <w14:textFill>
                  <w14:solidFill>
                    <w14:schemeClr w14:val="tx1"/>
                  </w14:solidFill>
                </w14:textFill>
              </w:rPr>
              <w:t>0</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33.33%</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个</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级指标中，得分率较高的主要集中在</w:t>
      </w:r>
      <w:r>
        <w:rPr>
          <w:rFonts w:hint="eastAsia" w:ascii="Times New Roman" w:hAnsi="Times New Roman" w:eastAsia="仿宋_GB2312" w:cs="Times New Roman"/>
          <w:color w:val="000000" w:themeColor="text1"/>
          <w:sz w:val="32"/>
          <w:szCs w:val="32"/>
          <w14:textFill>
            <w14:solidFill>
              <w14:schemeClr w14:val="tx1"/>
            </w14:solidFill>
          </w14:textFill>
        </w:rPr>
        <w:t>投入及部分过程和社会效益指标</w:t>
      </w:r>
      <w:r>
        <w:rPr>
          <w:rFonts w:ascii="Times New Roman" w:hAnsi="Times New Roman" w:eastAsia="仿宋_GB2312" w:cs="Times New Roman"/>
          <w:color w:val="000000" w:themeColor="text1"/>
          <w:sz w:val="32"/>
          <w:szCs w:val="32"/>
          <w14:textFill>
            <w14:solidFill>
              <w14:schemeClr w14:val="tx1"/>
            </w14:solidFill>
          </w14:textFill>
        </w:rPr>
        <w:t>，而</w:t>
      </w:r>
      <w:r>
        <w:rPr>
          <w:rFonts w:hint="eastAsia" w:ascii="Times New Roman" w:hAnsi="Times New Roman" w:eastAsia="仿宋_GB2312" w:cs="Times New Roman"/>
          <w:color w:val="000000" w:themeColor="text1"/>
          <w:sz w:val="32"/>
          <w:szCs w:val="32"/>
          <w14:textFill>
            <w14:solidFill>
              <w14:schemeClr w14:val="tx1"/>
            </w14:solidFill>
          </w14:textFill>
        </w:rPr>
        <w:t>经济效益及管理过程部分</w:t>
      </w:r>
      <w:r>
        <w:rPr>
          <w:rFonts w:ascii="Times New Roman" w:hAnsi="Times New Roman" w:eastAsia="仿宋_GB2312" w:cs="Times New Roman"/>
          <w:color w:val="000000" w:themeColor="text1"/>
          <w:sz w:val="32"/>
          <w:szCs w:val="32"/>
          <w14:textFill>
            <w14:solidFill>
              <w14:schemeClr w14:val="tx1"/>
            </w14:solidFill>
          </w14:textFill>
        </w:rPr>
        <w:t>指标得分率相对较低</w:t>
      </w:r>
      <w:r>
        <w:rPr>
          <w:rFonts w:hint="eastAsia" w:ascii="Times New Roman" w:hAnsi="Times New Roman" w:eastAsia="仿宋_GB2312" w:cs="Times New Roman"/>
          <w:color w:val="000000" w:themeColor="text1"/>
          <w:sz w:val="32"/>
          <w:szCs w:val="32"/>
          <w14:textFill>
            <w14:solidFill>
              <w14:schemeClr w14:val="tx1"/>
            </w14:solidFill>
          </w14:textFill>
        </w:rPr>
        <w:t>，效果较低跟公交事业的公益性及受2020年新冠疫情影响有关</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outlineLvl w:val="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主要绩效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hint="eastAsia" w:ascii="Times New Roman" w:hAnsi="Times New Roman" w:eastAsia="仿宋_GB2312" w:cs="Times New Roman"/>
          <w:color w:val="000000" w:themeColor="text1"/>
          <w:sz w:val="32"/>
          <w:szCs w:val="32"/>
          <w14:textFill>
            <w14:solidFill>
              <w14:schemeClr w14:val="tx1"/>
            </w14:solidFill>
          </w14:textFill>
        </w:rPr>
      </w:pPr>
      <w:bookmarkStart w:id="15" w:name="_Toc29214"/>
      <w:bookmarkStart w:id="16" w:name="_Toc15593"/>
      <w:bookmarkStart w:id="17" w:name="_Hlk57797107"/>
      <w:r>
        <w:rPr>
          <w:rFonts w:hint="eastAsia" w:ascii="Times New Roman" w:hAnsi="Times New Roman" w:eastAsia="仿宋_GB2312" w:cs="Times New Roman"/>
          <w:color w:val="000000" w:themeColor="text1"/>
          <w:sz w:val="32"/>
          <w:szCs w:val="32"/>
          <w14:textFill>
            <w14:solidFill>
              <w14:schemeClr w14:val="tx1"/>
            </w14:solidFill>
          </w14:textFill>
        </w:rPr>
        <w:t>公交公司成本规制项目资金2000万元主要为确保2018年新购600辆比亚迪纯电动公交车正常上路营运而拨付，本次资金虽系预拨，但也较好地填补了汕头市公共交通总公司公交车运营缺少资金的漏洞。</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outlineLvl w:val="1"/>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四、</w:t>
      </w:r>
      <w:r>
        <w:rPr>
          <w:rFonts w:ascii="Times New Roman" w:hAnsi="Times New Roman" w:eastAsia="黑体" w:cs="Times New Roman"/>
          <w:b/>
          <w:bCs/>
          <w:sz w:val="32"/>
          <w:szCs w:val="32"/>
        </w:rPr>
        <w:t>存在问题</w:t>
      </w:r>
      <w:bookmarkEnd w:id="15"/>
      <w:bookmarkEnd w:id="16"/>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14:textFill>
            <w14:solidFill>
              <w14:schemeClr w14:val="tx1"/>
            </w14:solidFill>
          </w14:textFill>
        </w:rPr>
      </w:pPr>
      <w:bookmarkStart w:id="18" w:name="_Toc9872"/>
      <w:bookmarkStart w:id="19" w:name="_Hlk57823705"/>
      <w:r>
        <w:rPr>
          <w:rFonts w:hint="eastAsia" w:ascii="仿宋" w:hAnsi="仿宋" w:eastAsia="仿宋" w:cs="仿宋"/>
          <w:b/>
          <w:bCs/>
          <w:color w:val="000000" w:themeColor="text1"/>
          <w:sz w:val="32"/>
          <w:szCs w:val="32"/>
          <w14:textFill>
            <w14:solidFill>
              <w14:schemeClr w14:val="tx1"/>
            </w14:solidFill>
          </w14:textFill>
        </w:rPr>
        <w:t>未建立项目管理</w:t>
      </w:r>
      <w:bookmarkEnd w:id="18"/>
      <w:r>
        <w:rPr>
          <w:rFonts w:hint="eastAsia" w:ascii="仿宋" w:hAnsi="仿宋" w:eastAsia="仿宋" w:cs="仿宋"/>
          <w:b/>
          <w:bCs/>
          <w:color w:val="000000" w:themeColor="text1"/>
          <w:sz w:val="32"/>
          <w:szCs w:val="32"/>
          <w14:textFill>
            <w14:solidFill>
              <w14:schemeClr w14:val="tx1"/>
            </w14:solidFill>
          </w14:textFill>
        </w:rPr>
        <w:t>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本次评价汕头市人民政府国有资产监督管理委员会及汕头市公共交通总公司均未能提供项目管理制度或项目管理办法。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专项资金收支未建专账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截止2020年12月31日汕头市公共交通总公司已收到公交公司成本规制项目预拨资金2000万元，除收入登记于“专项应付款</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科目外，支出未登记在同一科目，经询问相关人员及检查相关账务，该项资金实际已全额使用。</w:t>
      </w:r>
    </w:p>
    <w:bookmarkEnd w:id="17"/>
    <w:bookmarkEnd w:id="19"/>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14:textFill>
            <w14:solidFill>
              <w14:schemeClr w14:val="tx1"/>
            </w14:solidFill>
          </w14:textFill>
        </w:rPr>
      </w:pPr>
      <w:bookmarkStart w:id="20" w:name="_Toc31647"/>
      <w:bookmarkStart w:id="21" w:name="_Toc16562"/>
      <w:bookmarkStart w:id="22" w:name="_Toc3897"/>
      <w:bookmarkStart w:id="23" w:name="_Toc28391"/>
      <w:bookmarkStart w:id="24" w:name="_Toc30244"/>
      <w:bookmarkStart w:id="25" w:name="_Toc19912"/>
      <w:bookmarkStart w:id="26" w:name="_Toc6854"/>
      <w:bookmarkStart w:id="27" w:name="_Toc31928"/>
      <w:r>
        <w:rPr>
          <w:rFonts w:hint="eastAsia" w:ascii="仿宋" w:hAnsi="仿宋" w:eastAsia="仿宋" w:cs="仿宋"/>
          <w:b/>
          <w:bCs/>
          <w:color w:val="000000" w:themeColor="text1"/>
          <w:sz w:val="32"/>
          <w:szCs w:val="32"/>
          <w14:textFill>
            <w14:solidFill>
              <w14:schemeClr w14:val="tx1"/>
            </w14:solidFill>
          </w14:textFill>
        </w:rPr>
        <w:t>成本控制有待改善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2020年度因新冠疫情影响，公交车营运收入下降了45.93%，但同期营运成本只下降了8.61%，2020年540辆新能源公交车营运成本为1.399亿元，2019年为1.265亿元，营运成本不降反升，收入与成本未同步变动，成本控制未能在补贴下得到控制。</w:t>
      </w:r>
    </w:p>
    <w:bookmarkEnd w:id="20"/>
    <w:bookmarkEnd w:id="21"/>
    <w:bookmarkEnd w:id="22"/>
    <w:bookmarkEnd w:id="23"/>
    <w:bookmarkEnd w:id="24"/>
    <w:bookmarkEnd w:id="25"/>
    <w:bookmarkEnd w:id="26"/>
    <w:bookmarkEnd w:id="27"/>
    <w:p>
      <w:pPr>
        <w:pStyle w:val="35"/>
        <w:keepNext w:val="0"/>
        <w:keepLines w:val="0"/>
        <w:pageBreakBefore w:val="0"/>
        <w:widowControl w:val="0"/>
        <w:numPr>
          <w:numId w:val="0"/>
        </w:numPr>
        <w:kinsoku/>
        <w:wordWrap/>
        <w:overflowPunct/>
        <w:topLinePunct w:val="0"/>
        <w:autoSpaceDE/>
        <w:autoSpaceDN/>
        <w:bidi w:val="0"/>
        <w:adjustRightInd/>
        <w:snapToGrid/>
        <w:spacing w:line="560" w:lineRule="exact"/>
        <w:ind w:left="-284" w:leftChars="0"/>
        <w:textAlignment w:val="auto"/>
        <w:outlineLvl w:val="0"/>
        <w:rPr>
          <w:rFonts w:ascii="Times New Roman" w:hAnsi="Times New Roman" w:eastAsia="黑体" w:cs="Times New Roman"/>
          <w:b/>
          <w:bCs/>
          <w:sz w:val="32"/>
          <w:szCs w:val="32"/>
        </w:rPr>
      </w:pPr>
      <w:bookmarkStart w:id="28" w:name="_Toc25544"/>
      <w:bookmarkStart w:id="29" w:name="_Toc20893"/>
      <w:r>
        <w:rPr>
          <w:rFonts w:hint="eastAsia" w:ascii="Times New Roman" w:hAnsi="Times New Roman" w:eastAsia="黑体" w:cs="Times New Roman"/>
          <w:b/>
          <w:bCs/>
          <w:sz w:val="32"/>
          <w:szCs w:val="32"/>
          <w:lang w:val="en-US" w:eastAsia="zh-CN"/>
        </w:rPr>
        <w:t xml:space="preserve">       五、</w:t>
      </w:r>
      <w:bookmarkStart w:id="32" w:name="_GoBack"/>
      <w:bookmarkEnd w:id="32"/>
      <w:r>
        <w:rPr>
          <w:rFonts w:ascii="Times New Roman" w:hAnsi="Times New Roman" w:eastAsia="黑体" w:cs="Times New Roman"/>
          <w:b/>
          <w:bCs/>
          <w:sz w:val="32"/>
          <w:szCs w:val="32"/>
        </w:rPr>
        <w:t>相关建议</w:t>
      </w:r>
      <w:bookmarkEnd w:id="28"/>
      <w:bookmarkEnd w:id="29"/>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建立健全项目管理制度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预算单位和项目实际承担单位应建立健全项目管理相关制度及办法，使项目风险得到把控，事先规划项目运行，提高项目实施效果。</w:t>
      </w:r>
      <w:bookmarkStart w:id="30" w:name="_Toc30913"/>
    </w:p>
    <w:bookmarkEnd w:id="30"/>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建立项目专账或台账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bookmarkStart w:id="31" w:name="_Toc27658"/>
      <w:r>
        <w:rPr>
          <w:rFonts w:hint="eastAsia" w:ascii="Times New Roman" w:hAnsi="Times New Roman" w:eastAsia="仿宋_GB2312" w:cs="Times New Roman"/>
          <w:color w:val="000000" w:themeColor="text1"/>
          <w:sz w:val="32"/>
          <w:szCs w:val="32"/>
          <w14:textFill>
            <w14:solidFill>
              <w14:schemeClr w14:val="tx1"/>
            </w14:solidFill>
          </w14:textFill>
        </w:rPr>
        <w:t>预算单位和项目实际承担单位应从收到项目资金时起即建立专账或另设台账，除能洞悉项目运行，还能使项目得到有效控制，高效使用项目资金。</w:t>
      </w:r>
    </w:p>
    <w:bookmarkEnd w:id="31"/>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有效控制成本，推进公交事业良性发展</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汕头市公共交通总公司应严格控制成本，把资金用到最需要的地方，提高资金使用效率，使成本规制政策能持续发挥作用，推进汕头公交事业进一步发展。</w:t>
      </w:r>
    </w:p>
    <w:sectPr>
      <w:headerReference r:id="rId3" w:type="default"/>
      <w:footerReference r:id="rId5" w:type="default"/>
      <w:headerReference r:id="rId4" w:type="even"/>
      <w:pgSz w:w="11906" w:h="16838"/>
      <w:pgMar w:top="1440" w:right="1588" w:bottom="1134" w:left="170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5670"/>
      <w:docPartObj>
        <w:docPartGallery w:val="autotext"/>
      </w:docPartObj>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6881C"/>
    <w:multiLevelType w:val="singleLevel"/>
    <w:tmpl w:val="9786881C"/>
    <w:lvl w:ilvl="0" w:tentative="0">
      <w:start w:val="1"/>
      <w:numFmt w:val="chineseCounting"/>
      <w:suff w:val="nothing"/>
      <w:lvlText w:val="（%1）"/>
      <w:lvlJc w:val="left"/>
      <w:rPr>
        <w:rFonts w:hint="eastAsia"/>
        <w:lang w:val="en-US"/>
      </w:rPr>
    </w:lvl>
  </w:abstractNum>
  <w:abstractNum w:abstractNumId="1">
    <w:nsid w:val="AC497D60"/>
    <w:multiLevelType w:val="singleLevel"/>
    <w:tmpl w:val="AC497D60"/>
    <w:lvl w:ilvl="0" w:tentative="0">
      <w:start w:val="1"/>
      <w:numFmt w:val="chineseCounting"/>
      <w:suff w:val="nothing"/>
      <w:lvlText w:val="（%1）"/>
      <w:lvlJc w:val="left"/>
      <w:rPr>
        <w:rFonts w:hint="eastAsia"/>
      </w:rPr>
    </w:lvl>
  </w:abstractNum>
  <w:abstractNum w:abstractNumId="2">
    <w:nsid w:val="5D82AA4C"/>
    <w:multiLevelType w:val="singleLevel"/>
    <w:tmpl w:val="5D82AA4C"/>
    <w:lvl w:ilvl="0" w:tentative="0">
      <w:start w:val="1"/>
      <w:numFmt w:val="chineseCounting"/>
      <w:suff w:val="nothing"/>
      <w:lvlText w:val="%1、"/>
      <w:lvlJc w:val="left"/>
      <w:rPr>
        <w:rFonts w:hint="eastAsia"/>
      </w:rPr>
    </w:lvl>
  </w:abstractNum>
  <w:abstractNum w:abstractNumId="3">
    <w:nsid w:val="7C9FCFA7"/>
    <w:multiLevelType w:val="singleLevel"/>
    <w:tmpl w:val="7C9FCFA7"/>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99"/>
    <w:rsid w:val="0000459E"/>
    <w:rsid w:val="000143A9"/>
    <w:rsid w:val="00016A28"/>
    <w:rsid w:val="00016E47"/>
    <w:rsid w:val="0002055E"/>
    <w:rsid w:val="00020EAA"/>
    <w:rsid w:val="00024D76"/>
    <w:rsid w:val="000270CB"/>
    <w:rsid w:val="000355DD"/>
    <w:rsid w:val="00040BF2"/>
    <w:rsid w:val="00044303"/>
    <w:rsid w:val="00045884"/>
    <w:rsid w:val="00046B13"/>
    <w:rsid w:val="000473D0"/>
    <w:rsid w:val="00056F14"/>
    <w:rsid w:val="00057A06"/>
    <w:rsid w:val="00063717"/>
    <w:rsid w:val="000662D6"/>
    <w:rsid w:val="00067FF0"/>
    <w:rsid w:val="0007046B"/>
    <w:rsid w:val="0007276C"/>
    <w:rsid w:val="000753B2"/>
    <w:rsid w:val="00080B47"/>
    <w:rsid w:val="000824DD"/>
    <w:rsid w:val="00085C59"/>
    <w:rsid w:val="00090695"/>
    <w:rsid w:val="00090D3B"/>
    <w:rsid w:val="00092C3E"/>
    <w:rsid w:val="000933B3"/>
    <w:rsid w:val="000A00C7"/>
    <w:rsid w:val="000A01AF"/>
    <w:rsid w:val="000A10D8"/>
    <w:rsid w:val="000A2733"/>
    <w:rsid w:val="000A5A21"/>
    <w:rsid w:val="000A68E2"/>
    <w:rsid w:val="000B2D8D"/>
    <w:rsid w:val="000B44CB"/>
    <w:rsid w:val="000B48D9"/>
    <w:rsid w:val="000C04D4"/>
    <w:rsid w:val="000D3C65"/>
    <w:rsid w:val="001024A9"/>
    <w:rsid w:val="001029F1"/>
    <w:rsid w:val="00103529"/>
    <w:rsid w:val="001068E6"/>
    <w:rsid w:val="00110952"/>
    <w:rsid w:val="00130EA6"/>
    <w:rsid w:val="00131450"/>
    <w:rsid w:val="00135E27"/>
    <w:rsid w:val="00136301"/>
    <w:rsid w:val="00137E41"/>
    <w:rsid w:val="0014209E"/>
    <w:rsid w:val="0014305D"/>
    <w:rsid w:val="0014678B"/>
    <w:rsid w:val="00150F96"/>
    <w:rsid w:val="00154FAA"/>
    <w:rsid w:val="00156A3C"/>
    <w:rsid w:val="00156F12"/>
    <w:rsid w:val="001678FB"/>
    <w:rsid w:val="0017062D"/>
    <w:rsid w:val="00172A27"/>
    <w:rsid w:val="00176DFD"/>
    <w:rsid w:val="00182444"/>
    <w:rsid w:val="001900DA"/>
    <w:rsid w:val="0019087A"/>
    <w:rsid w:val="00191D9C"/>
    <w:rsid w:val="00193463"/>
    <w:rsid w:val="00196349"/>
    <w:rsid w:val="001A07DE"/>
    <w:rsid w:val="001A528E"/>
    <w:rsid w:val="001A69DB"/>
    <w:rsid w:val="001B1587"/>
    <w:rsid w:val="001B2554"/>
    <w:rsid w:val="001B508A"/>
    <w:rsid w:val="001B784C"/>
    <w:rsid w:val="001C41B4"/>
    <w:rsid w:val="001C52B4"/>
    <w:rsid w:val="001C6A08"/>
    <w:rsid w:val="001C6FC4"/>
    <w:rsid w:val="001C70A3"/>
    <w:rsid w:val="001D0039"/>
    <w:rsid w:val="001D1DC2"/>
    <w:rsid w:val="001D3BFA"/>
    <w:rsid w:val="001D755C"/>
    <w:rsid w:val="001E1880"/>
    <w:rsid w:val="001F19DA"/>
    <w:rsid w:val="001F61C1"/>
    <w:rsid w:val="001F6AD1"/>
    <w:rsid w:val="001F6E6A"/>
    <w:rsid w:val="00205D9A"/>
    <w:rsid w:val="002165B1"/>
    <w:rsid w:val="00216C34"/>
    <w:rsid w:val="00231122"/>
    <w:rsid w:val="00231D3B"/>
    <w:rsid w:val="00232C78"/>
    <w:rsid w:val="002334F0"/>
    <w:rsid w:val="00237BED"/>
    <w:rsid w:val="00246CA3"/>
    <w:rsid w:val="00251A5E"/>
    <w:rsid w:val="002526A0"/>
    <w:rsid w:val="00253971"/>
    <w:rsid w:val="002556C4"/>
    <w:rsid w:val="002560BD"/>
    <w:rsid w:val="00262389"/>
    <w:rsid w:val="00264B15"/>
    <w:rsid w:val="0026713C"/>
    <w:rsid w:val="0027348A"/>
    <w:rsid w:val="00284A5F"/>
    <w:rsid w:val="0028794F"/>
    <w:rsid w:val="00290263"/>
    <w:rsid w:val="00290657"/>
    <w:rsid w:val="00293D71"/>
    <w:rsid w:val="0029436D"/>
    <w:rsid w:val="0029697C"/>
    <w:rsid w:val="002A0EC0"/>
    <w:rsid w:val="002A1740"/>
    <w:rsid w:val="002A1AD6"/>
    <w:rsid w:val="002A4D9E"/>
    <w:rsid w:val="002A72B7"/>
    <w:rsid w:val="002B411F"/>
    <w:rsid w:val="002B6625"/>
    <w:rsid w:val="002B7CDB"/>
    <w:rsid w:val="002C187E"/>
    <w:rsid w:val="002C7EFA"/>
    <w:rsid w:val="002D1AFB"/>
    <w:rsid w:val="002D1C90"/>
    <w:rsid w:val="002D6CFE"/>
    <w:rsid w:val="002E2DCA"/>
    <w:rsid w:val="002F0C81"/>
    <w:rsid w:val="002F67E5"/>
    <w:rsid w:val="002F733C"/>
    <w:rsid w:val="0030615E"/>
    <w:rsid w:val="003150B2"/>
    <w:rsid w:val="003152B8"/>
    <w:rsid w:val="00315BD2"/>
    <w:rsid w:val="00315F5B"/>
    <w:rsid w:val="003171EC"/>
    <w:rsid w:val="00322391"/>
    <w:rsid w:val="003264F9"/>
    <w:rsid w:val="003421BF"/>
    <w:rsid w:val="00346FF6"/>
    <w:rsid w:val="00352253"/>
    <w:rsid w:val="003605B5"/>
    <w:rsid w:val="00362AC4"/>
    <w:rsid w:val="00364477"/>
    <w:rsid w:val="00364CB1"/>
    <w:rsid w:val="0036519C"/>
    <w:rsid w:val="00370058"/>
    <w:rsid w:val="00370454"/>
    <w:rsid w:val="0037414E"/>
    <w:rsid w:val="0038017F"/>
    <w:rsid w:val="00383311"/>
    <w:rsid w:val="003849D9"/>
    <w:rsid w:val="00385D57"/>
    <w:rsid w:val="00390FE9"/>
    <w:rsid w:val="00391285"/>
    <w:rsid w:val="00397AE3"/>
    <w:rsid w:val="003A2A8F"/>
    <w:rsid w:val="003A4CFA"/>
    <w:rsid w:val="003B4475"/>
    <w:rsid w:val="003B4DAF"/>
    <w:rsid w:val="003B6C03"/>
    <w:rsid w:val="003C2816"/>
    <w:rsid w:val="003C30F3"/>
    <w:rsid w:val="003C63FC"/>
    <w:rsid w:val="003C78F2"/>
    <w:rsid w:val="003D020E"/>
    <w:rsid w:val="003D0B55"/>
    <w:rsid w:val="003D0C90"/>
    <w:rsid w:val="003D16A5"/>
    <w:rsid w:val="003D1DA9"/>
    <w:rsid w:val="003D3E22"/>
    <w:rsid w:val="003D4D68"/>
    <w:rsid w:val="003D587E"/>
    <w:rsid w:val="003D6150"/>
    <w:rsid w:val="003D6BD8"/>
    <w:rsid w:val="003F1BF8"/>
    <w:rsid w:val="003F368D"/>
    <w:rsid w:val="004071E2"/>
    <w:rsid w:val="0040765C"/>
    <w:rsid w:val="00412B78"/>
    <w:rsid w:val="00414CC8"/>
    <w:rsid w:val="004163C0"/>
    <w:rsid w:val="00423B6A"/>
    <w:rsid w:val="00426C5E"/>
    <w:rsid w:val="004309FD"/>
    <w:rsid w:val="004316AC"/>
    <w:rsid w:val="00434C4C"/>
    <w:rsid w:val="00437594"/>
    <w:rsid w:val="00437646"/>
    <w:rsid w:val="004409FA"/>
    <w:rsid w:val="00440AD1"/>
    <w:rsid w:val="0044285F"/>
    <w:rsid w:val="00451B7E"/>
    <w:rsid w:val="00455887"/>
    <w:rsid w:val="00461F05"/>
    <w:rsid w:val="0046240A"/>
    <w:rsid w:val="004665CE"/>
    <w:rsid w:val="0047078F"/>
    <w:rsid w:val="00476496"/>
    <w:rsid w:val="0047736E"/>
    <w:rsid w:val="004831B5"/>
    <w:rsid w:val="00483E3B"/>
    <w:rsid w:val="004848A9"/>
    <w:rsid w:val="0048517E"/>
    <w:rsid w:val="0048771F"/>
    <w:rsid w:val="00492BD8"/>
    <w:rsid w:val="004A0C79"/>
    <w:rsid w:val="004A2BD7"/>
    <w:rsid w:val="004B1A72"/>
    <w:rsid w:val="004B1D5F"/>
    <w:rsid w:val="004C0D5A"/>
    <w:rsid w:val="004C1759"/>
    <w:rsid w:val="004C2D48"/>
    <w:rsid w:val="004C50EB"/>
    <w:rsid w:val="004C5E95"/>
    <w:rsid w:val="004C614A"/>
    <w:rsid w:val="004C6B71"/>
    <w:rsid w:val="004C6C40"/>
    <w:rsid w:val="004C71F3"/>
    <w:rsid w:val="004D0996"/>
    <w:rsid w:val="004D0D57"/>
    <w:rsid w:val="004D2F75"/>
    <w:rsid w:val="004D6807"/>
    <w:rsid w:val="004F003F"/>
    <w:rsid w:val="004F1C85"/>
    <w:rsid w:val="004F4856"/>
    <w:rsid w:val="004F4E55"/>
    <w:rsid w:val="00500A42"/>
    <w:rsid w:val="00500BE6"/>
    <w:rsid w:val="005039E9"/>
    <w:rsid w:val="00505D5D"/>
    <w:rsid w:val="00521C5E"/>
    <w:rsid w:val="0052282E"/>
    <w:rsid w:val="00523204"/>
    <w:rsid w:val="00523246"/>
    <w:rsid w:val="0053301D"/>
    <w:rsid w:val="005416D9"/>
    <w:rsid w:val="00546D7A"/>
    <w:rsid w:val="00547173"/>
    <w:rsid w:val="00547E60"/>
    <w:rsid w:val="005556FD"/>
    <w:rsid w:val="00555816"/>
    <w:rsid w:val="005617A3"/>
    <w:rsid w:val="0056576C"/>
    <w:rsid w:val="00572F01"/>
    <w:rsid w:val="00581FDB"/>
    <w:rsid w:val="00593BB8"/>
    <w:rsid w:val="00594B14"/>
    <w:rsid w:val="00594C87"/>
    <w:rsid w:val="00597626"/>
    <w:rsid w:val="005A1603"/>
    <w:rsid w:val="005A5E1F"/>
    <w:rsid w:val="005A785F"/>
    <w:rsid w:val="005A79A2"/>
    <w:rsid w:val="005B2572"/>
    <w:rsid w:val="005B3A3A"/>
    <w:rsid w:val="005C0953"/>
    <w:rsid w:val="005C3AA8"/>
    <w:rsid w:val="005D0C7B"/>
    <w:rsid w:val="005D4A25"/>
    <w:rsid w:val="005D4F51"/>
    <w:rsid w:val="005E0BD8"/>
    <w:rsid w:val="005E2F4D"/>
    <w:rsid w:val="005F2514"/>
    <w:rsid w:val="005F3203"/>
    <w:rsid w:val="005F3230"/>
    <w:rsid w:val="005F5EC5"/>
    <w:rsid w:val="00600843"/>
    <w:rsid w:val="006063A0"/>
    <w:rsid w:val="00607466"/>
    <w:rsid w:val="0061169B"/>
    <w:rsid w:val="00615F85"/>
    <w:rsid w:val="00616072"/>
    <w:rsid w:val="00620344"/>
    <w:rsid w:val="00626AB6"/>
    <w:rsid w:val="0062740B"/>
    <w:rsid w:val="0063518E"/>
    <w:rsid w:val="00637143"/>
    <w:rsid w:val="00640E6B"/>
    <w:rsid w:val="00643EB4"/>
    <w:rsid w:val="00643FFB"/>
    <w:rsid w:val="00653765"/>
    <w:rsid w:val="00654432"/>
    <w:rsid w:val="00655F79"/>
    <w:rsid w:val="00665574"/>
    <w:rsid w:val="00666DB2"/>
    <w:rsid w:val="006718C9"/>
    <w:rsid w:val="00674B80"/>
    <w:rsid w:val="006766BE"/>
    <w:rsid w:val="006807BE"/>
    <w:rsid w:val="00681587"/>
    <w:rsid w:val="00681C6A"/>
    <w:rsid w:val="00682527"/>
    <w:rsid w:val="00684DE8"/>
    <w:rsid w:val="00686EF7"/>
    <w:rsid w:val="00686FAA"/>
    <w:rsid w:val="0068786D"/>
    <w:rsid w:val="006909B3"/>
    <w:rsid w:val="00693EA3"/>
    <w:rsid w:val="00695CF3"/>
    <w:rsid w:val="006A0E42"/>
    <w:rsid w:val="006A4816"/>
    <w:rsid w:val="006A6CA1"/>
    <w:rsid w:val="006B1756"/>
    <w:rsid w:val="006B306D"/>
    <w:rsid w:val="006B4F04"/>
    <w:rsid w:val="006B5985"/>
    <w:rsid w:val="006C01E0"/>
    <w:rsid w:val="006C4A1A"/>
    <w:rsid w:val="006C4D4B"/>
    <w:rsid w:val="006D58DA"/>
    <w:rsid w:val="006E5FC8"/>
    <w:rsid w:val="006F2692"/>
    <w:rsid w:val="007015B1"/>
    <w:rsid w:val="00702370"/>
    <w:rsid w:val="00703B7D"/>
    <w:rsid w:val="007062C4"/>
    <w:rsid w:val="007077B5"/>
    <w:rsid w:val="007103A8"/>
    <w:rsid w:val="00712903"/>
    <w:rsid w:val="00722109"/>
    <w:rsid w:val="00724C48"/>
    <w:rsid w:val="00726518"/>
    <w:rsid w:val="0073082F"/>
    <w:rsid w:val="00735F28"/>
    <w:rsid w:val="00736303"/>
    <w:rsid w:val="00740189"/>
    <w:rsid w:val="007405DF"/>
    <w:rsid w:val="0074612C"/>
    <w:rsid w:val="00746253"/>
    <w:rsid w:val="00746BA1"/>
    <w:rsid w:val="00750A29"/>
    <w:rsid w:val="00752C0B"/>
    <w:rsid w:val="00761B7D"/>
    <w:rsid w:val="00764B74"/>
    <w:rsid w:val="00764E38"/>
    <w:rsid w:val="00766576"/>
    <w:rsid w:val="00766701"/>
    <w:rsid w:val="00766D2F"/>
    <w:rsid w:val="007704BA"/>
    <w:rsid w:val="00775A77"/>
    <w:rsid w:val="00777649"/>
    <w:rsid w:val="00781472"/>
    <w:rsid w:val="00783387"/>
    <w:rsid w:val="007847E9"/>
    <w:rsid w:val="0079376B"/>
    <w:rsid w:val="00796724"/>
    <w:rsid w:val="007A4C45"/>
    <w:rsid w:val="007A7C1F"/>
    <w:rsid w:val="007B01E5"/>
    <w:rsid w:val="007B0E2E"/>
    <w:rsid w:val="007B2A98"/>
    <w:rsid w:val="007B32D4"/>
    <w:rsid w:val="007B3D43"/>
    <w:rsid w:val="007B43F4"/>
    <w:rsid w:val="007B73F6"/>
    <w:rsid w:val="007B789C"/>
    <w:rsid w:val="007C73C4"/>
    <w:rsid w:val="007D0E61"/>
    <w:rsid w:val="007D561F"/>
    <w:rsid w:val="007D5B45"/>
    <w:rsid w:val="007E3348"/>
    <w:rsid w:val="007E7773"/>
    <w:rsid w:val="007F7917"/>
    <w:rsid w:val="008040BA"/>
    <w:rsid w:val="00805AA3"/>
    <w:rsid w:val="00806E04"/>
    <w:rsid w:val="00807F39"/>
    <w:rsid w:val="00813BC5"/>
    <w:rsid w:val="008261DB"/>
    <w:rsid w:val="0083550A"/>
    <w:rsid w:val="00842E53"/>
    <w:rsid w:val="008432C4"/>
    <w:rsid w:val="00843485"/>
    <w:rsid w:val="00855E3A"/>
    <w:rsid w:val="00863EE8"/>
    <w:rsid w:val="00872FD3"/>
    <w:rsid w:val="00873CDE"/>
    <w:rsid w:val="008752E6"/>
    <w:rsid w:val="00877F70"/>
    <w:rsid w:val="008835E6"/>
    <w:rsid w:val="00883F6F"/>
    <w:rsid w:val="00885EE4"/>
    <w:rsid w:val="00890DCE"/>
    <w:rsid w:val="00894A34"/>
    <w:rsid w:val="0089510F"/>
    <w:rsid w:val="008951B1"/>
    <w:rsid w:val="008967A3"/>
    <w:rsid w:val="008A08C0"/>
    <w:rsid w:val="008A1026"/>
    <w:rsid w:val="008A42C5"/>
    <w:rsid w:val="008A74DD"/>
    <w:rsid w:val="008B2324"/>
    <w:rsid w:val="008B2E5C"/>
    <w:rsid w:val="008B3BD9"/>
    <w:rsid w:val="008B63C7"/>
    <w:rsid w:val="008B67D7"/>
    <w:rsid w:val="008D1949"/>
    <w:rsid w:val="008D3262"/>
    <w:rsid w:val="008D79C9"/>
    <w:rsid w:val="008D7E02"/>
    <w:rsid w:val="008E05FD"/>
    <w:rsid w:val="008E2765"/>
    <w:rsid w:val="008E5602"/>
    <w:rsid w:val="008E632B"/>
    <w:rsid w:val="008F0386"/>
    <w:rsid w:val="008F3820"/>
    <w:rsid w:val="008F4928"/>
    <w:rsid w:val="008F50B1"/>
    <w:rsid w:val="00903E5F"/>
    <w:rsid w:val="00904B4C"/>
    <w:rsid w:val="00904BFF"/>
    <w:rsid w:val="0091477B"/>
    <w:rsid w:val="00915237"/>
    <w:rsid w:val="00916270"/>
    <w:rsid w:val="00916B04"/>
    <w:rsid w:val="00916C1C"/>
    <w:rsid w:val="00924E4D"/>
    <w:rsid w:val="00930206"/>
    <w:rsid w:val="0093042D"/>
    <w:rsid w:val="00930900"/>
    <w:rsid w:val="00933EBD"/>
    <w:rsid w:val="00936408"/>
    <w:rsid w:val="00943C0F"/>
    <w:rsid w:val="00947F1B"/>
    <w:rsid w:val="00951D61"/>
    <w:rsid w:val="00953833"/>
    <w:rsid w:val="0095461F"/>
    <w:rsid w:val="009551B3"/>
    <w:rsid w:val="0096557B"/>
    <w:rsid w:val="00966387"/>
    <w:rsid w:val="00970E37"/>
    <w:rsid w:val="00971CCB"/>
    <w:rsid w:val="009765B7"/>
    <w:rsid w:val="0097785D"/>
    <w:rsid w:val="00981129"/>
    <w:rsid w:val="00984247"/>
    <w:rsid w:val="00984F87"/>
    <w:rsid w:val="0098503D"/>
    <w:rsid w:val="00987CF8"/>
    <w:rsid w:val="00990C55"/>
    <w:rsid w:val="00996059"/>
    <w:rsid w:val="009A4BF6"/>
    <w:rsid w:val="009B2E9E"/>
    <w:rsid w:val="009B5747"/>
    <w:rsid w:val="009D1E5A"/>
    <w:rsid w:val="009D217A"/>
    <w:rsid w:val="009D3463"/>
    <w:rsid w:val="009D71F5"/>
    <w:rsid w:val="009E2348"/>
    <w:rsid w:val="009E289E"/>
    <w:rsid w:val="009E5F73"/>
    <w:rsid w:val="009E7932"/>
    <w:rsid w:val="009F110C"/>
    <w:rsid w:val="009F285A"/>
    <w:rsid w:val="009F2CD1"/>
    <w:rsid w:val="009F3C78"/>
    <w:rsid w:val="009F6FF3"/>
    <w:rsid w:val="00A111B9"/>
    <w:rsid w:val="00A1248D"/>
    <w:rsid w:val="00A1374E"/>
    <w:rsid w:val="00A20DD2"/>
    <w:rsid w:val="00A257C0"/>
    <w:rsid w:val="00A325BE"/>
    <w:rsid w:val="00A336C9"/>
    <w:rsid w:val="00A33E15"/>
    <w:rsid w:val="00A343A9"/>
    <w:rsid w:val="00A40755"/>
    <w:rsid w:val="00A51F80"/>
    <w:rsid w:val="00A53500"/>
    <w:rsid w:val="00A54766"/>
    <w:rsid w:val="00A61926"/>
    <w:rsid w:val="00A61986"/>
    <w:rsid w:val="00A7007E"/>
    <w:rsid w:val="00A7360C"/>
    <w:rsid w:val="00A86FD0"/>
    <w:rsid w:val="00A8704A"/>
    <w:rsid w:val="00A870AC"/>
    <w:rsid w:val="00A9144D"/>
    <w:rsid w:val="00A9193F"/>
    <w:rsid w:val="00A91EC6"/>
    <w:rsid w:val="00A95C74"/>
    <w:rsid w:val="00AA03EF"/>
    <w:rsid w:val="00AA0BBA"/>
    <w:rsid w:val="00AA0CF8"/>
    <w:rsid w:val="00AA1F41"/>
    <w:rsid w:val="00AA3807"/>
    <w:rsid w:val="00AA683D"/>
    <w:rsid w:val="00AB2121"/>
    <w:rsid w:val="00AB45EC"/>
    <w:rsid w:val="00AC1D49"/>
    <w:rsid w:val="00AC4738"/>
    <w:rsid w:val="00AD1F73"/>
    <w:rsid w:val="00AE20FC"/>
    <w:rsid w:val="00AE50A2"/>
    <w:rsid w:val="00AE5B5C"/>
    <w:rsid w:val="00AE6059"/>
    <w:rsid w:val="00B01F44"/>
    <w:rsid w:val="00B12D82"/>
    <w:rsid w:val="00B13D8A"/>
    <w:rsid w:val="00B22A83"/>
    <w:rsid w:val="00B26F59"/>
    <w:rsid w:val="00B31883"/>
    <w:rsid w:val="00B31F9C"/>
    <w:rsid w:val="00B33AAD"/>
    <w:rsid w:val="00B42AC5"/>
    <w:rsid w:val="00B529BD"/>
    <w:rsid w:val="00B553A4"/>
    <w:rsid w:val="00B556E8"/>
    <w:rsid w:val="00B61B43"/>
    <w:rsid w:val="00B64F8C"/>
    <w:rsid w:val="00B67B36"/>
    <w:rsid w:val="00B72492"/>
    <w:rsid w:val="00B74188"/>
    <w:rsid w:val="00B77A77"/>
    <w:rsid w:val="00B848AF"/>
    <w:rsid w:val="00B8495D"/>
    <w:rsid w:val="00B925B6"/>
    <w:rsid w:val="00B96A41"/>
    <w:rsid w:val="00BA028D"/>
    <w:rsid w:val="00BA3DBA"/>
    <w:rsid w:val="00BA615F"/>
    <w:rsid w:val="00BA6549"/>
    <w:rsid w:val="00BA7069"/>
    <w:rsid w:val="00BB1C51"/>
    <w:rsid w:val="00BB4010"/>
    <w:rsid w:val="00BB782F"/>
    <w:rsid w:val="00BC1F64"/>
    <w:rsid w:val="00BC21B8"/>
    <w:rsid w:val="00BD0F0B"/>
    <w:rsid w:val="00BD1CC6"/>
    <w:rsid w:val="00BE18F0"/>
    <w:rsid w:val="00BE2D95"/>
    <w:rsid w:val="00BE4EBD"/>
    <w:rsid w:val="00BE5BB0"/>
    <w:rsid w:val="00BF0812"/>
    <w:rsid w:val="00BF0F0C"/>
    <w:rsid w:val="00BF496F"/>
    <w:rsid w:val="00C06E9A"/>
    <w:rsid w:val="00C1163F"/>
    <w:rsid w:val="00C2001F"/>
    <w:rsid w:val="00C21717"/>
    <w:rsid w:val="00C25E8C"/>
    <w:rsid w:val="00C2789F"/>
    <w:rsid w:val="00C327D8"/>
    <w:rsid w:val="00C32885"/>
    <w:rsid w:val="00C33111"/>
    <w:rsid w:val="00C356DC"/>
    <w:rsid w:val="00C36457"/>
    <w:rsid w:val="00C44D2C"/>
    <w:rsid w:val="00C47D49"/>
    <w:rsid w:val="00C50DB8"/>
    <w:rsid w:val="00C51F69"/>
    <w:rsid w:val="00C54F82"/>
    <w:rsid w:val="00C55A67"/>
    <w:rsid w:val="00C57A27"/>
    <w:rsid w:val="00C63FAA"/>
    <w:rsid w:val="00C65BC7"/>
    <w:rsid w:val="00C66666"/>
    <w:rsid w:val="00C76CD2"/>
    <w:rsid w:val="00C805B4"/>
    <w:rsid w:val="00C8108C"/>
    <w:rsid w:val="00C82CAF"/>
    <w:rsid w:val="00C857FC"/>
    <w:rsid w:val="00C86B3B"/>
    <w:rsid w:val="00C86B43"/>
    <w:rsid w:val="00C87C7E"/>
    <w:rsid w:val="00C956FF"/>
    <w:rsid w:val="00C95C4D"/>
    <w:rsid w:val="00C96CB5"/>
    <w:rsid w:val="00CA1C42"/>
    <w:rsid w:val="00CA36CC"/>
    <w:rsid w:val="00CA69DE"/>
    <w:rsid w:val="00CA736B"/>
    <w:rsid w:val="00CB534E"/>
    <w:rsid w:val="00CC0179"/>
    <w:rsid w:val="00CC01DF"/>
    <w:rsid w:val="00CD12CF"/>
    <w:rsid w:val="00CD237F"/>
    <w:rsid w:val="00CD4816"/>
    <w:rsid w:val="00CD71EC"/>
    <w:rsid w:val="00CD7771"/>
    <w:rsid w:val="00CD7BAD"/>
    <w:rsid w:val="00CE1DC7"/>
    <w:rsid w:val="00CE4667"/>
    <w:rsid w:val="00CE55B3"/>
    <w:rsid w:val="00CE7F39"/>
    <w:rsid w:val="00CF3EA5"/>
    <w:rsid w:val="00CF61C6"/>
    <w:rsid w:val="00D00A76"/>
    <w:rsid w:val="00D11417"/>
    <w:rsid w:val="00D22365"/>
    <w:rsid w:val="00D311B7"/>
    <w:rsid w:val="00D44752"/>
    <w:rsid w:val="00D44DC8"/>
    <w:rsid w:val="00D46497"/>
    <w:rsid w:val="00D52200"/>
    <w:rsid w:val="00D565B9"/>
    <w:rsid w:val="00D56EAD"/>
    <w:rsid w:val="00D57A7E"/>
    <w:rsid w:val="00D71EA5"/>
    <w:rsid w:val="00D72159"/>
    <w:rsid w:val="00D725A4"/>
    <w:rsid w:val="00D813A0"/>
    <w:rsid w:val="00D8225A"/>
    <w:rsid w:val="00D870AF"/>
    <w:rsid w:val="00D878F6"/>
    <w:rsid w:val="00D906D1"/>
    <w:rsid w:val="00D933E7"/>
    <w:rsid w:val="00D93575"/>
    <w:rsid w:val="00D9390C"/>
    <w:rsid w:val="00D966C5"/>
    <w:rsid w:val="00D96A0D"/>
    <w:rsid w:val="00D9745C"/>
    <w:rsid w:val="00DA2E06"/>
    <w:rsid w:val="00DA4314"/>
    <w:rsid w:val="00DB74F8"/>
    <w:rsid w:val="00DB7D7B"/>
    <w:rsid w:val="00DC0391"/>
    <w:rsid w:val="00DC205D"/>
    <w:rsid w:val="00DC26FC"/>
    <w:rsid w:val="00DC36DF"/>
    <w:rsid w:val="00DC744D"/>
    <w:rsid w:val="00DD0B85"/>
    <w:rsid w:val="00DD0E3C"/>
    <w:rsid w:val="00DE377F"/>
    <w:rsid w:val="00DE3FAA"/>
    <w:rsid w:val="00DF27C2"/>
    <w:rsid w:val="00DF3B36"/>
    <w:rsid w:val="00DF7724"/>
    <w:rsid w:val="00DF77B9"/>
    <w:rsid w:val="00E005FB"/>
    <w:rsid w:val="00E00692"/>
    <w:rsid w:val="00E0748B"/>
    <w:rsid w:val="00E10075"/>
    <w:rsid w:val="00E104A1"/>
    <w:rsid w:val="00E107C5"/>
    <w:rsid w:val="00E13B68"/>
    <w:rsid w:val="00E235D5"/>
    <w:rsid w:val="00E25A25"/>
    <w:rsid w:val="00E2609C"/>
    <w:rsid w:val="00E3059D"/>
    <w:rsid w:val="00E30BA5"/>
    <w:rsid w:val="00E315BB"/>
    <w:rsid w:val="00E343B7"/>
    <w:rsid w:val="00E3544C"/>
    <w:rsid w:val="00E4365B"/>
    <w:rsid w:val="00E44965"/>
    <w:rsid w:val="00E44BB4"/>
    <w:rsid w:val="00E55C2B"/>
    <w:rsid w:val="00E56F57"/>
    <w:rsid w:val="00E60F58"/>
    <w:rsid w:val="00E61993"/>
    <w:rsid w:val="00E74D46"/>
    <w:rsid w:val="00E76577"/>
    <w:rsid w:val="00E7750C"/>
    <w:rsid w:val="00E82903"/>
    <w:rsid w:val="00E837D9"/>
    <w:rsid w:val="00E8416B"/>
    <w:rsid w:val="00E946DB"/>
    <w:rsid w:val="00E95FC8"/>
    <w:rsid w:val="00E96CFA"/>
    <w:rsid w:val="00E96FA5"/>
    <w:rsid w:val="00E97687"/>
    <w:rsid w:val="00E9771C"/>
    <w:rsid w:val="00EA6A28"/>
    <w:rsid w:val="00EB5B74"/>
    <w:rsid w:val="00EB60EF"/>
    <w:rsid w:val="00ED384B"/>
    <w:rsid w:val="00ED39C3"/>
    <w:rsid w:val="00ED3AC8"/>
    <w:rsid w:val="00ED3E5F"/>
    <w:rsid w:val="00ED4FA7"/>
    <w:rsid w:val="00ED6EAD"/>
    <w:rsid w:val="00EE138B"/>
    <w:rsid w:val="00EE1CFC"/>
    <w:rsid w:val="00EE30BC"/>
    <w:rsid w:val="00EE3DEE"/>
    <w:rsid w:val="00EE44B0"/>
    <w:rsid w:val="00EE557E"/>
    <w:rsid w:val="00EE6975"/>
    <w:rsid w:val="00EF1929"/>
    <w:rsid w:val="00EF1A4E"/>
    <w:rsid w:val="00EF38C8"/>
    <w:rsid w:val="00EF5F4A"/>
    <w:rsid w:val="00F00CAA"/>
    <w:rsid w:val="00F02438"/>
    <w:rsid w:val="00F02D33"/>
    <w:rsid w:val="00F06BBD"/>
    <w:rsid w:val="00F13A3F"/>
    <w:rsid w:val="00F14C03"/>
    <w:rsid w:val="00F166AB"/>
    <w:rsid w:val="00F16A63"/>
    <w:rsid w:val="00F1736B"/>
    <w:rsid w:val="00F174BA"/>
    <w:rsid w:val="00F23D49"/>
    <w:rsid w:val="00F25366"/>
    <w:rsid w:val="00F26E4A"/>
    <w:rsid w:val="00F271FE"/>
    <w:rsid w:val="00F3543B"/>
    <w:rsid w:val="00F36E97"/>
    <w:rsid w:val="00F44EC3"/>
    <w:rsid w:val="00F50E44"/>
    <w:rsid w:val="00F51456"/>
    <w:rsid w:val="00F51ACA"/>
    <w:rsid w:val="00F52325"/>
    <w:rsid w:val="00F52E78"/>
    <w:rsid w:val="00F5705B"/>
    <w:rsid w:val="00F60DEF"/>
    <w:rsid w:val="00F63B89"/>
    <w:rsid w:val="00F674AA"/>
    <w:rsid w:val="00F67883"/>
    <w:rsid w:val="00F71B17"/>
    <w:rsid w:val="00F7203F"/>
    <w:rsid w:val="00F72902"/>
    <w:rsid w:val="00F73986"/>
    <w:rsid w:val="00F80562"/>
    <w:rsid w:val="00F80B6D"/>
    <w:rsid w:val="00F81775"/>
    <w:rsid w:val="00F82223"/>
    <w:rsid w:val="00F84A4B"/>
    <w:rsid w:val="00F87268"/>
    <w:rsid w:val="00F936A6"/>
    <w:rsid w:val="00FA1213"/>
    <w:rsid w:val="00FA18BE"/>
    <w:rsid w:val="00FA4235"/>
    <w:rsid w:val="00FB390B"/>
    <w:rsid w:val="00FB39D3"/>
    <w:rsid w:val="00FB4A64"/>
    <w:rsid w:val="00FB621F"/>
    <w:rsid w:val="00FC22A8"/>
    <w:rsid w:val="00FD0EB1"/>
    <w:rsid w:val="00FD3FB0"/>
    <w:rsid w:val="00FD4946"/>
    <w:rsid w:val="00FD503F"/>
    <w:rsid w:val="00FD6FA5"/>
    <w:rsid w:val="00FE1E24"/>
    <w:rsid w:val="00FE2BDC"/>
    <w:rsid w:val="00FE77E2"/>
    <w:rsid w:val="00FF5724"/>
    <w:rsid w:val="00FF5EEA"/>
    <w:rsid w:val="016D63C3"/>
    <w:rsid w:val="018C60E8"/>
    <w:rsid w:val="02163049"/>
    <w:rsid w:val="02263A6A"/>
    <w:rsid w:val="02640F5E"/>
    <w:rsid w:val="02696650"/>
    <w:rsid w:val="026E7000"/>
    <w:rsid w:val="028B4FDC"/>
    <w:rsid w:val="02FF75B1"/>
    <w:rsid w:val="03043453"/>
    <w:rsid w:val="031C14B8"/>
    <w:rsid w:val="03377163"/>
    <w:rsid w:val="03991E94"/>
    <w:rsid w:val="03A342E3"/>
    <w:rsid w:val="03DE2F1D"/>
    <w:rsid w:val="040C77F0"/>
    <w:rsid w:val="044048BF"/>
    <w:rsid w:val="04C05DFC"/>
    <w:rsid w:val="04F14151"/>
    <w:rsid w:val="04F80880"/>
    <w:rsid w:val="050277BE"/>
    <w:rsid w:val="057D6CE6"/>
    <w:rsid w:val="0593395C"/>
    <w:rsid w:val="05986BB9"/>
    <w:rsid w:val="05A723AD"/>
    <w:rsid w:val="0657535E"/>
    <w:rsid w:val="06597D88"/>
    <w:rsid w:val="06CF1DA0"/>
    <w:rsid w:val="06D55590"/>
    <w:rsid w:val="075E2E67"/>
    <w:rsid w:val="07B74988"/>
    <w:rsid w:val="07BB00B8"/>
    <w:rsid w:val="07EF1E3C"/>
    <w:rsid w:val="0816620B"/>
    <w:rsid w:val="0827534C"/>
    <w:rsid w:val="08477956"/>
    <w:rsid w:val="08693F08"/>
    <w:rsid w:val="08D31BE9"/>
    <w:rsid w:val="08E6247E"/>
    <w:rsid w:val="0959335B"/>
    <w:rsid w:val="095A4E0A"/>
    <w:rsid w:val="09AC3E69"/>
    <w:rsid w:val="09CC6D91"/>
    <w:rsid w:val="09EC5DC7"/>
    <w:rsid w:val="0A8C1984"/>
    <w:rsid w:val="0ABE6DD0"/>
    <w:rsid w:val="0B042F72"/>
    <w:rsid w:val="0B50429D"/>
    <w:rsid w:val="0B630F71"/>
    <w:rsid w:val="0B686817"/>
    <w:rsid w:val="0B8B2483"/>
    <w:rsid w:val="0B8C244B"/>
    <w:rsid w:val="0BA304C4"/>
    <w:rsid w:val="0BE47A77"/>
    <w:rsid w:val="0C116B57"/>
    <w:rsid w:val="0C284DDB"/>
    <w:rsid w:val="0CA83F00"/>
    <w:rsid w:val="0D0E3A43"/>
    <w:rsid w:val="0D210741"/>
    <w:rsid w:val="0D375678"/>
    <w:rsid w:val="0D5E2C8D"/>
    <w:rsid w:val="0D601101"/>
    <w:rsid w:val="0D931CE9"/>
    <w:rsid w:val="0DA25CD5"/>
    <w:rsid w:val="0DC61EF6"/>
    <w:rsid w:val="0E160B42"/>
    <w:rsid w:val="0E1834B7"/>
    <w:rsid w:val="0E3B7F3C"/>
    <w:rsid w:val="0E657269"/>
    <w:rsid w:val="0E6C6C11"/>
    <w:rsid w:val="0EF31F47"/>
    <w:rsid w:val="0F405336"/>
    <w:rsid w:val="0F711295"/>
    <w:rsid w:val="0F714130"/>
    <w:rsid w:val="0F972671"/>
    <w:rsid w:val="0FAB1A41"/>
    <w:rsid w:val="0FAC21BB"/>
    <w:rsid w:val="0FFB4E11"/>
    <w:rsid w:val="10127C91"/>
    <w:rsid w:val="10B45197"/>
    <w:rsid w:val="11190234"/>
    <w:rsid w:val="11C100C5"/>
    <w:rsid w:val="12091872"/>
    <w:rsid w:val="12287C2A"/>
    <w:rsid w:val="12574CC7"/>
    <w:rsid w:val="127C4FD8"/>
    <w:rsid w:val="128321FA"/>
    <w:rsid w:val="12BA7708"/>
    <w:rsid w:val="12D515DC"/>
    <w:rsid w:val="12EC7C11"/>
    <w:rsid w:val="12F36F0B"/>
    <w:rsid w:val="12F42D6A"/>
    <w:rsid w:val="133C7397"/>
    <w:rsid w:val="13FA6895"/>
    <w:rsid w:val="14175A8D"/>
    <w:rsid w:val="141C0E89"/>
    <w:rsid w:val="14C01A90"/>
    <w:rsid w:val="14C6249D"/>
    <w:rsid w:val="14D95386"/>
    <w:rsid w:val="150507E1"/>
    <w:rsid w:val="153F285C"/>
    <w:rsid w:val="15B40BDF"/>
    <w:rsid w:val="15E6743C"/>
    <w:rsid w:val="15EA4F09"/>
    <w:rsid w:val="15EA5A58"/>
    <w:rsid w:val="160E76B8"/>
    <w:rsid w:val="17543163"/>
    <w:rsid w:val="17F4314D"/>
    <w:rsid w:val="17F6010B"/>
    <w:rsid w:val="180242C5"/>
    <w:rsid w:val="18024725"/>
    <w:rsid w:val="1846524A"/>
    <w:rsid w:val="185A320C"/>
    <w:rsid w:val="18C966BD"/>
    <w:rsid w:val="18CB0038"/>
    <w:rsid w:val="18DE3ADD"/>
    <w:rsid w:val="191E0245"/>
    <w:rsid w:val="193D5435"/>
    <w:rsid w:val="19FD2228"/>
    <w:rsid w:val="1A894980"/>
    <w:rsid w:val="1AA5179F"/>
    <w:rsid w:val="1B115ED7"/>
    <w:rsid w:val="1B403C20"/>
    <w:rsid w:val="1B4468B4"/>
    <w:rsid w:val="1B662A61"/>
    <w:rsid w:val="1B6D0ACF"/>
    <w:rsid w:val="1BD150B2"/>
    <w:rsid w:val="1C454EDA"/>
    <w:rsid w:val="1D446E85"/>
    <w:rsid w:val="1D5641A1"/>
    <w:rsid w:val="1D8242C0"/>
    <w:rsid w:val="1D8E1D72"/>
    <w:rsid w:val="1E2467D9"/>
    <w:rsid w:val="1E5A5517"/>
    <w:rsid w:val="1EAE54AC"/>
    <w:rsid w:val="1F107A40"/>
    <w:rsid w:val="1F420615"/>
    <w:rsid w:val="1FE33127"/>
    <w:rsid w:val="200817F2"/>
    <w:rsid w:val="20231B79"/>
    <w:rsid w:val="20316CA6"/>
    <w:rsid w:val="205E0ADA"/>
    <w:rsid w:val="207E5393"/>
    <w:rsid w:val="20886A49"/>
    <w:rsid w:val="209F7214"/>
    <w:rsid w:val="21676C83"/>
    <w:rsid w:val="219B7686"/>
    <w:rsid w:val="22207A2C"/>
    <w:rsid w:val="22487E46"/>
    <w:rsid w:val="22B777AD"/>
    <w:rsid w:val="22F30237"/>
    <w:rsid w:val="230D35A6"/>
    <w:rsid w:val="231A0E1D"/>
    <w:rsid w:val="234A7F94"/>
    <w:rsid w:val="23601F86"/>
    <w:rsid w:val="236039D3"/>
    <w:rsid w:val="23711C12"/>
    <w:rsid w:val="237B1154"/>
    <w:rsid w:val="239B62CD"/>
    <w:rsid w:val="23B365E3"/>
    <w:rsid w:val="23D027F8"/>
    <w:rsid w:val="246349B2"/>
    <w:rsid w:val="24DD5582"/>
    <w:rsid w:val="2517672F"/>
    <w:rsid w:val="254A4C2A"/>
    <w:rsid w:val="25574DD1"/>
    <w:rsid w:val="25705D65"/>
    <w:rsid w:val="2593310D"/>
    <w:rsid w:val="25A76F4B"/>
    <w:rsid w:val="26BD22EB"/>
    <w:rsid w:val="26C6749C"/>
    <w:rsid w:val="272073E7"/>
    <w:rsid w:val="27322D72"/>
    <w:rsid w:val="27AA03B6"/>
    <w:rsid w:val="27B13841"/>
    <w:rsid w:val="27BB1529"/>
    <w:rsid w:val="27CB137A"/>
    <w:rsid w:val="27FD1AB2"/>
    <w:rsid w:val="280A17B2"/>
    <w:rsid w:val="283C6E5C"/>
    <w:rsid w:val="28467079"/>
    <w:rsid w:val="286E31DB"/>
    <w:rsid w:val="29131665"/>
    <w:rsid w:val="29B822E2"/>
    <w:rsid w:val="29BD6F7E"/>
    <w:rsid w:val="29E17185"/>
    <w:rsid w:val="2A10731B"/>
    <w:rsid w:val="2A64039D"/>
    <w:rsid w:val="2A976264"/>
    <w:rsid w:val="2B0D1277"/>
    <w:rsid w:val="2B15352A"/>
    <w:rsid w:val="2B582DBE"/>
    <w:rsid w:val="2B656467"/>
    <w:rsid w:val="2BBC1832"/>
    <w:rsid w:val="2BF078B5"/>
    <w:rsid w:val="2C930C1C"/>
    <w:rsid w:val="2CAF2983"/>
    <w:rsid w:val="2D1E01AC"/>
    <w:rsid w:val="2D492D23"/>
    <w:rsid w:val="2D563D25"/>
    <w:rsid w:val="2D760652"/>
    <w:rsid w:val="2D9040BE"/>
    <w:rsid w:val="2DA653A2"/>
    <w:rsid w:val="2DC81700"/>
    <w:rsid w:val="2E024CAA"/>
    <w:rsid w:val="2E070FBD"/>
    <w:rsid w:val="2E2F3FAF"/>
    <w:rsid w:val="2E3171AA"/>
    <w:rsid w:val="2E5655C9"/>
    <w:rsid w:val="2E616753"/>
    <w:rsid w:val="2E8E72E0"/>
    <w:rsid w:val="2E8F1739"/>
    <w:rsid w:val="2EB01632"/>
    <w:rsid w:val="2F1E0889"/>
    <w:rsid w:val="2F2346E5"/>
    <w:rsid w:val="2F7D3726"/>
    <w:rsid w:val="2FA76C0F"/>
    <w:rsid w:val="2FB50ED2"/>
    <w:rsid w:val="2FD52559"/>
    <w:rsid w:val="30A91E90"/>
    <w:rsid w:val="30AD0AB4"/>
    <w:rsid w:val="30C30EFD"/>
    <w:rsid w:val="313B5E4B"/>
    <w:rsid w:val="31CE6011"/>
    <w:rsid w:val="31EB2C91"/>
    <w:rsid w:val="31EE188B"/>
    <w:rsid w:val="32910D06"/>
    <w:rsid w:val="32965D23"/>
    <w:rsid w:val="32D56E28"/>
    <w:rsid w:val="33251152"/>
    <w:rsid w:val="337173AD"/>
    <w:rsid w:val="337C0BC7"/>
    <w:rsid w:val="33A53E87"/>
    <w:rsid w:val="33F77D19"/>
    <w:rsid w:val="340933E2"/>
    <w:rsid w:val="34184A44"/>
    <w:rsid w:val="34491E2C"/>
    <w:rsid w:val="34B46E1E"/>
    <w:rsid w:val="34D00759"/>
    <w:rsid w:val="34D17BBE"/>
    <w:rsid w:val="34F25B53"/>
    <w:rsid w:val="35024285"/>
    <w:rsid w:val="352155FC"/>
    <w:rsid w:val="35B55ED1"/>
    <w:rsid w:val="36037E73"/>
    <w:rsid w:val="3620139B"/>
    <w:rsid w:val="36320E6C"/>
    <w:rsid w:val="36922A40"/>
    <w:rsid w:val="36941A17"/>
    <w:rsid w:val="36A56FDB"/>
    <w:rsid w:val="3754170A"/>
    <w:rsid w:val="37E7382E"/>
    <w:rsid w:val="37F97235"/>
    <w:rsid w:val="380F3363"/>
    <w:rsid w:val="38FC6976"/>
    <w:rsid w:val="391259FE"/>
    <w:rsid w:val="39232548"/>
    <w:rsid w:val="398A0D47"/>
    <w:rsid w:val="398A7FD4"/>
    <w:rsid w:val="39B903EB"/>
    <w:rsid w:val="39CB72D9"/>
    <w:rsid w:val="39DD7F73"/>
    <w:rsid w:val="3A47766C"/>
    <w:rsid w:val="3A481914"/>
    <w:rsid w:val="3A4B410B"/>
    <w:rsid w:val="3A52250F"/>
    <w:rsid w:val="3A94292C"/>
    <w:rsid w:val="3B352264"/>
    <w:rsid w:val="3BBB66D0"/>
    <w:rsid w:val="3C060856"/>
    <w:rsid w:val="3C1A4930"/>
    <w:rsid w:val="3C8B2997"/>
    <w:rsid w:val="3C9632B0"/>
    <w:rsid w:val="3CB32EF7"/>
    <w:rsid w:val="3CE226E3"/>
    <w:rsid w:val="3D1804FD"/>
    <w:rsid w:val="3D3C7165"/>
    <w:rsid w:val="3D4A4FD3"/>
    <w:rsid w:val="3D7326C2"/>
    <w:rsid w:val="3E2D1C42"/>
    <w:rsid w:val="3E315C25"/>
    <w:rsid w:val="3E7F01FE"/>
    <w:rsid w:val="3EA52FC4"/>
    <w:rsid w:val="3EBB3D30"/>
    <w:rsid w:val="3F0235F2"/>
    <w:rsid w:val="3F567A5E"/>
    <w:rsid w:val="3F9B4C94"/>
    <w:rsid w:val="3FB30F49"/>
    <w:rsid w:val="3FF514D6"/>
    <w:rsid w:val="401B7510"/>
    <w:rsid w:val="403E03A7"/>
    <w:rsid w:val="40D93505"/>
    <w:rsid w:val="413819F4"/>
    <w:rsid w:val="414828E0"/>
    <w:rsid w:val="41A01E1E"/>
    <w:rsid w:val="41D629D2"/>
    <w:rsid w:val="422A2EC4"/>
    <w:rsid w:val="42491454"/>
    <w:rsid w:val="42832166"/>
    <w:rsid w:val="435F7A8B"/>
    <w:rsid w:val="437C3B8F"/>
    <w:rsid w:val="43B67EE1"/>
    <w:rsid w:val="43B8707A"/>
    <w:rsid w:val="43BA32D8"/>
    <w:rsid w:val="43C34246"/>
    <w:rsid w:val="43CB7F47"/>
    <w:rsid w:val="44365EAB"/>
    <w:rsid w:val="448D17A8"/>
    <w:rsid w:val="44B00F10"/>
    <w:rsid w:val="44F359DE"/>
    <w:rsid w:val="45175374"/>
    <w:rsid w:val="452A13AC"/>
    <w:rsid w:val="452C75FA"/>
    <w:rsid w:val="453F680A"/>
    <w:rsid w:val="45AC730F"/>
    <w:rsid w:val="45C35B2A"/>
    <w:rsid w:val="45E07507"/>
    <w:rsid w:val="45E67A66"/>
    <w:rsid w:val="45F211D7"/>
    <w:rsid w:val="45FC5E74"/>
    <w:rsid w:val="4646107F"/>
    <w:rsid w:val="465C34CA"/>
    <w:rsid w:val="468F306F"/>
    <w:rsid w:val="46B32A60"/>
    <w:rsid w:val="46B81C63"/>
    <w:rsid w:val="46DD4FCB"/>
    <w:rsid w:val="46F87C7E"/>
    <w:rsid w:val="47225075"/>
    <w:rsid w:val="472C039C"/>
    <w:rsid w:val="47691D1E"/>
    <w:rsid w:val="47731513"/>
    <w:rsid w:val="48061A11"/>
    <w:rsid w:val="48277FBE"/>
    <w:rsid w:val="488926DB"/>
    <w:rsid w:val="48A905B5"/>
    <w:rsid w:val="48F15CF1"/>
    <w:rsid w:val="49191BC6"/>
    <w:rsid w:val="49480FD3"/>
    <w:rsid w:val="49591100"/>
    <w:rsid w:val="495F7A91"/>
    <w:rsid w:val="49826A69"/>
    <w:rsid w:val="499D0EA2"/>
    <w:rsid w:val="49A13A0B"/>
    <w:rsid w:val="4A005AEA"/>
    <w:rsid w:val="4A7A629D"/>
    <w:rsid w:val="4AE102C3"/>
    <w:rsid w:val="4B0C2FC4"/>
    <w:rsid w:val="4B541599"/>
    <w:rsid w:val="4B626D13"/>
    <w:rsid w:val="4C343101"/>
    <w:rsid w:val="4C5D4DA0"/>
    <w:rsid w:val="4C757C67"/>
    <w:rsid w:val="4CC13766"/>
    <w:rsid w:val="4CCF1074"/>
    <w:rsid w:val="4D363CF4"/>
    <w:rsid w:val="4D631146"/>
    <w:rsid w:val="4D8E2222"/>
    <w:rsid w:val="4D925E41"/>
    <w:rsid w:val="4DDF7F08"/>
    <w:rsid w:val="4DE3270B"/>
    <w:rsid w:val="4DFF1C82"/>
    <w:rsid w:val="4E0919BA"/>
    <w:rsid w:val="4E297B81"/>
    <w:rsid w:val="4EA02040"/>
    <w:rsid w:val="4EDB0D1F"/>
    <w:rsid w:val="4F2C5FAD"/>
    <w:rsid w:val="4F5A6B4B"/>
    <w:rsid w:val="4F894715"/>
    <w:rsid w:val="506A477A"/>
    <w:rsid w:val="508560CD"/>
    <w:rsid w:val="50B13E0F"/>
    <w:rsid w:val="50CE7D3E"/>
    <w:rsid w:val="50E56209"/>
    <w:rsid w:val="516F2B90"/>
    <w:rsid w:val="518735F3"/>
    <w:rsid w:val="520F1199"/>
    <w:rsid w:val="52554FD7"/>
    <w:rsid w:val="526752DA"/>
    <w:rsid w:val="526E1DFE"/>
    <w:rsid w:val="526F14A0"/>
    <w:rsid w:val="52BF31BD"/>
    <w:rsid w:val="53234733"/>
    <w:rsid w:val="535816F9"/>
    <w:rsid w:val="53583BA4"/>
    <w:rsid w:val="544562AB"/>
    <w:rsid w:val="54760E28"/>
    <w:rsid w:val="550674F5"/>
    <w:rsid w:val="551C3881"/>
    <w:rsid w:val="558357E5"/>
    <w:rsid w:val="55CE7A31"/>
    <w:rsid w:val="55E33EBA"/>
    <w:rsid w:val="55F433E1"/>
    <w:rsid w:val="56EE359F"/>
    <w:rsid w:val="570E04E3"/>
    <w:rsid w:val="5711077B"/>
    <w:rsid w:val="574D65C9"/>
    <w:rsid w:val="57A5784A"/>
    <w:rsid w:val="57B27D94"/>
    <w:rsid w:val="57C36E12"/>
    <w:rsid w:val="57C635FA"/>
    <w:rsid w:val="57C73F7A"/>
    <w:rsid w:val="58001CE5"/>
    <w:rsid w:val="581E01A0"/>
    <w:rsid w:val="58405578"/>
    <w:rsid w:val="58971AA0"/>
    <w:rsid w:val="58A66E25"/>
    <w:rsid w:val="58C8122D"/>
    <w:rsid w:val="58D02C2C"/>
    <w:rsid w:val="59664D2F"/>
    <w:rsid w:val="59764043"/>
    <w:rsid w:val="59B472A6"/>
    <w:rsid w:val="59EB3936"/>
    <w:rsid w:val="5A06271B"/>
    <w:rsid w:val="5A2F7AAD"/>
    <w:rsid w:val="5A5639A7"/>
    <w:rsid w:val="5AC65DFE"/>
    <w:rsid w:val="5B145F58"/>
    <w:rsid w:val="5B215CE2"/>
    <w:rsid w:val="5B2B1108"/>
    <w:rsid w:val="5B3E5501"/>
    <w:rsid w:val="5B400BAC"/>
    <w:rsid w:val="5B5C0964"/>
    <w:rsid w:val="5B63690A"/>
    <w:rsid w:val="5B67455B"/>
    <w:rsid w:val="5B7A5DAE"/>
    <w:rsid w:val="5BA24100"/>
    <w:rsid w:val="5BB21352"/>
    <w:rsid w:val="5BE76092"/>
    <w:rsid w:val="5C644ADE"/>
    <w:rsid w:val="5C7D6EFC"/>
    <w:rsid w:val="5C8E26E3"/>
    <w:rsid w:val="5CA06A47"/>
    <w:rsid w:val="5D017750"/>
    <w:rsid w:val="5D6B6EC6"/>
    <w:rsid w:val="5D6C7039"/>
    <w:rsid w:val="5D6E00DD"/>
    <w:rsid w:val="5D936C07"/>
    <w:rsid w:val="5DD07671"/>
    <w:rsid w:val="5DD3297D"/>
    <w:rsid w:val="5DE55ECF"/>
    <w:rsid w:val="5E102940"/>
    <w:rsid w:val="5EC671E3"/>
    <w:rsid w:val="5ECC32C2"/>
    <w:rsid w:val="5F161F0D"/>
    <w:rsid w:val="5F233260"/>
    <w:rsid w:val="608228D5"/>
    <w:rsid w:val="60825B9A"/>
    <w:rsid w:val="60A915FA"/>
    <w:rsid w:val="60AA3F77"/>
    <w:rsid w:val="60D03031"/>
    <w:rsid w:val="614767C9"/>
    <w:rsid w:val="617A6B73"/>
    <w:rsid w:val="619F51CB"/>
    <w:rsid w:val="61AF1B3F"/>
    <w:rsid w:val="62455C15"/>
    <w:rsid w:val="625D24C4"/>
    <w:rsid w:val="62703A05"/>
    <w:rsid w:val="62D32286"/>
    <w:rsid w:val="62D77DA8"/>
    <w:rsid w:val="63194026"/>
    <w:rsid w:val="6340177C"/>
    <w:rsid w:val="6349281A"/>
    <w:rsid w:val="63640121"/>
    <w:rsid w:val="63EC1236"/>
    <w:rsid w:val="640D3352"/>
    <w:rsid w:val="64332D58"/>
    <w:rsid w:val="64BA0202"/>
    <w:rsid w:val="64C5553C"/>
    <w:rsid w:val="651B4E5E"/>
    <w:rsid w:val="6529301F"/>
    <w:rsid w:val="652B5686"/>
    <w:rsid w:val="65443350"/>
    <w:rsid w:val="65795C14"/>
    <w:rsid w:val="658C1D9B"/>
    <w:rsid w:val="659E6287"/>
    <w:rsid w:val="6620185F"/>
    <w:rsid w:val="668A0BE5"/>
    <w:rsid w:val="66B41AAF"/>
    <w:rsid w:val="67376BAD"/>
    <w:rsid w:val="678C5B3A"/>
    <w:rsid w:val="68355F74"/>
    <w:rsid w:val="68566139"/>
    <w:rsid w:val="689A1B76"/>
    <w:rsid w:val="68E21400"/>
    <w:rsid w:val="69034C66"/>
    <w:rsid w:val="69173910"/>
    <w:rsid w:val="69325D12"/>
    <w:rsid w:val="69361288"/>
    <w:rsid w:val="69DF5825"/>
    <w:rsid w:val="6A2D6D19"/>
    <w:rsid w:val="6A4839B0"/>
    <w:rsid w:val="6A4E506E"/>
    <w:rsid w:val="6AD52328"/>
    <w:rsid w:val="6B42330E"/>
    <w:rsid w:val="6B7A1505"/>
    <w:rsid w:val="6B8B1D24"/>
    <w:rsid w:val="6BEE0B00"/>
    <w:rsid w:val="6BFC4975"/>
    <w:rsid w:val="6C471F60"/>
    <w:rsid w:val="6C6C4D10"/>
    <w:rsid w:val="6CB041D5"/>
    <w:rsid w:val="6CD83126"/>
    <w:rsid w:val="6CE376BE"/>
    <w:rsid w:val="6CE624E6"/>
    <w:rsid w:val="6CF20FEF"/>
    <w:rsid w:val="6D0C1D95"/>
    <w:rsid w:val="6D2627ED"/>
    <w:rsid w:val="6D4B103A"/>
    <w:rsid w:val="6D7A5D1B"/>
    <w:rsid w:val="6DB75351"/>
    <w:rsid w:val="6DDB247D"/>
    <w:rsid w:val="6DDE1058"/>
    <w:rsid w:val="6DE25313"/>
    <w:rsid w:val="6E8437FF"/>
    <w:rsid w:val="6E976185"/>
    <w:rsid w:val="6E985596"/>
    <w:rsid w:val="6ED73E6A"/>
    <w:rsid w:val="6F00117C"/>
    <w:rsid w:val="6F0C0CCE"/>
    <w:rsid w:val="6F205B94"/>
    <w:rsid w:val="6F6F6B86"/>
    <w:rsid w:val="6FA275BE"/>
    <w:rsid w:val="6FC27339"/>
    <w:rsid w:val="70277F59"/>
    <w:rsid w:val="702E7993"/>
    <w:rsid w:val="704949D2"/>
    <w:rsid w:val="70575F5B"/>
    <w:rsid w:val="707164E5"/>
    <w:rsid w:val="70921137"/>
    <w:rsid w:val="70A740C9"/>
    <w:rsid w:val="71121D09"/>
    <w:rsid w:val="71236940"/>
    <w:rsid w:val="71B33EAD"/>
    <w:rsid w:val="71CE46EB"/>
    <w:rsid w:val="721B1C8E"/>
    <w:rsid w:val="72970C78"/>
    <w:rsid w:val="72B4514E"/>
    <w:rsid w:val="73227717"/>
    <w:rsid w:val="7329728B"/>
    <w:rsid w:val="733B4F53"/>
    <w:rsid w:val="73524F1B"/>
    <w:rsid w:val="73583EF7"/>
    <w:rsid w:val="736733ED"/>
    <w:rsid w:val="738B56F9"/>
    <w:rsid w:val="73AB00CD"/>
    <w:rsid w:val="73B01202"/>
    <w:rsid w:val="73E311F1"/>
    <w:rsid w:val="73E85DAF"/>
    <w:rsid w:val="746744B8"/>
    <w:rsid w:val="74855E4B"/>
    <w:rsid w:val="74941B0C"/>
    <w:rsid w:val="749C67DD"/>
    <w:rsid w:val="74E369B0"/>
    <w:rsid w:val="74E41EBF"/>
    <w:rsid w:val="751721FE"/>
    <w:rsid w:val="754171C8"/>
    <w:rsid w:val="75CD5B5F"/>
    <w:rsid w:val="75E03680"/>
    <w:rsid w:val="7677512A"/>
    <w:rsid w:val="77326170"/>
    <w:rsid w:val="77451348"/>
    <w:rsid w:val="77E37D2F"/>
    <w:rsid w:val="78641656"/>
    <w:rsid w:val="78A33C25"/>
    <w:rsid w:val="795276A3"/>
    <w:rsid w:val="79FF059F"/>
    <w:rsid w:val="7A035763"/>
    <w:rsid w:val="7A1B4B56"/>
    <w:rsid w:val="7A552597"/>
    <w:rsid w:val="7A6A64AB"/>
    <w:rsid w:val="7A812603"/>
    <w:rsid w:val="7A904904"/>
    <w:rsid w:val="7B8873A8"/>
    <w:rsid w:val="7BBE6EBB"/>
    <w:rsid w:val="7BD65F56"/>
    <w:rsid w:val="7C2905ED"/>
    <w:rsid w:val="7C914697"/>
    <w:rsid w:val="7CFA7184"/>
    <w:rsid w:val="7D1E4FCB"/>
    <w:rsid w:val="7D6D4E19"/>
    <w:rsid w:val="7D6E1B25"/>
    <w:rsid w:val="7D8F1C73"/>
    <w:rsid w:val="7DA24033"/>
    <w:rsid w:val="7DB6075C"/>
    <w:rsid w:val="7E095DB5"/>
    <w:rsid w:val="7E0C45FE"/>
    <w:rsid w:val="7E0F3047"/>
    <w:rsid w:val="7E1A70F0"/>
    <w:rsid w:val="7E4108BE"/>
    <w:rsid w:val="7EE93F82"/>
    <w:rsid w:val="7F4D70F3"/>
    <w:rsid w:val="7F6231E9"/>
    <w:rsid w:val="7F714384"/>
    <w:rsid w:val="7FC54EC5"/>
    <w:rsid w:val="7FFA6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widowControl/>
      <w:spacing w:line="413" w:lineRule="auto"/>
      <w:ind w:left="300" w:leftChars="300"/>
      <w:outlineLvl w:val="1"/>
    </w:pPr>
    <w:rPr>
      <w:rFonts w:ascii="Arial" w:hAnsi="Arial" w:eastAsia="楷体"/>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kern w:val="0"/>
      <w:sz w:val="24"/>
      <w:szCs w:val="20"/>
    </w:rPr>
  </w:style>
  <w:style w:type="paragraph" w:styleId="4">
    <w:name w:val="annotation text"/>
    <w:basedOn w:val="1"/>
    <w:link w:val="32"/>
    <w:unhideWhenUsed/>
    <w:qFormat/>
    <w:uiPriority w:val="0"/>
    <w:pPr>
      <w:jc w:val="left"/>
    </w:pPr>
  </w:style>
  <w:style w:type="paragraph" w:styleId="5">
    <w:name w:val="Body Text"/>
    <w:basedOn w:val="1"/>
    <w:next w:val="6"/>
    <w:link w:val="29"/>
    <w:unhideWhenUsed/>
    <w:qFormat/>
    <w:uiPriority w:val="99"/>
    <w:pPr>
      <w:spacing w:after="120"/>
    </w:p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Balloon Text"/>
    <w:basedOn w:val="1"/>
    <w:link w:val="27"/>
    <w:qFormat/>
    <w:uiPriority w:val="0"/>
    <w:rPr>
      <w:sz w:val="18"/>
      <w:szCs w:val="18"/>
    </w:rPr>
  </w:style>
  <w:style w:type="paragraph" w:styleId="9">
    <w:name w:val="footer"/>
    <w:basedOn w:val="1"/>
    <w:link w:val="3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annotation subject"/>
    <w:basedOn w:val="4"/>
    <w:next w:val="4"/>
    <w:link w:val="33"/>
    <w:unhideWhenUsed/>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annotation reference"/>
    <w:basedOn w:val="17"/>
    <w:unhideWhenUsed/>
    <w:qFormat/>
    <w:uiPriority w:val="0"/>
    <w:rPr>
      <w:sz w:val="21"/>
      <w:szCs w:val="21"/>
    </w:rPr>
  </w:style>
  <w:style w:type="character" w:styleId="21">
    <w:name w:val="footnote reference"/>
    <w:basedOn w:val="17"/>
    <w:qFormat/>
    <w:uiPriority w:val="0"/>
    <w:rPr>
      <w:vertAlign w:val="superscript"/>
    </w:rPr>
  </w:style>
  <w:style w:type="character" w:customStyle="1" w:styleId="22">
    <w:name w:val="font01"/>
    <w:basedOn w:val="17"/>
    <w:qFormat/>
    <w:uiPriority w:val="0"/>
    <w:rPr>
      <w:rFonts w:hint="eastAsia" w:ascii="宋体" w:hAnsi="宋体" w:eastAsia="宋体" w:cs="宋体"/>
      <w:color w:val="000000"/>
      <w:sz w:val="24"/>
      <w:szCs w:val="24"/>
      <w:u w:val="none"/>
    </w:rPr>
  </w:style>
  <w:style w:type="character" w:customStyle="1" w:styleId="23">
    <w:name w:val="font21"/>
    <w:basedOn w:val="17"/>
    <w:qFormat/>
    <w:uiPriority w:val="0"/>
    <w:rPr>
      <w:rFonts w:hint="default" w:ascii="Calibri" w:hAnsi="Calibri" w:cs="Calibri"/>
      <w:color w:val="000000"/>
      <w:sz w:val="24"/>
      <w:szCs w:val="24"/>
      <w:u w:val="none"/>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8">
    <w:name w:val="列表段落1"/>
    <w:basedOn w:val="1"/>
    <w:qFormat/>
    <w:uiPriority w:val="99"/>
    <w:pPr>
      <w:ind w:firstLine="420" w:firstLineChars="200"/>
    </w:pPr>
  </w:style>
  <w:style w:type="character" w:customStyle="1" w:styleId="29">
    <w:name w:val="正文文本 Char"/>
    <w:basedOn w:val="17"/>
    <w:link w:val="5"/>
    <w:qFormat/>
    <w:uiPriority w:val="99"/>
    <w:rPr>
      <w:rFonts w:asciiTheme="minorHAnsi" w:hAnsiTheme="minorHAnsi" w:eastAsiaTheme="minorEastAsia" w:cstheme="minorBidi"/>
      <w:kern w:val="2"/>
      <w:sz w:val="21"/>
      <w:szCs w:val="24"/>
    </w:rPr>
  </w:style>
  <w:style w:type="character" w:customStyle="1" w:styleId="30">
    <w:name w:val="Body text|1_"/>
    <w:basedOn w:val="17"/>
    <w:link w:val="31"/>
    <w:qFormat/>
    <w:uiPriority w:val="0"/>
    <w:rPr>
      <w:rFonts w:ascii="宋体" w:hAnsi="宋体" w:cs="宋体"/>
      <w:color w:val="000000"/>
      <w:sz w:val="30"/>
      <w:szCs w:val="30"/>
      <w:lang w:val="zh-TW" w:eastAsia="zh-TW" w:bidi="zh-TW"/>
    </w:rPr>
  </w:style>
  <w:style w:type="paragraph" w:customStyle="1" w:styleId="31">
    <w:name w:val="Body text|1"/>
    <w:basedOn w:val="1"/>
    <w:link w:val="30"/>
    <w:qFormat/>
    <w:uiPriority w:val="0"/>
    <w:pPr>
      <w:spacing w:line="415" w:lineRule="auto"/>
      <w:ind w:firstLine="400"/>
      <w:jc w:val="left"/>
    </w:pPr>
    <w:rPr>
      <w:rFonts w:ascii="宋体" w:hAnsi="宋体" w:eastAsia="宋体" w:cs="宋体"/>
      <w:color w:val="000000"/>
      <w:kern w:val="0"/>
      <w:sz w:val="30"/>
      <w:szCs w:val="30"/>
      <w:lang w:val="zh-TW" w:eastAsia="zh-TW" w:bidi="zh-TW"/>
    </w:rPr>
  </w:style>
  <w:style w:type="character" w:customStyle="1" w:styleId="32">
    <w:name w:val="批注文字 Char"/>
    <w:basedOn w:val="17"/>
    <w:link w:val="4"/>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4"/>
    <w:semiHidden/>
    <w:qFormat/>
    <w:uiPriority w:val="0"/>
    <w:rPr>
      <w:rFonts w:asciiTheme="minorHAnsi" w:hAnsiTheme="minorHAnsi" w:eastAsiaTheme="minorEastAsia" w:cstheme="minorBidi"/>
      <w:b/>
      <w:bCs/>
      <w:kern w:val="2"/>
      <w:sz w:val="21"/>
      <w:szCs w:val="24"/>
    </w:rPr>
  </w:style>
  <w:style w:type="paragraph" w:customStyle="1" w:styleId="34">
    <w:name w:val="列出段落1"/>
    <w:basedOn w:val="1"/>
    <w:qFormat/>
    <w:uiPriority w:val="99"/>
    <w:pPr>
      <w:ind w:firstLine="420" w:firstLineChars="200"/>
    </w:pPr>
  </w:style>
  <w:style w:type="paragraph" w:styleId="35">
    <w:name w:val="List Paragraph"/>
    <w:basedOn w:val="1"/>
    <w:unhideWhenUsed/>
    <w:qFormat/>
    <w:uiPriority w:val="99"/>
    <w:pPr>
      <w:ind w:firstLine="420" w:firstLineChars="200"/>
    </w:pPr>
  </w:style>
  <w:style w:type="character" w:customStyle="1" w:styleId="36">
    <w:name w:val="页脚 Char"/>
    <w:basedOn w:val="17"/>
    <w:link w:val="9"/>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32034B-C888-4304-A1D9-FB8A9577561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253</Words>
  <Characters>1447</Characters>
  <Lines>12</Lines>
  <Paragraphs>3</Paragraphs>
  <TotalTime>19</TotalTime>
  <ScaleCrop>false</ScaleCrop>
  <LinksUpToDate>false</LinksUpToDate>
  <CharactersWithSpaces>1697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2021-11-14T03:06:00Z</dcterms:created>
  <dc:creator>Administrator</dc:creator>
  <cp:lastModifiedBy>贾慕熙</cp:lastModifiedBy>
  <cp:lastPrinted>2022-05-16T09:15:03Z</cp:lastPrinted>
  <dcterms:modified xsi:type="dcterms:W3CDTF">2022-05-16T09:15:06Z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41DF8C68E44A49FA92E650A6E19647A4</vt:lpwstr>
  </property>
</Properties>
</file>