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ascii="方正小标宋简体" w:hAnsi="方正小标宋简体" w:eastAsia="方正小标宋简体" w:cs="方正小标宋简体"/>
          <w:sz w:val="44"/>
          <w:szCs w:val="44"/>
        </w:rPr>
      </w:pPr>
      <w:bookmarkStart w:id="24" w:name="_GoBack"/>
      <w:bookmarkEnd w:id="24"/>
      <w:r>
        <w:rPr>
          <w:rFonts w:hint="eastAsia" w:ascii="方正小标宋简体" w:hAnsi="方正小标宋简体" w:eastAsia="方正小标宋简体" w:cs="方正小标宋简体"/>
          <w:sz w:val="44"/>
          <w:szCs w:val="44"/>
          <w:lang w:val="en-US" w:eastAsia="zh-CN"/>
        </w:rPr>
        <w:t>2019年度</w:t>
      </w:r>
      <w:r>
        <w:rPr>
          <w:rFonts w:hint="eastAsia" w:ascii="方正小标宋简体" w:hAnsi="方正小标宋简体" w:eastAsia="方正小标宋简体" w:cs="方正小标宋简体"/>
          <w:sz w:val="44"/>
          <w:szCs w:val="44"/>
        </w:rPr>
        <w:t>汕头市促进大型商贸企业发展</w:t>
      </w:r>
    </w:p>
    <w:p>
      <w:pPr>
        <w:adjustRightInd w:val="0"/>
        <w:snapToGrid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拉动消费专项资金补贴项目</w:t>
      </w:r>
    </w:p>
    <w:p>
      <w:pPr>
        <w:adjustRightInd w:val="0"/>
        <w:snapToGrid w:val="0"/>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adjustRightInd w:val="0"/>
        <w:snapToGrid w:val="0"/>
        <w:spacing w:line="600" w:lineRule="exact"/>
        <w:ind w:firstLine="640" w:firstLineChars="200"/>
        <w:outlineLvl w:val="1"/>
        <w:rPr>
          <w:rFonts w:ascii="黑体" w:hAnsi="黑体" w:eastAsia="黑体" w:cs="黑体"/>
          <w:sz w:val="32"/>
          <w:szCs w:val="32"/>
        </w:rPr>
      </w:pPr>
      <w:bookmarkStart w:id="0" w:name="_Toc3139"/>
    </w:p>
    <w:p>
      <w:pPr>
        <w:adjustRightInd w:val="0"/>
        <w:snapToGrid w:val="0"/>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一、评价项目</w:t>
      </w:r>
      <w:bookmarkEnd w:id="0"/>
      <w:r>
        <w:rPr>
          <w:rFonts w:hint="eastAsia" w:ascii="黑体" w:hAnsi="黑体" w:eastAsia="黑体" w:cs="黑体"/>
          <w:sz w:val="32"/>
          <w:szCs w:val="32"/>
        </w:rPr>
        <w:t>概要</w:t>
      </w:r>
    </w:p>
    <w:p>
      <w:pPr>
        <w:adjustRightInd w:val="0"/>
        <w:snapToGrid w:val="0"/>
        <w:spacing w:line="600" w:lineRule="exact"/>
        <w:ind w:firstLine="569" w:firstLineChars="177"/>
        <w:outlineLvl w:val="2"/>
        <w:rPr>
          <w:rFonts w:ascii="楷体" w:hAnsi="楷体" w:eastAsia="楷体" w:cs="楷体"/>
          <w:b/>
          <w:bCs/>
          <w:sz w:val="32"/>
          <w:szCs w:val="32"/>
        </w:rPr>
      </w:pPr>
      <w:bookmarkStart w:id="1" w:name="_Toc15625"/>
      <w:r>
        <w:rPr>
          <w:rFonts w:hint="eastAsia" w:ascii="楷体" w:hAnsi="楷体" w:eastAsia="楷体" w:cs="楷体"/>
          <w:b/>
          <w:bCs/>
          <w:sz w:val="32"/>
          <w:szCs w:val="32"/>
        </w:rPr>
        <w:t>（一）</w:t>
      </w:r>
      <w:bookmarkEnd w:id="1"/>
      <w:bookmarkStart w:id="2" w:name="_Toc2582"/>
      <w:r>
        <w:rPr>
          <w:rFonts w:hint="eastAsia" w:ascii="楷体" w:hAnsi="楷体" w:eastAsia="楷体" w:cs="楷体"/>
          <w:b/>
          <w:bCs/>
          <w:sz w:val="32"/>
          <w:szCs w:val="32"/>
        </w:rPr>
        <w:t>项目概况</w:t>
      </w:r>
      <w:bookmarkEnd w:id="2"/>
    </w:p>
    <w:p>
      <w:pPr>
        <w:pStyle w:val="2"/>
        <w:spacing w:beforeLines="0" w:afterLines="0"/>
        <w:ind w:firstLine="640"/>
      </w:pPr>
      <w:r>
        <w:rPr>
          <w:rFonts w:hint="eastAsia" w:eastAsia="仿宋_GB2312"/>
          <w:color w:val="000000" w:themeColor="text1"/>
          <w:sz w:val="32"/>
          <w:szCs w:val="32"/>
        </w:rPr>
        <w:t>2019年度汕头市促进大型商贸企业发展拉动消费专项资金补贴</w:t>
      </w:r>
      <w:r>
        <w:rPr>
          <w:rFonts w:eastAsia="仿宋_GB2312"/>
          <w:color w:val="000000" w:themeColor="text1"/>
          <w:sz w:val="32"/>
          <w:szCs w:val="32"/>
        </w:rPr>
        <w:t>项目</w:t>
      </w:r>
      <w:r>
        <w:rPr>
          <w:rFonts w:hint="eastAsia" w:eastAsia="仿宋_GB2312"/>
          <w:color w:val="000000" w:themeColor="text1"/>
          <w:sz w:val="32"/>
          <w:szCs w:val="32"/>
        </w:rPr>
        <w:t>预算</w:t>
      </w:r>
      <w:r>
        <w:rPr>
          <w:rFonts w:eastAsia="仿宋_GB2312"/>
          <w:color w:val="000000" w:themeColor="text1"/>
          <w:sz w:val="32"/>
          <w:szCs w:val="32"/>
        </w:rPr>
        <w:t>资金</w:t>
      </w:r>
      <w:r>
        <w:rPr>
          <w:rFonts w:hint="eastAsia" w:eastAsia="仿宋_GB2312"/>
          <w:color w:val="000000" w:themeColor="text1"/>
          <w:sz w:val="32"/>
          <w:szCs w:val="32"/>
        </w:rPr>
        <w:t>安排</w:t>
      </w:r>
      <w:r>
        <w:rPr>
          <w:rFonts w:eastAsia="仿宋_GB2312"/>
          <w:color w:val="000000" w:themeColor="text1"/>
          <w:sz w:val="32"/>
          <w:szCs w:val="32"/>
        </w:rPr>
        <w:t>3534万元，</w:t>
      </w:r>
      <w:r>
        <w:rPr>
          <w:rFonts w:hint="eastAsia" w:eastAsia="仿宋_GB2312"/>
          <w:color w:val="000000" w:themeColor="text1"/>
          <w:sz w:val="32"/>
          <w:szCs w:val="32"/>
        </w:rPr>
        <w:t>市财政实际已拨付各区县预算资金3534万元。2020年至2021年3月各区县实际拨付符合政策企业资金2870万元。2019年度汕头市促进大型商贸企业发展拉动消费专项资金各区县总体拨付率81.21%。评价基准日为2021年3月31日。</w:t>
      </w:r>
    </w:p>
    <w:p>
      <w:pPr>
        <w:adjustRightInd w:val="0"/>
        <w:snapToGrid w:val="0"/>
        <w:spacing w:line="600" w:lineRule="exact"/>
        <w:ind w:firstLine="569" w:firstLineChars="177"/>
        <w:outlineLvl w:val="2"/>
        <w:rPr>
          <w:rFonts w:ascii="楷体" w:hAnsi="楷体" w:eastAsia="楷体" w:cs="楷体"/>
          <w:b/>
          <w:bCs/>
          <w:sz w:val="32"/>
          <w:szCs w:val="32"/>
        </w:rPr>
      </w:pPr>
      <w:bookmarkStart w:id="3" w:name="_Toc20610"/>
      <w:r>
        <w:rPr>
          <w:rFonts w:hint="eastAsia" w:ascii="楷体" w:hAnsi="楷体" w:eastAsia="楷体" w:cs="楷体"/>
          <w:b/>
          <w:bCs/>
          <w:sz w:val="32"/>
          <w:szCs w:val="32"/>
        </w:rPr>
        <w:t>（二）项目绩效目标</w:t>
      </w:r>
      <w:bookmarkEnd w:id="3"/>
    </w:p>
    <w:p>
      <w:pPr>
        <w:adjustRightInd w:val="0"/>
        <w:snapToGrid w:val="0"/>
        <w:spacing w:line="600" w:lineRule="exact"/>
        <w:ind w:firstLine="566" w:firstLineChars="177"/>
        <w:outlineLvl w:val="2"/>
        <w:rPr>
          <w:rFonts w:eastAsia="仿宋_GB2312"/>
          <w:color w:val="000000" w:themeColor="text1"/>
          <w:sz w:val="32"/>
          <w:szCs w:val="32"/>
        </w:rPr>
      </w:pPr>
      <w:bookmarkStart w:id="4" w:name="_Toc15623"/>
      <w:r>
        <w:rPr>
          <w:rFonts w:hint="eastAsia" w:eastAsia="仿宋_GB2312"/>
          <w:color w:val="000000" w:themeColor="text1"/>
          <w:sz w:val="32"/>
          <w:szCs w:val="32"/>
        </w:rPr>
        <w:t>预期总体目标：通过资金奖励，支持批发零售企业纳入限上统计，实施三年培育；促进我市商贸企业做大做强。</w:t>
      </w:r>
    </w:p>
    <w:p>
      <w:pPr>
        <w:adjustRightInd w:val="0"/>
        <w:snapToGrid w:val="0"/>
        <w:spacing w:line="600" w:lineRule="exact"/>
        <w:ind w:firstLine="566" w:firstLineChars="177"/>
        <w:outlineLvl w:val="2"/>
        <w:rPr>
          <w:rFonts w:eastAsia="仿宋_GB2312"/>
          <w:color w:val="000000" w:themeColor="text1"/>
          <w:sz w:val="32"/>
          <w:szCs w:val="32"/>
        </w:rPr>
      </w:pPr>
      <w:r>
        <w:rPr>
          <w:rFonts w:hint="eastAsia" w:eastAsia="仿宋_GB2312"/>
          <w:color w:val="000000" w:themeColor="text1"/>
          <w:sz w:val="32"/>
          <w:szCs w:val="32"/>
        </w:rPr>
        <w:t>预期阶段性目标：符合政策第一项“纳入统计的限上大型批发企业”企业数超过5家；符合政策第二项“纳入统计的限上大型零售企业”企业数超过5家；符合政策“新纳入限上统计企业”企业数超过80家。</w:t>
      </w:r>
    </w:p>
    <w:p>
      <w:pPr>
        <w:adjustRightInd w:val="0"/>
        <w:snapToGrid w:val="0"/>
        <w:spacing w:line="600" w:lineRule="exact"/>
        <w:ind w:firstLine="569" w:firstLineChars="177"/>
        <w:outlineLvl w:val="2"/>
        <w:rPr>
          <w:rFonts w:ascii="楷体" w:hAnsi="楷体" w:eastAsia="楷体" w:cs="楷体"/>
          <w:b/>
          <w:bCs/>
          <w:sz w:val="32"/>
          <w:szCs w:val="32"/>
        </w:rPr>
      </w:pPr>
      <w:r>
        <w:rPr>
          <w:rFonts w:hint="eastAsia" w:ascii="楷体" w:hAnsi="楷体" w:eastAsia="楷体" w:cs="楷体"/>
          <w:b/>
          <w:bCs/>
          <w:sz w:val="32"/>
          <w:szCs w:val="32"/>
        </w:rPr>
        <w:t>（三）评价原则和方法</w:t>
      </w:r>
      <w:bookmarkEnd w:id="4"/>
    </w:p>
    <w:p>
      <w:pPr>
        <w:adjustRightInd w:val="0"/>
        <w:snapToGrid w:val="0"/>
        <w:spacing w:line="600" w:lineRule="exact"/>
        <w:ind w:firstLine="640" w:firstLineChars="200"/>
        <w:outlineLvl w:val="1"/>
        <w:rPr>
          <w:rFonts w:hint="eastAsia" w:ascii="黑体" w:hAnsi="黑体" w:eastAsia="黑体" w:cs="黑体"/>
          <w:sz w:val="32"/>
          <w:szCs w:val="32"/>
        </w:rPr>
      </w:pPr>
      <w:bookmarkStart w:id="5" w:name="_Toc31619"/>
      <w:r>
        <w:rPr>
          <w:rFonts w:hint="eastAsia" w:ascii="仿宋_GB2312" w:hAnsi="仿宋_GB2312" w:eastAsia="仿宋_GB2312" w:cs="仿宋_GB2312"/>
          <w:kern w:val="0"/>
          <w:sz w:val="32"/>
          <w:szCs w:val="32"/>
        </w:rPr>
        <w:t>根据市财政局及市商务局有关2019年度汕头市促进大型商贸企业发展拉动消费专项资金支出绩效评价的规定，本次评价工作遵循目标导向性原则、科学客观性原则和公平公正性原则，结合本项目特点，根据汕头市促进大型商贸企业发展拉动消费专项资金及各区县提供的资料，采用目标预定与实施效果比较法、问卷调查法、抽样调查法等，用定量及定性指标分析，对2019年度汕头市促进大型商贸企业发展拉动消费专项资金的投入、过程、产出和效益进行综合评估，以确定其绩效。</w:t>
      </w:r>
    </w:p>
    <w:p>
      <w:pPr>
        <w:adjustRightInd w:val="0"/>
        <w:snapToGrid w:val="0"/>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二、评价结论与绩效分析</w:t>
      </w:r>
      <w:bookmarkEnd w:id="5"/>
    </w:p>
    <w:p>
      <w:pPr>
        <w:ind w:firstLine="640" w:firstLineChars="200"/>
        <w:rPr>
          <w:rFonts w:eastAsia="仿宋_GB2312"/>
          <w:color w:val="000000" w:themeColor="text1"/>
          <w:sz w:val="32"/>
          <w:szCs w:val="32"/>
        </w:rPr>
      </w:pPr>
      <w:r>
        <w:rPr>
          <w:rFonts w:eastAsia="仿宋_GB2312"/>
          <w:color w:val="000000" w:themeColor="text1"/>
          <w:sz w:val="32"/>
          <w:szCs w:val="32"/>
        </w:rPr>
        <w:t>通过分析自评材料、</w:t>
      </w:r>
      <w:r>
        <w:rPr>
          <w:rFonts w:hint="eastAsia" w:eastAsia="仿宋_GB2312"/>
          <w:color w:val="000000" w:themeColor="text1"/>
          <w:sz w:val="32"/>
          <w:szCs w:val="32"/>
        </w:rPr>
        <w:t>各项相关政策文件、各区县</w:t>
      </w:r>
      <w:r>
        <w:rPr>
          <w:rFonts w:eastAsia="仿宋_GB2312"/>
          <w:color w:val="000000" w:themeColor="text1"/>
          <w:sz w:val="32"/>
          <w:szCs w:val="32"/>
        </w:rPr>
        <w:t>提供的相关资料、现场</w:t>
      </w:r>
      <w:r>
        <w:rPr>
          <w:rFonts w:hint="eastAsia" w:eastAsia="仿宋_GB2312"/>
          <w:color w:val="000000" w:themeColor="text1"/>
          <w:sz w:val="32"/>
          <w:szCs w:val="32"/>
        </w:rPr>
        <w:t>抽查</w:t>
      </w:r>
      <w:r>
        <w:rPr>
          <w:rFonts w:eastAsia="仿宋_GB2312"/>
          <w:color w:val="000000" w:themeColor="text1"/>
          <w:sz w:val="32"/>
          <w:szCs w:val="32"/>
        </w:rPr>
        <w:t>和问卷调查等，从投入、过程、产出、效益</w:t>
      </w:r>
      <w:r>
        <w:rPr>
          <w:rFonts w:hint="eastAsia" w:eastAsia="仿宋_GB2312"/>
          <w:color w:val="000000" w:themeColor="text1"/>
          <w:sz w:val="32"/>
          <w:szCs w:val="32"/>
        </w:rPr>
        <w:t>4</w:t>
      </w:r>
      <w:r>
        <w:rPr>
          <w:rFonts w:eastAsia="仿宋_GB2312"/>
          <w:color w:val="000000" w:themeColor="text1"/>
          <w:sz w:val="32"/>
          <w:szCs w:val="32"/>
        </w:rPr>
        <w:t>个一级指标、</w:t>
      </w:r>
      <w:r>
        <w:rPr>
          <w:rFonts w:hint="eastAsia" w:eastAsia="仿宋_GB2312"/>
          <w:color w:val="000000" w:themeColor="text1"/>
          <w:sz w:val="32"/>
          <w:szCs w:val="32"/>
        </w:rPr>
        <w:t>7</w:t>
      </w:r>
      <w:r>
        <w:rPr>
          <w:rFonts w:eastAsia="仿宋_GB2312"/>
          <w:color w:val="000000" w:themeColor="text1"/>
          <w:sz w:val="32"/>
          <w:szCs w:val="32"/>
        </w:rPr>
        <w:t>个二级指标</w:t>
      </w:r>
      <w:r>
        <w:rPr>
          <w:rFonts w:hint="eastAsia" w:eastAsia="仿宋_GB2312"/>
          <w:color w:val="000000" w:themeColor="text1"/>
          <w:sz w:val="32"/>
          <w:szCs w:val="32"/>
        </w:rPr>
        <w:t>、16个三级指标</w:t>
      </w:r>
      <w:r>
        <w:rPr>
          <w:rFonts w:eastAsia="仿宋_GB2312"/>
          <w:color w:val="000000" w:themeColor="text1"/>
          <w:sz w:val="32"/>
          <w:szCs w:val="32"/>
        </w:rPr>
        <w:t>对项目进行综合评价，项目基本上实现了</w:t>
      </w:r>
      <w:r>
        <w:rPr>
          <w:rFonts w:hint="eastAsia" w:eastAsia="仿宋_GB2312"/>
          <w:color w:val="000000" w:themeColor="text1"/>
          <w:sz w:val="32"/>
          <w:szCs w:val="32"/>
        </w:rPr>
        <w:t>既定目标，</w:t>
      </w:r>
      <w:r>
        <w:rPr>
          <w:rFonts w:eastAsia="仿宋_GB2312"/>
          <w:color w:val="000000" w:themeColor="text1"/>
          <w:sz w:val="32"/>
          <w:szCs w:val="32"/>
        </w:rPr>
        <w:t>但存在</w:t>
      </w:r>
      <w:r>
        <w:rPr>
          <w:rFonts w:hint="eastAsia" w:eastAsia="仿宋_GB2312"/>
          <w:color w:val="000000" w:themeColor="text1"/>
          <w:sz w:val="32"/>
          <w:szCs w:val="32"/>
        </w:rPr>
        <w:t>管理不规范等</w:t>
      </w:r>
      <w:r>
        <w:rPr>
          <w:rFonts w:eastAsia="仿宋_GB2312"/>
          <w:color w:val="000000" w:themeColor="text1"/>
          <w:sz w:val="32"/>
          <w:szCs w:val="32"/>
        </w:rPr>
        <w:t>问题。经过对评价指标的量化反映，综合评价得分为</w:t>
      </w:r>
      <w:r>
        <w:rPr>
          <w:rFonts w:hint="eastAsia" w:eastAsia="仿宋_GB2312"/>
          <w:color w:val="000000" w:themeColor="text1"/>
          <w:sz w:val="32"/>
          <w:szCs w:val="32"/>
        </w:rPr>
        <w:t>81.50</w:t>
      </w:r>
      <w:r>
        <w:rPr>
          <w:rFonts w:eastAsia="仿宋_GB2312"/>
          <w:color w:val="000000" w:themeColor="text1"/>
          <w:sz w:val="32"/>
          <w:szCs w:val="32"/>
        </w:rPr>
        <w:t>分，绩效等级为“</w:t>
      </w:r>
      <w:r>
        <w:rPr>
          <w:rFonts w:hint="eastAsia" w:eastAsia="仿宋_GB2312"/>
          <w:color w:val="000000" w:themeColor="text1"/>
          <w:sz w:val="32"/>
          <w:szCs w:val="32"/>
        </w:rPr>
        <w:t>良</w:t>
      </w:r>
      <w:r>
        <w:rPr>
          <w:rFonts w:eastAsia="仿宋_GB2312"/>
          <w:color w:val="000000" w:themeColor="text1"/>
          <w:sz w:val="32"/>
          <w:szCs w:val="32"/>
        </w:rPr>
        <w:t>”。</w:t>
      </w:r>
    </w:p>
    <w:p>
      <w:pPr>
        <w:jc w:val="center"/>
        <w:rPr>
          <w:rFonts w:ascii="黑体" w:hAnsi="黑体" w:eastAsia="黑体" w:cs="黑体"/>
          <w:sz w:val="28"/>
          <w:szCs w:val="28"/>
        </w:rPr>
      </w:pPr>
      <w:r>
        <w:rPr>
          <w:rFonts w:hint="eastAsia" w:ascii="黑体" w:hAnsi="黑体" w:eastAsia="黑体" w:cs="黑体"/>
          <w:sz w:val="28"/>
          <w:szCs w:val="28"/>
        </w:rPr>
        <w:t>评价情况总表</w:t>
      </w:r>
    </w:p>
    <w:tbl>
      <w:tblPr>
        <w:tblStyle w:val="7"/>
        <w:tblW w:w="8336" w:type="dxa"/>
        <w:tblInd w:w="0" w:type="dxa"/>
        <w:tblLayout w:type="fixed"/>
        <w:tblCellMar>
          <w:top w:w="0" w:type="dxa"/>
          <w:left w:w="0" w:type="dxa"/>
          <w:bottom w:w="0" w:type="dxa"/>
          <w:right w:w="0" w:type="dxa"/>
        </w:tblCellMar>
      </w:tblPr>
      <w:tblGrid>
        <w:gridCol w:w="2084"/>
        <w:gridCol w:w="2084"/>
        <w:gridCol w:w="2084"/>
        <w:gridCol w:w="2084"/>
      </w:tblGrid>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5" w:type="dxa"/>
              <w:left w:w="15" w:type="dxa"/>
              <w:right w:w="15" w:type="dxa"/>
            </w:tcMar>
            <w:vAlign w:val="center"/>
          </w:tcPr>
          <w:p>
            <w:pPr>
              <w:jc w:val="center"/>
              <w:rPr>
                <w:rFonts w:eastAsia="仿宋_GB2312"/>
                <w:b/>
                <w:bCs/>
                <w:sz w:val="24"/>
              </w:rPr>
            </w:pPr>
            <w:r>
              <w:rPr>
                <w:rFonts w:hint="eastAsia" w:eastAsia="仿宋_GB2312"/>
                <w:b/>
                <w:bCs/>
                <w:sz w:val="24"/>
              </w:rPr>
              <w:t>一级指标</w:t>
            </w:r>
          </w:p>
        </w:tc>
        <w:tc>
          <w:tcPr>
            <w:tcW w:w="20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5" w:type="dxa"/>
              <w:left w:w="15" w:type="dxa"/>
              <w:right w:w="15" w:type="dxa"/>
            </w:tcMar>
            <w:vAlign w:val="center"/>
          </w:tcPr>
          <w:p>
            <w:pPr>
              <w:jc w:val="center"/>
              <w:rPr>
                <w:rFonts w:eastAsia="仿宋_GB2312"/>
                <w:b/>
                <w:bCs/>
                <w:sz w:val="24"/>
              </w:rPr>
            </w:pPr>
            <w:r>
              <w:rPr>
                <w:rFonts w:hint="eastAsia" w:eastAsia="仿宋_GB2312"/>
                <w:b/>
                <w:bCs/>
                <w:sz w:val="24"/>
              </w:rPr>
              <w:t>指标分值</w:t>
            </w:r>
          </w:p>
        </w:tc>
        <w:tc>
          <w:tcPr>
            <w:tcW w:w="20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5" w:type="dxa"/>
              <w:left w:w="15" w:type="dxa"/>
              <w:right w:w="15" w:type="dxa"/>
            </w:tcMar>
            <w:vAlign w:val="center"/>
          </w:tcPr>
          <w:p>
            <w:pPr>
              <w:jc w:val="center"/>
              <w:rPr>
                <w:rFonts w:eastAsia="仿宋_GB2312"/>
                <w:b/>
                <w:bCs/>
                <w:sz w:val="24"/>
              </w:rPr>
            </w:pPr>
            <w:r>
              <w:rPr>
                <w:rFonts w:hint="eastAsia" w:eastAsia="仿宋_GB2312"/>
                <w:b/>
                <w:bCs/>
                <w:sz w:val="24"/>
              </w:rPr>
              <w:t>评价得分</w:t>
            </w:r>
          </w:p>
        </w:tc>
        <w:tc>
          <w:tcPr>
            <w:tcW w:w="20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5" w:type="dxa"/>
              <w:left w:w="15" w:type="dxa"/>
              <w:right w:w="15" w:type="dxa"/>
            </w:tcMar>
            <w:vAlign w:val="center"/>
          </w:tcPr>
          <w:p>
            <w:pPr>
              <w:jc w:val="center"/>
              <w:rPr>
                <w:rFonts w:eastAsia="仿宋_GB2312"/>
                <w:b/>
                <w:bCs/>
                <w:sz w:val="24"/>
              </w:rPr>
            </w:pPr>
            <w:r>
              <w:rPr>
                <w:rFonts w:hint="eastAsia" w:eastAsia="仿宋_GB2312"/>
                <w:b/>
                <w:bCs/>
                <w:sz w:val="24"/>
              </w:rPr>
              <w:t>得分率</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rPr>
            </w:pPr>
            <w:r>
              <w:rPr>
                <w:rFonts w:hint="eastAsia" w:eastAsia="仿宋_GB2312"/>
                <w:color w:val="000000" w:themeColor="text1"/>
                <w:sz w:val="24"/>
              </w:rPr>
              <w:t>投入</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28</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26.5</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94.64</w:t>
            </w:r>
            <w:r>
              <w:rPr>
                <w:rFonts w:eastAsia="仿宋_GB2312"/>
                <w:color w:val="000000" w:themeColor="text1"/>
                <w:sz w:val="24"/>
              </w:rPr>
              <w:t>%</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rPr>
            </w:pPr>
            <w:r>
              <w:rPr>
                <w:rFonts w:hint="eastAsia" w:eastAsia="仿宋_GB2312"/>
                <w:color w:val="000000" w:themeColor="text1"/>
                <w:sz w:val="24"/>
              </w:rPr>
              <w:t>过程</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16</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12</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75.00</w:t>
            </w:r>
            <w:r>
              <w:rPr>
                <w:rFonts w:eastAsia="仿宋_GB2312"/>
                <w:color w:val="000000" w:themeColor="text1"/>
                <w:sz w:val="24"/>
              </w:rPr>
              <w:t>%</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rPr>
            </w:pPr>
            <w:r>
              <w:rPr>
                <w:rFonts w:hint="eastAsia" w:eastAsia="仿宋_GB2312"/>
                <w:color w:val="000000" w:themeColor="text1"/>
                <w:sz w:val="24"/>
              </w:rPr>
              <w:t>产出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19</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17</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89.47</w:t>
            </w:r>
            <w:r>
              <w:rPr>
                <w:rFonts w:eastAsia="仿宋_GB2312"/>
                <w:color w:val="000000" w:themeColor="text1"/>
                <w:sz w:val="24"/>
              </w:rPr>
              <w:t>%</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rPr>
            </w:pPr>
            <w:r>
              <w:rPr>
                <w:rFonts w:hint="eastAsia" w:eastAsia="仿宋_GB2312"/>
                <w:color w:val="000000" w:themeColor="text1"/>
                <w:sz w:val="24"/>
              </w:rPr>
              <w:t>效益</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37</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26</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color w:val="000000" w:themeColor="text1"/>
                <w:sz w:val="24"/>
              </w:rPr>
            </w:pPr>
            <w:r>
              <w:rPr>
                <w:rFonts w:hint="eastAsia" w:eastAsia="仿宋_GB2312"/>
                <w:color w:val="000000" w:themeColor="text1"/>
                <w:sz w:val="24"/>
              </w:rPr>
              <w:t>70.27</w:t>
            </w:r>
            <w:r>
              <w:rPr>
                <w:rFonts w:eastAsia="仿宋_GB2312"/>
                <w:color w:val="000000" w:themeColor="text1"/>
                <w:sz w:val="24"/>
              </w:rPr>
              <w:t>%</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b/>
                <w:bCs/>
                <w:color w:val="000000" w:themeColor="text1"/>
                <w:sz w:val="24"/>
              </w:rPr>
            </w:pPr>
            <w:r>
              <w:rPr>
                <w:rFonts w:hint="eastAsia" w:eastAsia="仿宋_GB2312"/>
                <w:b/>
                <w:bCs/>
                <w:color w:val="000000" w:themeColor="text1"/>
                <w:sz w:val="24"/>
              </w:rPr>
              <w:t>评价总得分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b/>
                <w:bCs/>
                <w:color w:val="000000" w:themeColor="text1"/>
                <w:sz w:val="24"/>
              </w:rPr>
            </w:pPr>
            <w:r>
              <w:rPr>
                <w:rFonts w:eastAsia="仿宋_GB2312"/>
                <w:b/>
                <w:bCs/>
                <w:color w:val="000000" w:themeColor="text1"/>
                <w:sz w:val="24"/>
              </w:rPr>
              <w:t>100</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b/>
                <w:bCs/>
                <w:color w:val="000000" w:themeColor="text1"/>
                <w:sz w:val="24"/>
              </w:rPr>
            </w:pPr>
            <w:r>
              <w:rPr>
                <w:rFonts w:hint="eastAsia" w:eastAsia="仿宋_GB2312"/>
                <w:b/>
                <w:bCs/>
                <w:color w:val="000000" w:themeColor="text1"/>
                <w:sz w:val="24"/>
              </w:rPr>
              <w:t>81.5</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eastAsia="仿宋_GB2312"/>
                <w:b/>
                <w:bCs/>
                <w:color w:val="000000" w:themeColor="text1"/>
                <w:sz w:val="24"/>
              </w:rPr>
            </w:pPr>
            <w:r>
              <w:rPr>
                <w:rFonts w:hint="eastAsia" w:eastAsia="仿宋_GB2312"/>
                <w:b/>
                <w:bCs/>
                <w:color w:val="000000" w:themeColor="text1"/>
                <w:sz w:val="24"/>
              </w:rPr>
              <w:t>81.50</w:t>
            </w:r>
            <w:r>
              <w:rPr>
                <w:rFonts w:eastAsia="仿宋_GB2312"/>
                <w:b/>
                <w:bCs/>
                <w:color w:val="000000" w:themeColor="text1"/>
                <w:sz w:val="24"/>
              </w:rPr>
              <w:t>%</w:t>
            </w:r>
          </w:p>
        </w:tc>
      </w:tr>
    </w:tbl>
    <w:p>
      <w:pPr>
        <w:adjustRightInd w:val="0"/>
        <w:snapToGrid w:val="0"/>
        <w:spacing w:line="600" w:lineRule="exact"/>
        <w:ind w:firstLine="640" w:firstLineChars="200"/>
        <w:outlineLvl w:val="1"/>
        <w:rPr>
          <w:rFonts w:ascii="黑体" w:hAnsi="黑体" w:eastAsia="黑体" w:cs="黑体"/>
          <w:sz w:val="32"/>
          <w:szCs w:val="32"/>
        </w:rPr>
      </w:pPr>
      <w:bookmarkStart w:id="6" w:name="_Toc524096886"/>
      <w:bookmarkStart w:id="7" w:name="_Toc14747"/>
      <w:bookmarkStart w:id="8" w:name="_Toc522873134"/>
      <w:bookmarkStart w:id="9" w:name="_Toc31649_WPSOffice_Level2"/>
      <w:bookmarkStart w:id="10" w:name="_Toc524334581"/>
      <w:r>
        <w:rPr>
          <w:rFonts w:hint="eastAsia" w:ascii="黑体" w:hAnsi="黑体" w:eastAsia="黑体" w:cs="黑体"/>
          <w:sz w:val="32"/>
          <w:szCs w:val="32"/>
        </w:rPr>
        <w:t>三、主要绩效</w:t>
      </w:r>
      <w:bookmarkEnd w:id="6"/>
      <w:bookmarkEnd w:id="7"/>
      <w:bookmarkEnd w:id="8"/>
      <w:bookmarkEnd w:id="9"/>
      <w:bookmarkEnd w:id="10"/>
    </w:p>
    <w:p>
      <w:pPr>
        <w:spacing w:line="360" w:lineRule="auto"/>
        <w:ind w:firstLine="640" w:firstLineChars="200"/>
        <w:rPr>
          <w:rFonts w:eastAsia="仿宋_GB2312"/>
          <w:color w:val="000000" w:themeColor="text1"/>
          <w:sz w:val="32"/>
          <w:szCs w:val="32"/>
        </w:rPr>
      </w:pPr>
      <w:r>
        <w:rPr>
          <w:rFonts w:hint="eastAsia" w:eastAsia="仿宋_GB2312"/>
          <w:color w:val="000000" w:themeColor="text1"/>
          <w:sz w:val="32"/>
          <w:szCs w:val="32"/>
        </w:rPr>
        <w:t>2019年度汕头市促进大型商贸企业发展拉动消费专项资金</w:t>
      </w:r>
      <w:r>
        <w:rPr>
          <w:rFonts w:eastAsia="仿宋_GB2312"/>
          <w:color w:val="000000" w:themeColor="text1"/>
          <w:sz w:val="32"/>
          <w:szCs w:val="32"/>
        </w:rPr>
        <w:t>产生了较好的效益，主要绩效表现体现在以下几个方面：</w:t>
      </w:r>
    </w:p>
    <w:p>
      <w:pPr>
        <w:spacing w:line="360" w:lineRule="auto"/>
        <w:ind w:firstLine="643" w:firstLineChars="200"/>
        <w:outlineLvl w:val="1"/>
        <w:rPr>
          <w:rFonts w:ascii="仿宋" w:hAnsi="仿宋" w:eastAsia="仿宋" w:cs="仿宋"/>
          <w:b/>
          <w:bCs/>
          <w:color w:val="000000" w:themeColor="text1"/>
          <w:sz w:val="32"/>
          <w:szCs w:val="32"/>
        </w:rPr>
      </w:pPr>
      <w:bookmarkStart w:id="11" w:name="_Toc23784"/>
      <w:bookmarkStart w:id="12" w:name="_Toc30439"/>
      <w:bookmarkStart w:id="13" w:name="_Toc29375"/>
      <w:r>
        <w:rPr>
          <w:rFonts w:hint="eastAsia" w:ascii="仿宋" w:hAnsi="仿宋" w:eastAsia="仿宋" w:cs="仿宋"/>
          <w:b/>
          <w:bCs/>
          <w:color w:val="000000" w:themeColor="text1"/>
          <w:sz w:val="32"/>
          <w:szCs w:val="32"/>
        </w:rPr>
        <w:t>（一）前期调查工作成果显著</w:t>
      </w:r>
      <w:bookmarkEnd w:id="11"/>
      <w:bookmarkEnd w:id="12"/>
      <w:bookmarkEnd w:id="13"/>
    </w:p>
    <w:p>
      <w:pPr>
        <w:spacing w:line="360" w:lineRule="auto"/>
        <w:ind w:firstLine="640" w:firstLineChars="200"/>
        <w:rPr>
          <w:rFonts w:eastAsia="仿宋_GB2312"/>
          <w:color w:val="000000" w:themeColor="text1"/>
          <w:sz w:val="32"/>
          <w:szCs w:val="32"/>
        </w:rPr>
      </w:pPr>
      <w:r>
        <w:rPr>
          <w:rFonts w:hint="eastAsia" w:eastAsia="仿宋_GB2312"/>
          <w:color w:val="000000" w:themeColor="text1"/>
          <w:sz w:val="32"/>
          <w:szCs w:val="32"/>
        </w:rPr>
        <w:t>市商务局通过前期摸底调查工作,</w:t>
      </w:r>
      <w:r>
        <w:rPr>
          <w:rFonts w:hint="eastAsia" w:asciiTheme="minorHAnsi" w:hAnsiTheme="minorHAnsi" w:eastAsiaTheme="minorEastAsia" w:cstheme="minorBidi"/>
        </w:rPr>
        <w:t xml:space="preserve"> </w:t>
      </w:r>
      <w:r>
        <w:rPr>
          <w:rFonts w:hint="eastAsia" w:eastAsia="仿宋_GB2312"/>
          <w:color w:val="000000" w:themeColor="text1"/>
          <w:sz w:val="32"/>
          <w:szCs w:val="32"/>
        </w:rPr>
        <w:t>对各区县上报的申报企业有关资料进行初步审查，分别向市统计局、市税务局、市发改局及市市场监管局等相关部门征询核实有关情况，并委托第三方进行审核，使项目资金的补贴公开公正、针对性开展，具有显著的推动作用。</w:t>
      </w:r>
    </w:p>
    <w:p>
      <w:pPr>
        <w:spacing w:line="360" w:lineRule="auto"/>
        <w:ind w:firstLine="643" w:firstLineChars="200"/>
        <w:outlineLvl w:val="1"/>
        <w:rPr>
          <w:rFonts w:ascii="仿宋" w:hAnsi="仿宋" w:eastAsia="仿宋" w:cs="仿宋"/>
          <w:b/>
          <w:bCs/>
          <w:color w:val="000000" w:themeColor="text1"/>
          <w:sz w:val="32"/>
          <w:szCs w:val="32"/>
        </w:rPr>
      </w:pPr>
      <w:bookmarkStart w:id="14" w:name="_Toc27397"/>
      <w:bookmarkStart w:id="15" w:name="_Toc2672"/>
      <w:bookmarkStart w:id="16" w:name="_Toc16237"/>
      <w:r>
        <w:rPr>
          <w:rFonts w:hint="eastAsia" w:ascii="仿宋" w:hAnsi="仿宋" w:eastAsia="仿宋" w:cs="仿宋"/>
          <w:b/>
          <w:bCs/>
          <w:color w:val="000000" w:themeColor="text1"/>
          <w:sz w:val="32"/>
          <w:szCs w:val="32"/>
        </w:rPr>
        <w:t>（二）注重业务跟踪，</w:t>
      </w:r>
      <w:bookmarkEnd w:id="14"/>
      <w:bookmarkEnd w:id="15"/>
      <w:bookmarkEnd w:id="16"/>
      <w:r>
        <w:rPr>
          <w:rFonts w:hint="eastAsia" w:ascii="仿宋" w:hAnsi="仿宋" w:eastAsia="仿宋" w:cs="仿宋"/>
          <w:b/>
          <w:bCs/>
          <w:color w:val="000000" w:themeColor="text1"/>
          <w:sz w:val="32"/>
          <w:szCs w:val="32"/>
        </w:rPr>
        <w:t>推进资金下拨进度</w:t>
      </w:r>
    </w:p>
    <w:p>
      <w:pPr>
        <w:spacing w:line="360" w:lineRule="auto"/>
        <w:ind w:firstLine="640" w:firstLineChars="200"/>
        <w:rPr>
          <w:rFonts w:eastAsia="仿宋_GB2312"/>
          <w:color w:val="000000" w:themeColor="text1"/>
          <w:sz w:val="32"/>
          <w:szCs w:val="32"/>
        </w:rPr>
      </w:pPr>
      <w:r>
        <w:rPr>
          <w:rFonts w:hint="eastAsia" w:eastAsia="仿宋_GB2312"/>
          <w:color w:val="000000" w:themeColor="text1"/>
          <w:kern w:val="0"/>
          <w:sz w:val="32"/>
          <w:szCs w:val="32"/>
        </w:rPr>
        <w:t>市商务局及时制订《实施方案》，请示上级对纳入奖补企业名单意见，最终印发奖补项目计划通知，下达奖补企业名单及奖补金额，及时送达市财政局。当金平区财政局没及时足额下拨奖补资金时，市商务局于2021年5月21日印发《汕头市商务局关于请加快资金拨付进度工作情况的函》（汕商务建函[2021]33号）文，请金平区人民政府高度重视，尽快拨付奖补资金至各有关企业。推进资金下拨进度。</w:t>
      </w:r>
      <w:r>
        <w:rPr>
          <w:rFonts w:hint="eastAsia" w:eastAsia="仿宋_GB2312"/>
          <w:color w:val="000000" w:themeColor="text1"/>
          <w:sz w:val="32"/>
          <w:szCs w:val="32"/>
        </w:rPr>
        <w:t>市商务局从政策制定、资金管理、业务跟踪等方面，</w:t>
      </w:r>
      <w:r>
        <w:rPr>
          <w:rFonts w:eastAsia="仿宋_GB2312"/>
          <w:color w:val="000000" w:themeColor="text1"/>
          <w:sz w:val="32"/>
          <w:szCs w:val="32"/>
        </w:rPr>
        <w:t>完善</w:t>
      </w:r>
      <w:r>
        <w:rPr>
          <w:rFonts w:hint="eastAsia" w:eastAsia="仿宋_GB2312"/>
          <w:color w:val="000000" w:themeColor="text1"/>
          <w:sz w:val="32"/>
          <w:szCs w:val="32"/>
        </w:rPr>
        <w:t>了市促进大型商贸企业发展拉动消费专项资金的</w:t>
      </w:r>
      <w:r>
        <w:rPr>
          <w:rFonts w:eastAsia="仿宋_GB2312"/>
          <w:color w:val="000000" w:themeColor="text1"/>
          <w:sz w:val="32"/>
          <w:szCs w:val="32"/>
        </w:rPr>
        <w:t>管理体系</w:t>
      </w:r>
      <w:r>
        <w:rPr>
          <w:rFonts w:hint="eastAsia" w:eastAsia="仿宋_GB2312"/>
          <w:color w:val="000000" w:themeColor="text1"/>
          <w:sz w:val="32"/>
          <w:szCs w:val="32"/>
        </w:rPr>
        <w:t>。</w:t>
      </w:r>
    </w:p>
    <w:p>
      <w:pPr>
        <w:spacing w:line="360" w:lineRule="auto"/>
        <w:ind w:firstLine="643" w:firstLineChars="200"/>
        <w:outlineLvl w:val="1"/>
        <w:rPr>
          <w:rFonts w:ascii="仿宋" w:hAnsi="仿宋" w:eastAsia="仿宋" w:cs="仿宋"/>
          <w:b/>
          <w:bCs/>
          <w:color w:val="000000" w:themeColor="text1"/>
          <w:sz w:val="32"/>
          <w:szCs w:val="32"/>
        </w:rPr>
      </w:pPr>
      <w:bookmarkStart w:id="17" w:name="_Toc8975"/>
      <w:bookmarkStart w:id="18" w:name="_Toc4436"/>
      <w:bookmarkStart w:id="19" w:name="_Toc22030"/>
      <w:r>
        <w:rPr>
          <w:rFonts w:hint="eastAsia" w:ascii="仿宋" w:hAnsi="仿宋" w:eastAsia="仿宋" w:cs="仿宋"/>
          <w:b/>
          <w:bCs/>
          <w:color w:val="000000" w:themeColor="text1"/>
          <w:sz w:val="32"/>
          <w:szCs w:val="32"/>
        </w:rPr>
        <w:t>（三）下达奖补资金，</w:t>
      </w:r>
      <w:bookmarkEnd w:id="17"/>
      <w:bookmarkEnd w:id="18"/>
      <w:bookmarkEnd w:id="19"/>
      <w:r>
        <w:rPr>
          <w:rFonts w:hint="eastAsia" w:ascii="仿宋" w:hAnsi="仿宋" w:eastAsia="仿宋" w:cs="仿宋"/>
          <w:b/>
          <w:bCs/>
          <w:color w:val="000000" w:themeColor="text1"/>
          <w:sz w:val="32"/>
          <w:szCs w:val="32"/>
        </w:rPr>
        <w:t>促进商贸企业做大做强</w:t>
      </w:r>
    </w:p>
    <w:p>
      <w:pPr>
        <w:spacing w:line="360" w:lineRule="auto"/>
        <w:ind w:firstLine="640" w:firstLineChars="200"/>
        <w:rPr>
          <w:rFonts w:hint="eastAsia" w:ascii="黑体" w:hAnsi="黑体" w:eastAsia="黑体" w:cs="黑体"/>
          <w:sz w:val="32"/>
          <w:szCs w:val="32"/>
        </w:rPr>
      </w:pPr>
      <w:r>
        <w:rPr>
          <w:rFonts w:hint="eastAsia" w:eastAsia="仿宋_GB2312"/>
          <w:color w:val="000000" w:themeColor="text1"/>
          <w:sz w:val="32"/>
          <w:szCs w:val="32"/>
          <w:lang w:val="zh-CN"/>
        </w:rPr>
        <w:t>市商务局按有关程序兑现政策奖励资金，支持批发零售企业纳入限上统计，市促进大型商贸企业发展拉动消费政策实施三年培育，提高了批发零售企业纳统意识，充分调动积极性、主动性和创造性。促进商贸企业做大做强。</w:t>
      </w:r>
      <w:bookmarkStart w:id="20" w:name="_Toc26794"/>
    </w:p>
    <w:p>
      <w:pPr>
        <w:adjustRightInd w:val="0"/>
        <w:snapToGrid w:val="0"/>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四、存在问题</w:t>
      </w:r>
      <w:bookmarkEnd w:id="20"/>
    </w:p>
    <w:p>
      <w:pPr>
        <w:adjustRightInd w:val="0"/>
        <w:snapToGrid w:val="0"/>
        <w:spacing w:line="600" w:lineRule="exact"/>
        <w:ind w:firstLine="640" w:firstLineChars="200"/>
        <w:outlineLvl w:val="1"/>
        <w:rPr>
          <w:rFonts w:eastAsia="仿宋_GB2312"/>
          <w:color w:val="000000" w:themeColor="text1"/>
          <w:sz w:val="32"/>
          <w:szCs w:val="32"/>
        </w:rPr>
      </w:pPr>
      <w:bookmarkStart w:id="21" w:name="_Toc22270"/>
      <w:r>
        <w:rPr>
          <w:rFonts w:hint="eastAsia" w:eastAsia="仿宋_GB2312"/>
          <w:color w:val="000000" w:themeColor="text1"/>
          <w:sz w:val="32"/>
          <w:szCs w:val="32"/>
        </w:rPr>
        <w:t>我们根据市商务局提供的资料进行审核发现，项目管理及实施过程存在一些问题，影响项目绩效的进一步提升。主要体现在：</w:t>
      </w:r>
    </w:p>
    <w:p>
      <w:pPr>
        <w:numPr>
          <w:ilvl w:val="0"/>
          <w:numId w:val="1"/>
        </w:numPr>
        <w:adjustRightInd w:val="0"/>
        <w:snapToGrid w:val="0"/>
        <w:spacing w:line="600" w:lineRule="exact"/>
        <w:ind w:firstLine="643" w:firstLineChars="200"/>
        <w:outlineLvl w:val="1"/>
        <w:rPr>
          <w:rFonts w:eastAsia="仿宋_GB2312"/>
          <w:b/>
          <w:bCs/>
          <w:color w:val="000000" w:themeColor="text1"/>
          <w:sz w:val="32"/>
          <w:szCs w:val="32"/>
        </w:rPr>
      </w:pPr>
      <w:r>
        <w:rPr>
          <w:rFonts w:hint="eastAsia" w:eastAsia="仿宋_GB2312"/>
          <w:b/>
          <w:bCs/>
          <w:color w:val="000000" w:themeColor="text1"/>
          <w:sz w:val="32"/>
          <w:szCs w:val="32"/>
        </w:rPr>
        <w:t>项目缺少相应考核指标</w:t>
      </w:r>
    </w:p>
    <w:p>
      <w:pPr>
        <w:adjustRightInd w:val="0"/>
        <w:snapToGrid w:val="0"/>
        <w:spacing w:line="600" w:lineRule="exact"/>
        <w:ind w:firstLine="640" w:firstLineChars="200"/>
        <w:outlineLvl w:val="1"/>
        <w:rPr>
          <w:rFonts w:eastAsia="仿宋_GB2312"/>
          <w:color w:val="000000" w:themeColor="text1"/>
          <w:sz w:val="32"/>
          <w:szCs w:val="32"/>
        </w:rPr>
      </w:pPr>
      <w:r>
        <w:rPr>
          <w:rFonts w:hint="eastAsia" w:eastAsia="仿宋_GB2312"/>
          <w:color w:val="000000" w:themeColor="text1"/>
          <w:sz w:val="32"/>
          <w:szCs w:val="32"/>
        </w:rPr>
        <w:t>市商务局按有关程序兑现政策奖励资金时，没有制定相关的奖补资金使用管理办法，规定财政资金用于项目可持续发展及相应的考核指标，难以对奖补资金下达后的效益增长方面进行考核及评价。</w:t>
      </w:r>
    </w:p>
    <w:p>
      <w:pPr>
        <w:numPr>
          <w:ilvl w:val="0"/>
          <w:numId w:val="1"/>
        </w:numPr>
        <w:adjustRightInd w:val="0"/>
        <w:snapToGrid w:val="0"/>
        <w:spacing w:line="600" w:lineRule="exact"/>
        <w:ind w:firstLine="643" w:firstLineChars="200"/>
        <w:outlineLvl w:val="1"/>
        <w:rPr>
          <w:rFonts w:eastAsia="仿宋_GB2312"/>
          <w:b/>
          <w:bCs/>
          <w:color w:val="000000" w:themeColor="text1"/>
          <w:sz w:val="32"/>
          <w:szCs w:val="32"/>
        </w:rPr>
      </w:pPr>
      <w:r>
        <w:rPr>
          <w:rFonts w:hint="eastAsia" w:eastAsia="仿宋_GB2312"/>
          <w:b/>
          <w:bCs/>
          <w:color w:val="000000" w:themeColor="text1"/>
          <w:sz w:val="32"/>
          <w:szCs w:val="32"/>
        </w:rPr>
        <w:t>项目目标设置较低且不详细及量化</w:t>
      </w:r>
    </w:p>
    <w:p>
      <w:pPr>
        <w:adjustRightInd w:val="0"/>
        <w:snapToGrid w:val="0"/>
        <w:spacing w:line="600" w:lineRule="exact"/>
        <w:ind w:firstLine="640" w:firstLineChars="200"/>
        <w:outlineLvl w:val="1"/>
        <w:rPr>
          <w:rFonts w:eastAsia="仿宋_GB2312"/>
          <w:color w:val="000000" w:themeColor="text1"/>
          <w:sz w:val="32"/>
          <w:szCs w:val="32"/>
        </w:rPr>
      </w:pPr>
      <w:r>
        <w:rPr>
          <w:rFonts w:hint="eastAsia" w:eastAsia="仿宋_GB2312"/>
          <w:color w:val="000000" w:themeColor="text1"/>
          <w:sz w:val="32"/>
          <w:szCs w:val="32"/>
        </w:rPr>
        <w:t>市商务局的项目目标设置较低，不够详细及量化，预期阶段性目标符合政策第一项“纳入统计的限上大型批发企业”及第二项“纳入统计的限上大型零售企业”企业数均仅设置超过5家的设置过低，2019年度纳入统计的限上大型批发企业及大型零售企业的户数分别为19家及15家，分别比预期目标增加280%及200%，且符合政策“新纳入限上统计企业”企业数超过80家没详细分出符合政策“新纳入限上批发企业”及“新纳入限上零售企业”的企业数，难以对目标的实现进行有效的比较及考核。</w:t>
      </w:r>
    </w:p>
    <w:p>
      <w:pPr>
        <w:numPr>
          <w:ilvl w:val="0"/>
          <w:numId w:val="1"/>
        </w:numPr>
        <w:adjustRightInd w:val="0"/>
        <w:snapToGrid w:val="0"/>
        <w:spacing w:line="600" w:lineRule="exact"/>
        <w:ind w:firstLine="643" w:firstLineChars="200"/>
        <w:outlineLvl w:val="1"/>
        <w:rPr>
          <w:rFonts w:eastAsia="仿宋_GB2312"/>
          <w:b/>
          <w:bCs/>
          <w:color w:val="000000" w:themeColor="text1"/>
          <w:sz w:val="32"/>
          <w:szCs w:val="32"/>
        </w:rPr>
      </w:pPr>
      <w:r>
        <w:rPr>
          <w:rFonts w:hint="eastAsia" w:eastAsia="仿宋_GB2312"/>
          <w:b/>
          <w:bCs/>
          <w:color w:val="000000" w:themeColor="text1"/>
          <w:sz w:val="32"/>
          <w:szCs w:val="32"/>
        </w:rPr>
        <w:t>资金管理存在的不足</w:t>
      </w:r>
    </w:p>
    <w:p>
      <w:pPr>
        <w:adjustRightInd w:val="0"/>
        <w:snapToGrid w:val="0"/>
        <w:spacing w:line="600" w:lineRule="exact"/>
        <w:ind w:firstLine="640" w:firstLineChars="200"/>
        <w:outlineLvl w:val="1"/>
        <w:rPr>
          <w:rFonts w:eastAsia="仿宋_GB2312"/>
          <w:color w:val="000000" w:themeColor="text1"/>
          <w:sz w:val="32"/>
          <w:szCs w:val="32"/>
        </w:rPr>
      </w:pPr>
      <w:r>
        <w:rPr>
          <w:rFonts w:hint="eastAsia" w:eastAsia="仿宋_GB2312"/>
          <w:color w:val="000000" w:themeColor="text1"/>
          <w:sz w:val="32"/>
          <w:szCs w:val="32"/>
        </w:rPr>
        <w:t>市促进大型商贸企业发展拉动消费专项资金项目由市商务局按规定下达奖补文件，奖补资金拨付由市财政局按有关程序实施，奖补资金由市财政局下拨至各区县财政局，再由各区县财政局拨付至各奖补企业。个别区县财政局在资金拨付上，存在实施程序上的不足，不排除存在资金挤占挪用或用于其他方面的现象，导致执行力度不足，特别是潮阳区至本次评价时项目资金一直没有下拨，项目进展缓慢，对市促进大型商贸企业发展拉动消费专项资金的效益产生影响。表现在：</w:t>
      </w:r>
    </w:p>
    <w:p>
      <w:pPr>
        <w:adjustRightInd w:val="0"/>
        <w:snapToGrid w:val="0"/>
        <w:spacing w:line="600" w:lineRule="exact"/>
        <w:ind w:firstLine="640" w:firstLineChars="200"/>
        <w:outlineLvl w:val="1"/>
        <w:rPr>
          <w:rFonts w:eastAsia="仿宋_GB2312"/>
          <w:color w:val="000000" w:themeColor="text1"/>
          <w:sz w:val="32"/>
          <w:szCs w:val="32"/>
        </w:rPr>
      </w:pPr>
      <w:r>
        <w:rPr>
          <w:rFonts w:hint="eastAsia" w:eastAsia="仿宋_GB2312"/>
          <w:color w:val="000000" w:themeColor="text1"/>
          <w:sz w:val="32"/>
          <w:szCs w:val="32"/>
        </w:rPr>
        <w:t>1、未能制订资金使用管理办法，明确财政资金的使用范围；</w:t>
      </w:r>
    </w:p>
    <w:p>
      <w:pPr>
        <w:adjustRightInd w:val="0"/>
        <w:snapToGrid w:val="0"/>
        <w:spacing w:line="600" w:lineRule="exact"/>
        <w:ind w:firstLine="640" w:firstLineChars="200"/>
        <w:outlineLvl w:val="1"/>
        <w:rPr>
          <w:rFonts w:ascii="楷体" w:hAnsi="楷体" w:eastAsia="楷体" w:cs="楷体"/>
          <w:b/>
          <w:bCs/>
          <w:color w:val="000000" w:themeColor="text1"/>
          <w:sz w:val="32"/>
          <w:szCs w:val="32"/>
        </w:rPr>
      </w:pPr>
      <w:r>
        <w:rPr>
          <w:rFonts w:hint="eastAsia" w:eastAsia="仿宋_GB2312"/>
          <w:color w:val="000000" w:themeColor="text1"/>
          <w:sz w:val="32"/>
          <w:szCs w:val="32"/>
        </w:rPr>
        <w:t>2、金平区、潮阳区的资金拨付不到位，影响了市政府对促进大型商贸企业发展拉动消费专项资金的落实，造成符合政策企业对政府支持的顾虑，也影响了市政府的公信力。</w:t>
      </w:r>
    </w:p>
    <w:p>
      <w:pPr>
        <w:adjustRightInd w:val="0"/>
        <w:snapToGrid w:val="0"/>
        <w:spacing w:line="60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五、意见建议</w:t>
      </w:r>
      <w:bookmarkEnd w:id="21"/>
    </w:p>
    <w:p>
      <w:pPr>
        <w:ind w:firstLine="640" w:firstLineChars="200"/>
        <w:rPr>
          <w:rFonts w:ascii="仿宋_GB2312" w:eastAsia="仿宋_GB2312" w:cs="仿宋_GB2312"/>
          <w:sz w:val="32"/>
          <w:szCs w:val="32"/>
        </w:rPr>
      </w:pPr>
      <w:r>
        <w:rPr>
          <w:rFonts w:hint="eastAsia" w:ascii="仿宋_GB2312" w:eastAsia="仿宋_GB2312" w:cs="仿宋_GB2312"/>
          <w:sz w:val="32"/>
          <w:szCs w:val="32"/>
        </w:rPr>
        <w:t>针对本次评价中发现的问题，提出以下建议：</w:t>
      </w:r>
    </w:p>
    <w:p>
      <w:pPr>
        <w:numPr>
          <w:ilvl w:val="0"/>
          <w:numId w:val="2"/>
        </w:numPr>
        <w:spacing w:line="360" w:lineRule="auto"/>
        <w:ind w:firstLine="643" w:firstLineChars="200"/>
        <w:outlineLvl w:val="1"/>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应合理、及时制定考核指标</w:t>
      </w:r>
    </w:p>
    <w:p>
      <w:pPr>
        <w:spacing w:line="360" w:lineRule="auto"/>
        <w:ind w:firstLine="640" w:firstLineChars="200"/>
        <w:rPr>
          <w:rFonts w:eastAsia="仿宋_GB2312"/>
          <w:color w:val="000000" w:themeColor="text1"/>
          <w:sz w:val="32"/>
          <w:szCs w:val="32"/>
        </w:rPr>
      </w:pPr>
      <w:bookmarkStart w:id="22" w:name="_Toc30913"/>
      <w:r>
        <w:rPr>
          <w:rFonts w:hint="eastAsia" w:eastAsia="仿宋_GB2312"/>
          <w:color w:val="000000" w:themeColor="text1"/>
          <w:sz w:val="32"/>
          <w:szCs w:val="32"/>
        </w:rPr>
        <w:t>建议市商务局按有关程序兑现政策奖励资金时，及时制订财政资金使用管理办法及关于项目可持续发展相应的考核指标，便于日后考核及更好的促进消费及发展。</w:t>
      </w:r>
    </w:p>
    <w:bookmarkEnd w:id="22"/>
    <w:p>
      <w:pPr>
        <w:numPr>
          <w:ilvl w:val="0"/>
          <w:numId w:val="2"/>
        </w:numPr>
        <w:spacing w:line="360" w:lineRule="auto"/>
        <w:ind w:firstLine="643" w:firstLineChars="200"/>
        <w:outlineLvl w:val="1"/>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规范资金拨付流程</w:t>
      </w:r>
    </w:p>
    <w:p>
      <w:pPr>
        <w:spacing w:line="360" w:lineRule="auto"/>
        <w:ind w:firstLine="640" w:firstLineChars="200"/>
        <w:rPr>
          <w:rFonts w:hint="eastAsia" w:eastAsia="仿宋_GB2312"/>
          <w:color w:val="000000" w:themeColor="text1"/>
          <w:sz w:val="32"/>
          <w:szCs w:val="32"/>
        </w:rPr>
      </w:pPr>
      <w:r>
        <w:rPr>
          <w:rFonts w:hint="eastAsia" w:eastAsia="仿宋_GB2312"/>
          <w:color w:val="000000" w:themeColor="text1"/>
          <w:sz w:val="32"/>
          <w:szCs w:val="32"/>
        </w:rPr>
        <w:t>建议市商务局、财政局对资金拨付应及时跟踪、监督，专款专用，避免造成资金闲置或挪用，保证资金优化使用，避免对2019年度汕头市促进大型商贸企业发展拉动消费专项资金的效益产生影响。</w:t>
      </w:r>
    </w:p>
    <w:p>
      <w:pPr>
        <w:numPr>
          <w:ilvl w:val="0"/>
          <w:numId w:val="2"/>
        </w:numPr>
        <w:spacing w:line="360" w:lineRule="auto"/>
        <w:ind w:firstLine="643"/>
        <w:outlineLvl w:val="1"/>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加大政策宣传力度</w:t>
      </w:r>
    </w:p>
    <w:p>
      <w:pPr>
        <w:spacing w:line="360" w:lineRule="auto"/>
        <w:ind w:firstLine="640" w:firstLineChars="200"/>
        <w:rPr>
          <w:rFonts w:eastAsia="仿宋_GB2312"/>
          <w:color w:val="000000" w:themeColor="text1"/>
          <w:sz w:val="32"/>
          <w:szCs w:val="32"/>
        </w:rPr>
      </w:pPr>
      <w:bookmarkStart w:id="23" w:name="_Toc27658"/>
      <w:bookmarkEnd w:id="23"/>
      <w:r>
        <w:rPr>
          <w:rFonts w:hint="eastAsia" w:eastAsia="仿宋_GB2312"/>
          <w:color w:val="000000" w:themeColor="text1"/>
          <w:sz w:val="32"/>
          <w:szCs w:val="32"/>
        </w:rPr>
        <w:t>加大政策宣传及征信宣传力度，引导商贸企业合理使用奖补资金，激发原生动力，同时，能使更多的大型商贸企业提高入统积极性，拉动消费，促进经济可持续发展。</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6881C"/>
    <w:multiLevelType w:val="singleLevel"/>
    <w:tmpl w:val="9786881C"/>
    <w:lvl w:ilvl="0" w:tentative="0">
      <w:start w:val="1"/>
      <w:numFmt w:val="chineseCounting"/>
      <w:suff w:val="nothing"/>
      <w:lvlText w:val="（%1）"/>
      <w:lvlJc w:val="left"/>
      <w:rPr>
        <w:rFonts w:hint="eastAsia"/>
        <w:lang w:val="en-US"/>
      </w:rPr>
    </w:lvl>
  </w:abstractNum>
  <w:abstractNum w:abstractNumId="1">
    <w:nsid w:val="AC497D60"/>
    <w:multiLevelType w:val="singleLevel"/>
    <w:tmpl w:val="AC497D6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F4B1B"/>
    <w:rsid w:val="001C39BC"/>
    <w:rsid w:val="00500AD3"/>
    <w:rsid w:val="006C5934"/>
    <w:rsid w:val="007A5A99"/>
    <w:rsid w:val="00851F45"/>
    <w:rsid w:val="009F4B1B"/>
    <w:rsid w:val="00BC121D"/>
    <w:rsid w:val="00BE73F2"/>
    <w:rsid w:val="00DD5D1A"/>
    <w:rsid w:val="00EE72F8"/>
    <w:rsid w:val="059137F0"/>
    <w:rsid w:val="0A91003C"/>
    <w:rsid w:val="0B11547D"/>
    <w:rsid w:val="0FE9157E"/>
    <w:rsid w:val="1903163A"/>
    <w:rsid w:val="192E0C5A"/>
    <w:rsid w:val="19666B28"/>
    <w:rsid w:val="19EF57BD"/>
    <w:rsid w:val="20114EF6"/>
    <w:rsid w:val="25DA1780"/>
    <w:rsid w:val="28231D9E"/>
    <w:rsid w:val="295F044E"/>
    <w:rsid w:val="2F57058C"/>
    <w:rsid w:val="30FE211D"/>
    <w:rsid w:val="33763CC5"/>
    <w:rsid w:val="33860BA2"/>
    <w:rsid w:val="35735D54"/>
    <w:rsid w:val="357B699B"/>
    <w:rsid w:val="36172B92"/>
    <w:rsid w:val="37B06D76"/>
    <w:rsid w:val="42E7241E"/>
    <w:rsid w:val="42E81F74"/>
    <w:rsid w:val="4D0B19BE"/>
    <w:rsid w:val="537F67F9"/>
    <w:rsid w:val="5C490DEC"/>
    <w:rsid w:val="5E3529DE"/>
    <w:rsid w:val="62014419"/>
    <w:rsid w:val="6273382A"/>
    <w:rsid w:val="652301E4"/>
    <w:rsid w:val="652839EC"/>
    <w:rsid w:val="65C87DA5"/>
    <w:rsid w:val="6C16352C"/>
    <w:rsid w:val="6CEA7983"/>
    <w:rsid w:val="70704B49"/>
    <w:rsid w:val="74710120"/>
    <w:rsid w:val="74EA36CC"/>
    <w:rsid w:val="797F1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line="360" w:lineRule="auto"/>
      <w:ind w:firstLine="480" w:firstLineChars="200"/>
    </w:pPr>
    <w:rPr>
      <w:kern w:val="0"/>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otnote reference"/>
    <w:basedOn w:val="8"/>
    <w:qFormat/>
    <w:uiPriority w:val="0"/>
    <w:rPr>
      <w:vertAlign w:val="superscript"/>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369</Words>
  <Characters>2108</Characters>
  <Lines>17</Lines>
  <Paragraphs>4</Paragraphs>
  <TotalTime>60</TotalTime>
  <ScaleCrop>false</ScaleCrop>
  <LinksUpToDate>false</LinksUpToDate>
  <CharactersWithSpaces>2473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2020-08-04T07:29:00Z</dcterms:created>
  <dc:creator>Administrator</dc:creator>
  <cp:lastModifiedBy>贾慕熙</cp:lastModifiedBy>
  <cp:lastPrinted>2022-05-16T09:14:10Z</cp:lastPrinted>
  <dcterms:modified xsi:type="dcterms:W3CDTF">2022-05-16T09:28:49Z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