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color w:val="000000" w:themeColor="text1"/>
          <w:sz w:val="44"/>
          <w:szCs w:val="44"/>
          <w14:textFill>
            <w14:solidFill>
              <w14:schemeClr w14:val="tx1"/>
            </w14:solidFill>
          </w14:textFill>
        </w:rPr>
      </w:pPr>
      <w:r>
        <w:rPr>
          <w:rFonts w:hint="eastAsia" w:asciiTheme="majorEastAsia" w:hAnsiTheme="majorEastAsia" w:eastAsiaTheme="majorEastAsia"/>
          <w:b/>
          <w:color w:val="000000" w:themeColor="text1"/>
          <w:sz w:val="44"/>
          <w:szCs w:val="44"/>
          <w:lang w:eastAsia="zh-CN"/>
          <w14:textFill>
            <w14:solidFill>
              <w14:schemeClr w14:val="tx1"/>
            </w14:solidFill>
          </w14:textFill>
        </w:rPr>
        <w:t>汕头市社会艺术水平考级行政处罚自由裁量权细化标准</w:t>
      </w:r>
      <w:r>
        <w:rPr>
          <w:rFonts w:hint="eastAsia" w:asciiTheme="majorEastAsia" w:hAnsiTheme="majorEastAsia" w:eastAsiaTheme="majorEastAsia"/>
          <w:b/>
          <w:color w:val="000000" w:themeColor="text1"/>
          <w:sz w:val="44"/>
          <w:szCs w:val="44"/>
          <w:lang w:val="en-US" w:eastAsia="zh-CN"/>
          <w14:textFill>
            <w14:solidFill>
              <w14:schemeClr w14:val="tx1"/>
            </w14:solidFill>
          </w14:textFill>
        </w:rPr>
        <w:t>(共11项）</w:t>
      </w:r>
      <w:bookmarkStart w:id="0" w:name="_GoBack"/>
      <w:bookmarkEnd w:id="0"/>
    </w:p>
    <w:p>
      <w:pPr>
        <w:rPr>
          <w:rFonts w:ascii="仿宋_GB2312" w:eastAsia="仿宋_GB2312"/>
          <w:color w:val="000000" w:themeColor="text1"/>
          <w:sz w:val="21"/>
          <w:szCs w:val="21"/>
          <w14:textFill>
            <w14:solidFill>
              <w14:schemeClr w14:val="tx1"/>
            </w14:solidFill>
          </w14:textFill>
        </w:rPr>
      </w:pPr>
    </w:p>
    <w:tbl>
      <w:tblPr>
        <w:tblStyle w:val="4"/>
        <w:tblW w:w="4999" w:type="pct"/>
        <w:jc w:val="center"/>
        <w:tblLayout w:type="autofit"/>
        <w:tblCellMar>
          <w:top w:w="15" w:type="dxa"/>
          <w:left w:w="15" w:type="dxa"/>
          <w:bottom w:w="0" w:type="dxa"/>
          <w:right w:w="15" w:type="dxa"/>
        </w:tblCellMar>
      </w:tblPr>
      <w:tblGrid>
        <w:gridCol w:w="241"/>
        <w:gridCol w:w="1554"/>
        <w:gridCol w:w="715"/>
        <w:gridCol w:w="236"/>
        <w:gridCol w:w="821"/>
        <w:gridCol w:w="275"/>
        <w:gridCol w:w="5648"/>
        <w:gridCol w:w="1381"/>
        <w:gridCol w:w="1381"/>
        <w:gridCol w:w="147"/>
        <w:gridCol w:w="866"/>
        <w:gridCol w:w="365"/>
        <w:gridCol w:w="355"/>
      </w:tblGrid>
      <w:tr>
        <w:tblPrEx>
          <w:tblCellMar>
            <w:top w:w="15" w:type="dxa"/>
            <w:left w:w="15" w:type="dxa"/>
            <w:bottom w:w="0" w:type="dxa"/>
            <w:right w:w="15" w:type="dxa"/>
          </w:tblCellMar>
        </w:tblPrEx>
        <w:trPr>
          <w:trHeight w:val="519" w:hRule="atLeast"/>
          <w:jc w:val="center"/>
        </w:trPr>
        <w:tc>
          <w:tcPr>
            <w:tcW w:w="44" w:type="pct"/>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eastAsia="仿宋_GB2312"/>
                <w:b/>
                <w:bCs/>
                <w:color w:val="000000" w:themeColor="text1"/>
                <w:sz w:val="21"/>
                <w:szCs w:val="21"/>
                <w14:textFill>
                  <w14:solidFill>
                    <w14:schemeClr w14:val="tx1"/>
                  </w14:solidFill>
                </w14:textFill>
              </w:rPr>
            </w:pPr>
            <w:r>
              <w:rPr>
                <w:rFonts w:hint="eastAsia" w:ascii="仿宋_GB2312" w:eastAsia="仿宋_GB2312"/>
                <w:b/>
                <w:bCs/>
                <w:color w:val="000000" w:themeColor="text1"/>
                <w:sz w:val="21"/>
                <w:szCs w:val="21"/>
                <w14:textFill>
                  <w14:solidFill>
                    <w14:schemeClr w14:val="tx1"/>
                  </w14:solidFill>
                </w14:textFill>
              </w:rPr>
              <w:t>序号</w:t>
            </w:r>
          </w:p>
        </w:tc>
        <w:tc>
          <w:tcPr>
            <w:tcW w:w="559" w:type="pct"/>
            <w:vMerge w:val="restart"/>
            <w:tcBorders>
              <w:top w:val="single" w:color="auto" w:sz="4" w:space="0"/>
              <w:left w:val="nil"/>
              <w:right w:val="single" w:color="auto" w:sz="4" w:space="0"/>
            </w:tcBorders>
            <w:shd w:val="clear" w:color="auto" w:fill="auto"/>
            <w:vAlign w:val="center"/>
          </w:tcPr>
          <w:p>
            <w:pPr>
              <w:jc w:val="center"/>
              <w:rPr>
                <w:rFonts w:ascii="仿宋_GB2312" w:eastAsia="仿宋_GB2312"/>
                <w:b/>
                <w:bCs/>
                <w:color w:val="000000" w:themeColor="text1"/>
                <w:sz w:val="21"/>
                <w:szCs w:val="21"/>
                <w14:textFill>
                  <w14:solidFill>
                    <w14:schemeClr w14:val="tx1"/>
                  </w14:solidFill>
                </w14:textFill>
              </w:rPr>
            </w:pPr>
            <w:r>
              <w:rPr>
                <w:rFonts w:hint="eastAsia" w:ascii="仿宋_GB2312" w:eastAsia="仿宋_GB2312"/>
                <w:b/>
                <w:bCs/>
                <w:color w:val="000000" w:themeColor="text1"/>
                <w:sz w:val="21"/>
                <w:szCs w:val="21"/>
                <w14:textFill>
                  <w14:solidFill>
                    <w14:schemeClr w14:val="tx1"/>
                  </w14:solidFill>
                </w14:textFill>
              </w:rPr>
              <w:t>违法行为</w:t>
            </w:r>
          </w:p>
        </w:tc>
        <w:tc>
          <w:tcPr>
            <w:tcW w:w="347" w:type="pct"/>
            <w:gridSpan w:val="2"/>
            <w:vMerge w:val="restart"/>
            <w:tcBorders>
              <w:top w:val="single" w:color="auto" w:sz="4" w:space="0"/>
              <w:left w:val="nil"/>
              <w:right w:val="single" w:color="auto" w:sz="4" w:space="0"/>
            </w:tcBorders>
            <w:shd w:val="clear" w:color="auto" w:fill="auto"/>
            <w:vAlign w:val="center"/>
          </w:tcPr>
          <w:p>
            <w:pPr>
              <w:jc w:val="center"/>
              <w:rPr>
                <w:rFonts w:hint="eastAsia" w:ascii="仿宋_GB2312" w:eastAsia="仿宋_GB2312"/>
                <w:b/>
                <w:bCs/>
                <w:color w:val="000000" w:themeColor="text1"/>
                <w:sz w:val="21"/>
                <w:szCs w:val="21"/>
                <w14:textFill>
                  <w14:solidFill>
                    <w14:schemeClr w14:val="tx1"/>
                  </w14:solidFill>
                </w14:textFill>
              </w:rPr>
            </w:pPr>
            <w:r>
              <w:rPr>
                <w:rFonts w:hint="eastAsia" w:ascii="仿宋_GB2312" w:eastAsia="仿宋_GB2312"/>
                <w:b/>
                <w:bCs/>
                <w:color w:val="000000" w:themeColor="text1"/>
                <w:sz w:val="21"/>
                <w:szCs w:val="21"/>
                <w14:textFill>
                  <w14:solidFill>
                    <w14:schemeClr w14:val="tx1"/>
                  </w14:solidFill>
                </w14:textFill>
              </w:rPr>
              <w:t>违反条款</w:t>
            </w:r>
          </w:p>
        </w:tc>
        <w:tc>
          <w:tcPr>
            <w:tcW w:w="399" w:type="pct"/>
            <w:gridSpan w:val="2"/>
            <w:vMerge w:val="restart"/>
            <w:tcBorders>
              <w:top w:val="single" w:color="auto" w:sz="4" w:space="0"/>
              <w:left w:val="nil"/>
              <w:right w:val="single" w:color="auto" w:sz="4" w:space="0"/>
            </w:tcBorders>
            <w:shd w:val="clear" w:color="auto" w:fill="auto"/>
            <w:vAlign w:val="center"/>
          </w:tcPr>
          <w:p>
            <w:pPr>
              <w:jc w:val="center"/>
              <w:rPr>
                <w:rFonts w:hint="eastAsia" w:ascii="仿宋_GB2312" w:eastAsia="仿宋_GB2312"/>
                <w:b/>
                <w:bCs/>
                <w:color w:val="000000" w:themeColor="text1"/>
                <w:sz w:val="21"/>
                <w:szCs w:val="21"/>
                <w14:textFill>
                  <w14:solidFill>
                    <w14:schemeClr w14:val="tx1"/>
                  </w14:solidFill>
                </w14:textFill>
              </w:rPr>
            </w:pPr>
            <w:r>
              <w:rPr>
                <w:rFonts w:hint="eastAsia" w:ascii="仿宋_GB2312" w:eastAsia="仿宋_GB2312"/>
                <w:b/>
                <w:bCs/>
                <w:color w:val="000000" w:themeColor="text1"/>
                <w:sz w:val="21"/>
                <w:szCs w:val="21"/>
                <w14:textFill>
                  <w14:solidFill>
                    <w14:schemeClr w14:val="tx1"/>
                  </w14:solidFill>
                </w14:textFill>
              </w:rPr>
              <w:t>罚则</w:t>
            </w:r>
          </w:p>
        </w:tc>
        <w:tc>
          <w:tcPr>
            <w:tcW w:w="2022" w:type="pct"/>
            <w:vMerge w:val="restart"/>
            <w:tcBorders>
              <w:top w:val="single" w:color="auto" w:sz="4" w:space="0"/>
              <w:left w:val="nil"/>
              <w:right w:val="single" w:color="auto" w:sz="4" w:space="0"/>
            </w:tcBorders>
            <w:shd w:val="clear" w:color="auto" w:fill="auto"/>
            <w:vAlign w:val="center"/>
          </w:tcPr>
          <w:p>
            <w:pPr>
              <w:jc w:val="center"/>
              <w:rPr>
                <w:rFonts w:ascii="仿宋_GB2312" w:eastAsia="仿宋_GB2312"/>
                <w:b/>
                <w:bCs/>
                <w:color w:val="000000" w:themeColor="text1"/>
                <w:sz w:val="21"/>
                <w:szCs w:val="21"/>
                <w14:textFill>
                  <w14:solidFill>
                    <w14:schemeClr w14:val="tx1"/>
                  </w14:solidFill>
                </w14:textFill>
              </w:rPr>
            </w:pPr>
            <w:r>
              <w:rPr>
                <w:rFonts w:hint="eastAsia" w:ascii="仿宋_GB2312" w:eastAsia="仿宋_GB2312"/>
                <w:b/>
                <w:bCs/>
                <w:color w:val="000000" w:themeColor="text1"/>
                <w:sz w:val="21"/>
                <w:szCs w:val="21"/>
                <w14:textFill>
                  <w14:solidFill>
                    <w14:schemeClr w14:val="tx1"/>
                  </w14:solidFill>
                </w14:textFill>
              </w:rPr>
              <w:t>法律依据</w:t>
            </w:r>
          </w:p>
        </w:tc>
        <w:tc>
          <w:tcPr>
            <w:tcW w:w="1497" w:type="pct"/>
            <w:gridSpan w:val="5"/>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eastAsia="仿宋_GB2312"/>
                <w:b/>
                <w:bCs/>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裁量标准</w:t>
            </w:r>
          </w:p>
        </w:tc>
        <w:tc>
          <w:tcPr>
            <w:tcW w:w="130" w:type="pct"/>
            <w:vMerge w:val="restart"/>
            <w:tcBorders>
              <w:top w:val="single" w:color="auto" w:sz="4" w:space="0"/>
              <w:left w:val="nil"/>
              <w:right w:val="single" w:color="auto" w:sz="4" w:space="0"/>
            </w:tcBorders>
            <w:shd w:val="clear" w:color="auto" w:fill="auto"/>
            <w:vAlign w:val="center"/>
          </w:tcPr>
          <w:p>
            <w:pPr>
              <w:jc w:val="center"/>
              <w:rPr>
                <w:rFonts w:ascii="仿宋_GB2312" w:eastAsia="仿宋_GB2312"/>
                <w:b/>
                <w:bCs/>
                <w:color w:val="000000" w:themeColor="text1"/>
                <w:sz w:val="21"/>
                <w:szCs w:val="21"/>
                <w14:textFill>
                  <w14:solidFill>
                    <w14:schemeClr w14:val="tx1"/>
                  </w14:solidFill>
                </w14:textFill>
              </w:rPr>
            </w:pPr>
            <w:r>
              <w:rPr>
                <w:rFonts w:hint="eastAsia" w:ascii="仿宋_GB2312" w:eastAsia="仿宋_GB2312"/>
                <w:b/>
                <w:bCs/>
                <w:color w:val="000000" w:themeColor="text1"/>
                <w:sz w:val="21"/>
                <w:szCs w:val="21"/>
                <w14:textFill>
                  <w14:solidFill>
                    <w14:schemeClr w14:val="tx1"/>
                  </w14:solidFill>
                </w14:textFill>
              </w:rPr>
              <w:t>备注</w:t>
            </w:r>
          </w:p>
        </w:tc>
      </w:tr>
      <w:tr>
        <w:tblPrEx>
          <w:tblCellMar>
            <w:top w:w="15" w:type="dxa"/>
            <w:left w:w="15" w:type="dxa"/>
            <w:bottom w:w="0" w:type="dxa"/>
            <w:right w:w="15" w:type="dxa"/>
          </w:tblCellMar>
        </w:tblPrEx>
        <w:trPr>
          <w:trHeight w:val="423" w:hRule="atLeast"/>
          <w:jc w:val="center"/>
        </w:trPr>
        <w:tc>
          <w:tcPr>
            <w:tcW w:w="44" w:type="pct"/>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b/>
                <w:bCs/>
                <w:color w:val="000000" w:themeColor="text1"/>
                <w:sz w:val="21"/>
                <w:szCs w:val="21"/>
                <w14:textFill>
                  <w14:solidFill>
                    <w14:schemeClr w14:val="tx1"/>
                  </w14:solidFill>
                </w14:textFill>
              </w:rPr>
            </w:pPr>
          </w:p>
        </w:tc>
        <w:tc>
          <w:tcPr>
            <w:tcW w:w="559" w:type="pct"/>
            <w:vMerge w:val="continue"/>
            <w:tcBorders>
              <w:left w:val="nil"/>
              <w:bottom w:val="single" w:color="auto" w:sz="4" w:space="0"/>
              <w:right w:val="single" w:color="auto" w:sz="4" w:space="0"/>
            </w:tcBorders>
            <w:shd w:val="clear" w:color="auto" w:fill="auto"/>
            <w:vAlign w:val="center"/>
          </w:tcPr>
          <w:p>
            <w:pPr>
              <w:jc w:val="center"/>
              <w:rPr>
                <w:rFonts w:hint="eastAsia" w:ascii="仿宋_GB2312" w:eastAsia="仿宋_GB2312"/>
                <w:b/>
                <w:bCs/>
                <w:color w:val="000000" w:themeColor="text1"/>
                <w:sz w:val="21"/>
                <w:szCs w:val="21"/>
                <w14:textFill>
                  <w14:solidFill>
                    <w14:schemeClr w14:val="tx1"/>
                  </w14:solidFill>
                </w14:textFill>
              </w:rPr>
            </w:pPr>
          </w:p>
        </w:tc>
        <w:tc>
          <w:tcPr>
            <w:tcW w:w="347" w:type="pct"/>
            <w:gridSpan w:val="2"/>
            <w:vMerge w:val="continue"/>
            <w:tcBorders>
              <w:left w:val="nil"/>
              <w:bottom w:val="single" w:color="auto" w:sz="4" w:space="0"/>
              <w:right w:val="single" w:color="auto" w:sz="4" w:space="0"/>
            </w:tcBorders>
            <w:shd w:val="clear" w:color="auto" w:fill="auto"/>
            <w:vAlign w:val="center"/>
          </w:tcPr>
          <w:p>
            <w:pPr>
              <w:jc w:val="center"/>
              <w:rPr>
                <w:rFonts w:hint="eastAsia" w:ascii="仿宋_GB2312" w:eastAsia="仿宋_GB2312"/>
                <w:b/>
                <w:bCs/>
                <w:color w:val="000000" w:themeColor="text1"/>
                <w:sz w:val="21"/>
                <w:szCs w:val="21"/>
                <w14:textFill>
                  <w14:solidFill>
                    <w14:schemeClr w14:val="tx1"/>
                  </w14:solidFill>
                </w14:textFill>
              </w:rPr>
            </w:pPr>
          </w:p>
        </w:tc>
        <w:tc>
          <w:tcPr>
            <w:tcW w:w="399" w:type="pct"/>
            <w:gridSpan w:val="2"/>
            <w:vMerge w:val="continue"/>
            <w:tcBorders>
              <w:left w:val="nil"/>
              <w:bottom w:val="single" w:color="auto" w:sz="4" w:space="0"/>
              <w:right w:val="single" w:color="auto" w:sz="4" w:space="0"/>
            </w:tcBorders>
            <w:shd w:val="clear" w:color="auto" w:fill="auto"/>
            <w:vAlign w:val="center"/>
          </w:tcPr>
          <w:p>
            <w:pPr>
              <w:jc w:val="center"/>
              <w:rPr>
                <w:rFonts w:hint="eastAsia" w:ascii="仿宋_GB2312" w:eastAsia="仿宋_GB2312"/>
                <w:b/>
                <w:bCs/>
                <w:color w:val="000000" w:themeColor="text1"/>
                <w:sz w:val="21"/>
                <w:szCs w:val="21"/>
                <w14:textFill>
                  <w14:solidFill>
                    <w14:schemeClr w14:val="tx1"/>
                  </w14:solidFill>
                </w14:textFill>
              </w:rPr>
            </w:pPr>
          </w:p>
        </w:tc>
        <w:tc>
          <w:tcPr>
            <w:tcW w:w="2022" w:type="pct"/>
            <w:vMerge w:val="continue"/>
            <w:tcBorders>
              <w:left w:val="nil"/>
              <w:bottom w:val="single" w:color="auto" w:sz="4" w:space="0"/>
              <w:right w:val="single" w:color="auto" w:sz="4" w:space="0"/>
            </w:tcBorders>
            <w:shd w:val="clear" w:color="auto" w:fill="auto"/>
            <w:vAlign w:val="center"/>
          </w:tcPr>
          <w:p>
            <w:pPr>
              <w:jc w:val="center"/>
              <w:rPr>
                <w:rFonts w:hint="eastAsia" w:ascii="仿宋_GB2312" w:eastAsia="仿宋_GB2312"/>
                <w:b/>
                <w:bCs/>
                <w:color w:val="000000" w:themeColor="text1"/>
                <w:sz w:val="21"/>
                <w:szCs w:val="21"/>
                <w14:textFill>
                  <w14:solidFill>
                    <w14:schemeClr w14:val="tx1"/>
                  </w14:solidFill>
                </w14:textFill>
              </w:rPr>
            </w:pPr>
          </w:p>
        </w:tc>
        <w:tc>
          <w:tcPr>
            <w:tcW w:w="497"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eastAsia="仿宋_GB2312"/>
                <w:b/>
                <w:bCs/>
                <w:color w:val="000000" w:themeColor="text1"/>
                <w:sz w:val="21"/>
                <w:szCs w:val="21"/>
                <w14:textFill>
                  <w14:solidFill>
                    <w14:schemeClr w14:val="tx1"/>
                  </w14:solidFill>
                </w14:textFill>
              </w:rPr>
            </w:pPr>
            <w:r>
              <w:rPr>
                <w:rFonts w:hint="eastAsia" w:ascii="仿宋_GB2312" w:eastAsia="仿宋_GB2312"/>
                <w:b/>
                <w:color w:val="000000" w:themeColor="text1"/>
                <w:sz w:val="21"/>
                <w:szCs w:val="21"/>
                <w:lang w:val="en-US" w:eastAsia="zh-CN"/>
                <w14:textFill>
                  <w14:solidFill>
                    <w14:schemeClr w14:val="tx1"/>
                  </w14:solidFill>
                </w14:textFill>
              </w:rPr>
              <w:t>从轻行政处罚</w:t>
            </w:r>
          </w:p>
        </w:tc>
        <w:tc>
          <w:tcPr>
            <w:tcW w:w="497"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eastAsia="仿宋_GB2312"/>
                <w:b/>
                <w:bCs/>
                <w:color w:val="000000" w:themeColor="text1"/>
                <w:sz w:val="21"/>
                <w:szCs w:val="21"/>
                <w14:textFill>
                  <w14:solidFill>
                    <w14:schemeClr w14:val="tx1"/>
                  </w14:solidFill>
                </w14:textFill>
              </w:rPr>
            </w:pPr>
            <w:r>
              <w:rPr>
                <w:rFonts w:hint="eastAsia" w:ascii="仿宋_GB2312" w:eastAsia="仿宋_GB2312"/>
                <w:b/>
                <w:color w:val="000000" w:themeColor="text1"/>
                <w:sz w:val="21"/>
                <w:szCs w:val="21"/>
                <w:lang w:eastAsia="zh-CN"/>
                <w14:textFill>
                  <w14:solidFill>
                    <w14:schemeClr w14:val="tx1"/>
                  </w14:solidFill>
                </w14:textFill>
              </w:rPr>
              <w:t>一般行政处罚</w:t>
            </w:r>
          </w:p>
        </w:tc>
        <w:tc>
          <w:tcPr>
            <w:tcW w:w="503" w:type="pct"/>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eastAsia="仿宋_GB2312"/>
                <w:b/>
                <w:bCs/>
                <w:color w:val="000000" w:themeColor="text1"/>
                <w:sz w:val="21"/>
                <w:szCs w:val="21"/>
                <w14:textFill>
                  <w14:solidFill>
                    <w14:schemeClr w14:val="tx1"/>
                  </w14:solidFill>
                </w14:textFill>
              </w:rPr>
            </w:pPr>
            <w:r>
              <w:rPr>
                <w:rFonts w:hint="eastAsia" w:ascii="仿宋_GB2312" w:eastAsia="仿宋_GB2312"/>
                <w:b/>
                <w:color w:val="000000" w:themeColor="text1"/>
                <w:sz w:val="21"/>
                <w:szCs w:val="21"/>
                <w:lang w:eastAsia="zh-CN"/>
                <w14:textFill>
                  <w14:solidFill>
                    <w14:schemeClr w14:val="tx1"/>
                  </w14:solidFill>
                </w14:textFill>
              </w:rPr>
              <w:t>从重行政处罚</w:t>
            </w:r>
          </w:p>
        </w:tc>
        <w:tc>
          <w:tcPr>
            <w:tcW w:w="130" w:type="pct"/>
            <w:vMerge w:val="continue"/>
            <w:tcBorders>
              <w:left w:val="nil"/>
              <w:bottom w:val="single" w:color="auto" w:sz="4" w:space="0"/>
              <w:right w:val="single" w:color="auto" w:sz="4" w:space="0"/>
            </w:tcBorders>
            <w:shd w:val="clear" w:color="auto" w:fill="auto"/>
            <w:vAlign w:val="center"/>
          </w:tcPr>
          <w:p>
            <w:pPr>
              <w:jc w:val="center"/>
              <w:rPr>
                <w:rFonts w:hint="eastAsia" w:ascii="仿宋_GB2312" w:eastAsia="仿宋_GB2312"/>
                <w:b/>
                <w:bCs/>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123" w:hRule="atLeast"/>
          <w:jc w:val="center"/>
        </w:trPr>
        <w:tc>
          <w:tcPr>
            <w:tcW w:w="44"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1</w:t>
            </w:r>
          </w:p>
        </w:tc>
        <w:tc>
          <w:tcPr>
            <w:tcW w:w="559"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未经批准擅自开办艺术考级活动</w:t>
            </w:r>
          </w:p>
        </w:tc>
        <w:tc>
          <w:tcPr>
            <w:tcW w:w="347"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《社会艺术水平考级管理办法》第九条</w:t>
            </w:r>
          </w:p>
        </w:tc>
        <w:tc>
          <w:tcPr>
            <w:tcW w:w="399"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《社会艺术水平考级管理办法》第二十四条</w:t>
            </w:r>
          </w:p>
        </w:tc>
        <w:tc>
          <w:tcPr>
            <w:tcW w:w="2022"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《社会艺术水平考级管理办法》第二十四条：未经批准擅自开办艺术考级活动的，由县级以上文化行政部门或者文化市场综合执法机构责令停止违法活动，并处10000元以上30000元以下罚款。</w:t>
            </w:r>
          </w:p>
        </w:tc>
        <w:tc>
          <w:tcPr>
            <w:tcW w:w="497" w:type="pct"/>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lang w:eastAsia="zh-CN"/>
                <w14:textFill>
                  <w14:solidFill>
                    <w14:schemeClr w14:val="tx1"/>
                  </w14:solidFill>
                </w14:textFill>
              </w:rPr>
            </w:pPr>
            <w:r>
              <w:rPr>
                <w:rFonts w:hint="eastAsia" w:ascii="仿宋_GB2312" w:hAnsi="仿宋" w:eastAsia="仿宋_GB2312"/>
                <w:color w:val="000000" w:themeColor="text1"/>
                <w:sz w:val="21"/>
                <w:szCs w:val="21"/>
                <w:lang w:val="en-US" w:eastAsia="zh-CN"/>
                <w14:textFill>
                  <w14:solidFill>
                    <w14:schemeClr w14:val="tx1"/>
                  </w14:solidFill>
                </w14:textFill>
              </w:rPr>
              <w:t xml:space="preserve">1年内第1次被查处，具有从轻情节的，并处罚款10000元。 </w:t>
            </w:r>
          </w:p>
        </w:tc>
        <w:tc>
          <w:tcPr>
            <w:tcW w:w="497" w:type="pct"/>
            <w:tcBorders>
              <w:top w:val="nil"/>
              <w:left w:val="nil"/>
              <w:bottom w:val="single" w:color="auto" w:sz="4" w:space="0"/>
              <w:right w:val="single" w:color="auto" w:sz="4" w:space="0"/>
            </w:tcBorders>
            <w:shd w:val="clear" w:color="auto" w:fill="auto"/>
            <w:vAlign w:val="center"/>
          </w:tcPr>
          <w:p>
            <w:pPr>
              <w:jc w:val="left"/>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eastAsia" w:ascii="仿宋_GB2312" w:hAnsi="仿宋" w:eastAsia="仿宋_GB2312"/>
                <w:color w:val="000000" w:themeColor="text1"/>
                <w:sz w:val="21"/>
                <w:szCs w:val="21"/>
                <w:lang w:val="en-US" w:eastAsia="zh-CN"/>
                <w14:textFill>
                  <w14:solidFill>
                    <w14:schemeClr w14:val="tx1"/>
                  </w14:solidFill>
                </w14:textFill>
              </w:rPr>
              <w:t xml:space="preserve"> </w:t>
            </w: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Calibri" w:hAnsi="Calibri" w:eastAsia="仿宋_GB2312" w:cs="Calibri"/>
                <w:color w:val="000000" w:themeColor="text1"/>
                <w:sz w:val="21"/>
                <w:szCs w:val="21"/>
                <w:lang w:val="en-US" w:eastAsia="zh-CN"/>
                <w14:textFill>
                  <w14:solidFill>
                    <w14:schemeClr w14:val="tx1"/>
                  </w14:solidFill>
                </w14:textFill>
              </w:rPr>
              <w:t>1年内第1次被查处，并处罚款15000元；</w:t>
            </w:r>
          </w:p>
          <w:p>
            <w:pPr>
              <w:jc w:val="left"/>
              <w:rPr>
                <w:rFonts w:hint="default" w:ascii="仿宋_GB2312" w:hAnsi="仿宋" w:eastAsia="仿宋_GB2312"/>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1年内第2次被查处，并处罚款20000元。</w:t>
            </w:r>
          </w:p>
        </w:tc>
        <w:tc>
          <w:tcPr>
            <w:tcW w:w="503" w:type="pct"/>
            <w:gridSpan w:val="3"/>
            <w:tcBorders>
              <w:top w:val="nil"/>
              <w:left w:val="nil"/>
              <w:bottom w:val="single" w:color="auto" w:sz="4" w:space="0"/>
              <w:right w:val="single" w:color="auto" w:sz="4" w:space="0"/>
            </w:tcBorders>
            <w:shd w:val="clear" w:color="auto" w:fill="auto"/>
            <w:vAlign w:val="center"/>
          </w:tcPr>
          <w:p>
            <w:pPr>
              <w:jc w:val="left"/>
              <w:rPr>
                <w:rFonts w:hint="default" w:ascii="Calibri" w:hAnsi="Calibri" w:eastAsia="仿宋_GB2312" w:cs="Calibri"/>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14:textFill>
                  <w14:solidFill>
                    <w14:schemeClr w14:val="tx1"/>
                  </w14:solidFill>
                </w14:textFill>
              </w:rPr>
              <w:t>①</w:t>
            </w:r>
            <w:r>
              <w:rPr>
                <w:rFonts w:hint="eastAsia" w:ascii="仿宋_GB2312" w:hAnsi="仿宋" w:eastAsia="仿宋_GB2312"/>
                <w:color w:val="000000" w:themeColor="text1"/>
                <w:sz w:val="21"/>
                <w:szCs w:val="21"/>
                <w:lang w:val="en-US" w:eastAsia="zh-CN"/>
                <w14:textFill>
                  <w14:solidFill>
                    <w14:schemeClr w14:val="tx1"/>
                  </w14:solidFill>
                </w14:textFill>
              </w:rPr>
              <w:t xml:space="preserve">1年内第1次被查处，具有从重情节的，并处罚款25000元； </w:t>
            </w:r>
          </w:p>
          <w:p>
            <w:pPr>
              <w:jc w:val="left"/>
              <w:rPr>
                <w:rFonts w:hint="eastAsia" w:ascii="仿宋_GB2312" w:hAnsi="仿宋"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1年内第3次被查处，</w:t>
            </w:r>
            <w:r>
              <w:rPr>
                <w:rFonts w:hint="eastAsia" w:ascii="仿宋_GB2312" w:hAnsi="仿宋" w:eastAsia="仿宋_GB2312"/>
                <w:color w:val="000000" w:themeColor="text1"/>
                <w:sz w:val="21"/>
                <w:szCs w:val="21"/>
                <w14:textFill>
                  <w14:solidFill>
                    <w14:schemeClr w14:val="tx1"/>
                  </w14:solidFill>
                </w14:textFill>
              </w:rPr>
              <w:t>或在社会上造成恶劣影响的，或有其他严重情节的，罚款</w:t>
            </w:r>
            <w:r>
              <w:rPr>
                <w:rFonts w:hint="eastAsia" w:ascii="仿宋_GB2312" w:hAnsi="仿宋" w:eastAsia="仿宋_GB2312"/>
                <w:color w:val="000000" w:themeColor="text1"/>
                <w:sz w:val="21"/>
                <w:szCs w:val="21"/>
                <w:lang w:val="en-US" w:eastAsia="zh-CN"/>
                <w14:textFill>
                  <w14:solidFill>
                    <w14:schemeClr w14:val="tx1"/>
                  </w14:solidFill>
                </w14:textFill>
              </w:rPr>
              <w:t>30000</w:t>
            </w:r>
            <w:r>
              <w:rPr>
                <w:rFonts w:hint="eastAsia" w:ascii="仿宋_GB2312" w:hAnsi="仿宋" w:eastAsia="仿宋_GB2312"/>
                <w:color w:val="000000" w:themeColor="text1"/>
                <w:sz w:val="21"/>
                <w:szCs w:val="21"/>
                <w14:textFill>
                  <w14:solidFill>
                    <w14:schemeClr w14:val="tx1"/>
                  </w14:solidFill>
                </w14:textFill>
              </w:rPr>
              <w:t>元。</w:t>
            </w:r>
          </w:p>
        </w:tc>
        <w:tc>
          <w:tcPr>
            <w:tcW w:w="130"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　</w:t>
            </w:r>
          </w:p>
        </w:tc>
      </w:tr>
      <w:tr>
        <w:tblPrEx>
          <w:tblCellMar>
            <w:top w:w="15" w:type="dxa"/>
            <w:left w:w="15" w:type="dxa"/>
            <w:bottom w:w="0" w:type="dxa"/>
            <w:right w:w="15" w:type="dxa"/>
          </w:tblCellMar>
        </w:tblPrEx>
        <w:trPr>
          <w:trHeight w:val="1123" w:hRule="atLeast"/>
          <w:jc w:val="center"/>
        </w:trPr>
        <w:tc>
          <w:tcPr>
            <w:tcW w:w="44"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2</w:t>
            </w:r>
          </w:p>
        </w:tc>
        <w:tc>
          <w:tcPr>
            <w:tcW w:w="559"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组织艺术考级活动前未向社会发布考级简章或考级简章内容不符合规定</w:t>
            </w:r>
          </w:p>
        </w:tc>
        <w:tc>
          <w:tcPr>
            <w:tcW w:w="347"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《社会艺术水平考级管理办法》第十五条</w:t>
            </w:r>
          </w:p>
        </w:tc>
        <w:tc>
          <w:tcPr>
            <w:tcW w:w="399"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《社会艺术水平考级管理办法》第二十五条第（一）项</w:t>
            </w:r>
          </w:p>
        </w:tc>
        <w:tc>
          <w:tcPr>
            <w:tcW w:w="2022"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五条：艺术考级机构有下列行为之一的，由县级以上文化行政部门或者文化市场综合执法机构予以警告，责令改正并处10000元以下罚款：（一）组织艺术考级活动前未向社会发布考级简章或考级简章内容不符合规定的</w:t>
            </w:r>
          </w:p>
        </w:tc>
        <w:tc>
          <w:tcPr>
            <w:tcW w:w="497" w:type="pct"/>
            <w:vMerge w:val="restart"/>
            <w:tcBorders>
              <w:top w:val="nil"/>
              <w:left w:val="nil"/>
              <w:right w:val="single" w:color="auto" w:sz="4" w:space="0"/>
            </w:tcBorders>
            <w:shd w:val="clear" w:color="auto" w:fill="auto"/>
            <w:vAlign w:val="center"/>
          </w:tcPr>
          <w:p>
            <w:pPr>
              <w:jc w:val="left"/>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lang w:val="en-US" w:eastAsia="zh-CN"/>
                <w14:textFill>
                  <w14:solidFill>
                    <w14:schemeClr w14:val="tx1"/>
                  </w14:solidFill>
                </w14:textFill>
              </w:rPr>
              <w:t xml:space="preserve">1年内第1次被查处，具有从轻情节的，给予警告，并处罚款2000元。 </w:t>
            </w:r>
          </w:p>
        </w:tc>
        <w:tc>
          <w:tcPr>
            <w:tcW w:w="497" w:type="pct"/>
            <w:vMerge w:val="restart"/>
            <w:tcBorders>
              <w:top w:val="nil"/>
              <w:left w:val="nil"/>
              <w:right w:val="single" w:color="auto" w:sz="4" w:space="0"/>
            </w:tcBorders>
            <w:shd w:val="clear" w:color="auto" w:fill="auto"/>
            <w:vAlign w:val="center"/>
          </w:tcPr>
          <w:p>
            <w:pPr>
              <w:jc w:val="left"/>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Calibri" w:hAnsi="Calibri" w:eastAsia="仿宋_GB2312" w:cs="Calibri"/>
                <w:color w:val="000000" w:themeColor="text1"/>
                <w:sz w:val="21"/>
                <w:szCs w:val="21"/>
                <w:lang w:val="en-US" w:eastAsia="zh-CN"/>
                <w14:textFill>
                  <w14:solidFill>
                    <w14:schemeClr w14:val="tx1"/>
                  </w14:solidFill>
                </w14:textFill>
              </w:rPr>
              <w:t>1年内第1次被查处，给予警告，并处罚款4000元；</w:t>
            </w:r>
          </w:p>
          <w:p>
            <w:pPr>
              <w:rPr>
                <w:rFonts w:ascii="仿宋_GB2312" w:hAnsi="仿宋"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1年内第2次被查处，并处罚款6000元。</w:t>
            </w:r>
          </w:p>
        </w:tc>
        <w:tc>
          <w:tcPr>
            <w:tcW w:w="503" w:type="pct"/>
            <w:gridSpan w:val="3"/>
            <w:vMerge w:val="restart"/>
            <w:tcBorders>
              <w:top w:val="nil"/>
              <w:left w:val="nil"/>
              <w:right w:val="single" w:color="auto" w:sz="4" w:space="0"/>
            </w:tcBorders>
            <w:shd w:val="clear" w:color="auto" w:fill="auto"/>
            <w:vAlign w:val="center"/>
          </w:tcPr>
          <w:p>
            <w:pPr>
              <w:jc w:val="left"/>
              <w:rPr>
                <w:rFonts w:hint="default" w:ascii="Calibri" w:hAnsi="Calibri" w:eastAsia="仿宋_GB2312" w:cs="Calibri"/>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14:textFill>
                  <w14:solidFill>
                    <w14:schemeClr w14:val="tx1"/>
                  </w14:solidFill>
                </w14:textFill>
              </w:rPr>
              <w:t>①</w:t>
            </w:r>
            <w:r>
              <w:rPr>
                <w:rFonts w:hint="eastAsia" w:ascii="仿宋_GB2312" w:hAnsi="仿宋" w:eastAsia="仿宋_GB2312"/>
                <w:color w:val="000000" w:themeColor="text1"/>
                <w:sz w:val="21"/>
                <w:szCs w:val="21"/>
                <w:lang w:val="en-US" w:eastAsia="zh-CN"/>
                <w14:textFill>
                  <w14:solidFill>
                    <w14:schemeClr w14:val="tx1"/>
                  </w14:solidFill>
                </w14:textFill>
              </w:rPr>
              <w:t xml:space="preserve">1年内第1次被查处，具有从重情节的，并处罚款8000元； </w:t>
            </w:r>
          </w:p>
          <w:p>
            <w:pPr>
              <w:rPr>
                <w:rFonts w:hint="eastAsia" w:ascii="仿宋_GB2312" w:hAnsi="仿宋"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1年内第3次被查处，</w:t>
            </w:r>
            <w:r>
              <w:rPr>
                <w:rFonts w:hint="eastAsia" w:ascii="仿宋_GB2312" w:hAnsi="仿宋" w:eastAsia="仿宋_GB2312"/>
                <w:color w:val="000000" w:themeColor="text1"/>
                <w:sz w:val="21"/>
                <w:szCs w:val="21"/>
                <w14:textFill>
                  <w14:solidFill>
                    <w14:schemeClr w14:val="tx1"/>
                  </w14:solidFill>
                </w14:textFill>
              </w:rPr>
              <w:t>或在社会上造成恶劣影响的，或有其他严重情节的，罚款</w:t>
            </w:r>
            <w:r>
              <w:rPr>
                <w:rFonts w:hint="eastAsia" w:ascii="仿宋_GB2312" w:hAnsi="仿宋" w:eastAsia="仿宋_GB2312"/>
                <w:color w:val="000000" w:themeColor="text1"/>
                <w:sz w:val="21"/>
                <w:szCs w:val="21"/>
                <w:lang w:val="en-US" w:eastAsia="zh-CN"/>
                <w14:textFill>
                  <w14:solidFill>
                    <w14:schemeClr w14:val="tx1"/>
                  </w14:solidFill>
                </w14:textFill>
              </w:rPr>
              <w:t>10000</w:t>
            </w:r>
            <w:r>
              <w:rPr>
                <w:rFonts w:hint="eastAsia" w:ascii="仿宋_GB2312" w:hAnsi="仿宋" w:eastAsia="仿宋_GB2312"/>
                <w:color w:val="000000" w:themeColor="text1"/>
                <w:sz w:val="21"/>
                <w:szCs w:val="21"/>
                <w14:textFill>
                  <w14:solidFill>
                    <w14:schemeClr w14:val="tx1"/>
                  </w14:solidFill>
                </w14:textFill>
              </w:rPr>
              <w:t>元。</w:t>
            </w:r>
          </w:p>
          <w:p>
            <w:pPr>
              <w:rPr>
                <w:rFonts w:hint="eastAsia" w:ascii="仿宋_GB2312" w:hAnsi="仿宋" w:eastAsia="仿宋_GB2312"/>
                <w:color w:val="000000" w:themeColor="text1"/>
                <w:sz w:val="21"/>
                <w:szCs w:val="21"/>
                <w14:textFill>
                  <w14:solidFill>
                    <w14:schemeClr w14:val="tx1"/>
                  </w14:solidFill>
                </w14:textFill>
              </w:rPr>
            </w:pPr>
          </w:p>
          <w:p>
            <w:pPr>
              <w:rPr>
                <w:rFonts w:hint="eastAsia" w:ascii="仿宋_GB2312" w:hAnsi="仿宋" w:eastAsia="仿宋_GB2312"/>
                <w:color w:val="000000" w:themeColor="text1"/>
                <w:sz w:val="21"/>
                <w:szCs w:val="21"/>
                <w14:textFill>
                  <w14:solidFill>
                    <w14:schemeClr w14:val="tx1"/>
                  </w14:solidFill>
                </w14:textFill>
              </w:rPr>
            </w:pPr>
          </w:p>
        </w:tc>
        <w:tc>
          <w:tcPr>
            <w:tcW w:w="130" w:type="pct"/>
            <w:vMerge w:val="restart"/>
            <w:tcBorders>
              <w:top w:val="nil"/>
              <w:left w:val="nil"/>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w:t>
            </w:r>
          </w:p>
        </w:tc>
      </w:tr>
      <w:tr>
        <w:tblPrEx>
          <w:tblCellMar>
            <w:top w:w="15" w:type="dxa"/>
            <w:left w:w="15" w:type="dxa"/>
            <w:bottom w:w="0" w:type="dxa"/>
            <w:right w:w="15" w:type="dxa"/>
          </w:tblCellMar>
        </w:tblPrEx>
        <w:trPr>
          <w:trHeight w:val="1123" w:hRule="atLeast"/>
          <w:jc w:val="center"/>
        </w:trPr>
        <w:tc>
          <w:tcPr>
            <w:tcW w:w="44"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3</w:t>
            </w:r>
          </w:p>
        </w:tc>
        <w:tc>
          <w:tcPr>
            <w:tcW w:w="559"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未按规定将承办单位的基本情况和合作协议备案</w:t>
            </w:r>
          </w:p>
        </w:tc>
        <w:tc>
          <w:tcPr>
            <w:tcW w:w="347"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《社会艺术水平考级管理办法》第十七条</w:t>
            </w:r>
          </w:p>
        </w:tc>
        <w:tc>
          <w:tcPr>
            <w:tcW w:w="399"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《社会艺术水平考级管理办法》第二十五条第（二）项</w:t>
            </w:r>
          </w:p>
        </w:tc>
        <w:tc>
          <w:tcPr>
            <w:tcW w:w="2022"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五条：艺术考级机构有下列行为之一的，由县级以上文化行政部门或者文化市场综合执法机构予以警告，责令改正并处10000元以下罚款：（二）未按规定将承办单位的基本情况和合作协议备案的</w:t>
            </w:r>
          </w:p>
        </w:tc>
        <w:tc>
          <w:tcPr>
            <w:tcW w:w="497" w:type="pct"/>
            <w:vMerge w:val="continue"/>
            <w:tcBorders>
              <w:left w:val="nil"/>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p>
        </w:tc>
        <w:tc>
          <w:tcPr>
            <w:tcW w:w="497" w:type="pct"/>
            <w:vMerge w:val="continue"/>
            <w:tcBorders>
              <w:left w:val="nil"/>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p>
        </w:tc>
        <w:tc>
          <w:tcPr>
            <w:tcW w:w="503" w:type="pct"/>
            <w:gridSpan w:val="3"/>
            <w:vMerge w:val="continue"/>
            <w:tcBorders>
              <w:left w:val="nil"/>
              <w:right w:val="single" w:color="auto" w:sz="4" w:space="0"/>
            </w:tcBorders>
            <w:shd w:val="clear" w:color="auto" w:fill="auto"/>
            <w:vAlign w:val="center"/>
          </w:tcPr>
          <w:p>
            <w:pPr>
              <w:rPr>
                <w:rFonts w:hint="eastAsia" w:ascii="仿宋_GB2312" w:hAnsi="仿宋" w:eastAsia="仿宋_GB2312"/>
                <w:color w:val="000000" w:themeColor="text1"/>
                <w:sz w:val="21"/>
                <w:szCs w:val="21"/>
                <w14:textFill>
                  <w14:solidFill>
                    <w14:schemeClr w14:val="tx1"/>
                  </w14:solidFill>
                </w14:textFill>
              </w:rPr>
            </w:pPr>
          </w:p>
        </w:tc>
        <w:tc>
          <w:tcPr>
            <w:tcW w:w="130"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123" w:hRule="atLeast"/>
          <w:jc w:val="center"/>
        </w:trPr>
        <w:tc>
          <w:tcPr>
            <w:tcW w:w="44"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4</w:t>
            </w:r>
          </w:p>
        </w:tc>
        <w:tc>
          <w:tcPr>
            <w:tcW w:w="559"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组织艺术考级活动未按规定将考级简章、考级时间、考级地点、考生数量、考场安排、考官名单等情况备案</w:t>
            </w:r>
          </w:p>
        </w:tc>
        <w:tc>
          <w:tcPr>
            <w:tcW w:w="347"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《社会艺术水平考级管理办法》第十八条</w:t>
            </w:r>
          </w:p>
        </w:tc>
        <w:tc>
          <w:tcPr>
            <w:tcW w:w="399"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《社会艺术水平考级管理办法》第二十五条第（三）项</w:t>
            </w:r>
          </w:p>
        </w:tc>
        <w:tc>
          <w:tcPr>
            <w:tcW w:w="2022"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五条：艺术考级机构有下列行为之一的，由县级以上文化行政部门或者文化市场综合执法机构予以警告，责令改正并处10000元以下罚款：（三）组织艺术考级活动未按规定将考级简章、考级时间、考级地点、考生数量、考场安排、考官名单等情况备案的</w:t>
            </w:r>
          </w:p>
        </w:tc>
        <w:tc>
          <w:tcPr>
            <w:tcW w:w="497" w:type="pct"/>
            <w:vMerge w:val="continue"/>
            <w:tcBorders>
              <w:left w:val="nil"/>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p>
        </w:tc>
        <w:tc>
          <w:tcPr>
            <w:tcW w:w="497" w:type="pct"/>
            <w:vMerge w:val="continue"/>
            <w:tcBorders>
              <w:left w:val="nil"/>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p>
        </w:tc>
        <w:tc>
          <w:tcPr>
            <w:tcW w:w="503" w:type="pct"/>
            <w:gridSpan w:val="3"/>
            <w:vMerge w:val="continue"/>
            <w:tcBorders>
              <w:left w:val="nil"/>
              <w:right w:val="single" w:color="auto" w:sz="4" w:space="0"/>
            </w:tcBorders>
            <w:shd w:val="clear" w:color="auto" w:fill="auto"/>
            <w:vAlign w:val="center"/>
          </w:tcPr>
          <w:p>
            <w:pPr>
              <w:rPr>
                <w:rFonts w:hint="eastAsia" w:ascii="仿宋_GB2312" w:hAnsi="仿宋" w:eastAsia="仿宋_GB2312"/>
                <w:color w:val="000000" w:themeColor="text1"/>
                <w:sz w:val="21"/>
                <w:szCs w:val="21"/>
                <w14:textFill>
                  <w14:solidFill>
                    <w14:schemeClr w14:val="tx1"/>
                  </w14:solidFill>
                </w14:textFill>
              </w:rPr>
            </w:pPr>
          </w:p>
        </w:tc>
        <w:tc>
          <w:tcPr>
            <w:tcW w:w="130"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123" w:hRule="atLeast"/>
          <w:jc w:val="center"/>
        </w:trPr>
        <w:tc>
          <w:tcPr>
            <w:tcW w:w="44"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5</w:t>
            </w:r>
          </w:p>
        </w:tc>
        <w:tc>
          <w:tcPr>
            <w:tcW w:w="559"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艺术考级活动结束后未按规定报送考级结果</w:t>
            </w:r>
          </w:p>
        </w:tc>
        <w:tc>
          <w:tcPr>
            <w:tcW w:w="347"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《社会艺术水平考级管理办法》第二十三条</w:t>
            </w:r>
          </w:p>
        </w:tc>
        <w:tc>
          <w:tcPr>
            <w:tcW w:w="399"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《社会艺术水平考级管理办法》第二十五条第（四）项</w:t>
            </w:r>
          </w:p>
        </w:tc>
        <w:tc>
          <w:tcPr>
            <w:tcW w:w="2022"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五条：艺术考级机构有下列行为之一的，由县级以上文化行政部门或者文化市场综合执法机构予以警告，责令改正并处10000元以下罚款：（四）艺术考级活动结束后未按规定报送考级结果的</w:t>
            </w:r>
          </w:p>
        </w:tc>
        <w:tc>
          <w:tcPr>
            <w:tcW w:w="497" w:type="pct"/>
            <w:vMerge w:val="continue"/>
            <w:tcBorders>
              <w:left w:val="nil"/>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p>
        </w:tc>
        <w:tc>
          <w:tcPr>
            <w:tcW w:w="497" w:type="pct"/>
            <w:vMerge w:val="continue"/>
            <w:tcBorders>
              <w:left w:val="nil"/>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p>
        </w:tc>
        <w:tc>
          <w:tcPr>
            <w:tcW w:w="503" w:type="pct"/>
            <w:gridSpan w:val="3"/>
            <w:vMerge w:val="continue"/>
            <w:tcBorders>
              <w:left w:val="nil"/>
              <w:right w:val="single" w:color="auto" w:sz="4" w:space="0"/>
            </w:tcBorders>
            <w:shd w:val="clear" w:color="auto" w:fill="auto"/>
            <w:vAlign w:val="center"/>
          </w:tcPr>
          <w:p>
            <w:pPr>
              <w:rPr>
                <w:rFonts w:hint="eastAsia" w:ascii="仿宋_GB2312" w:hAnsi="仿宋" w:eastAsia="仿宋_GB2312"/>
                <w:color w:val="000000" w:themeColor="text1"/>
                <w:sz w:val="21"/>
                <w:szCs w:val="21"/>
                <w14:textFill>
                  <w14:solidFill>
                    <w14:schemeClr w14:val="tx1"/>
                  </w14:solidFill>
                </w14:textFill>
              </w:rPr>
            </w:pPr>
          </w:p>
        </w:tc>
        <w:tc>
          <w:tcPr>
            <w:tcW w:w="130"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123" w:hRule="atLeast"/>
          <w:jc w:val="center"/>
        </w:trPr>
        <w:tc>
          <w:tcPr>
            <w:tcW w:w="44"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6</w:t>
            </w:r>
          </w:p>
        </w:tc>
        <w:tc>
          <w:tcPr>
            <w:tcW w:w="559"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艺术考级机构主要负责人、办公地点有变动未按规定向审批机关备案</w:t>
            </w:r>
          </w:p>
        </w:tc>
        <w:tc>
          <w:tcPr>
            <w:tcW w:w="347"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《社会艺术水平考级管理办法》第十一条</w:t>
            </w:r>
          </w:p>
        </w:tc>
        <w:tc>
          <w:tcPr>
            <w:tcW w:w="399"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《社会艺术水平考级管理办法》第二十五条第（五）项</w:t>
            </w:r>
          </w:p>
        </w:tc>
        <w:tc>
          <w:tcPr>
            <w:tcW w:w="2022"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五条：艺术考级机构有下列行为之一的，由县级以上文化行政部门或者文化市场综合执法机构予以警告，责令改正并处10000元以下罚款：（五）艺术考级机构主要负责人、办公地点有变动未按规定向审批机关备案的</w:t>
            </w:r>
          </w:p>
        </w:tc>
        <w:tc>
          <w:tcPr>
            <w:tcW w:w="497" w:type="pct"/>
            <w:vMerge w:val="continue"/>
            <w:tcBorders>
              <w:left w:val="nil"/>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p>
        </w:tc>
        <w:tc>
          <w:tcPr>
            <w:tcW w:w="497" w:type="pct"/>
            <w:vMerge w:val="continue"/>
            <w:tcBorders>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p>
        </w:tc>
        <w:tc>
          <w:tcPr>
            <w:tcW w:w="503" w:type="pct"/>
            <w:gridSpan w:val="3"/>
            <w:vMerge w:val="continue"/>
            <w:tcBorders>
              <w:left w:val="nil"/>
              <w:bottom w:val="single" w:color="auto" w:sz="4" w:space="0"/>
              <w:right w:val="single" w:color="auto" w:sz="4" w:space="0"/>
            </w:tcBorders>
            <w:shd w:val="clear" w:color="auto" w:fill="auto"/>
            <w:vAlign w:val="center"/>
          </w:tcPr>
          <w:p>
            <w:pPr>
              <w:rPr>
                <w:rFonts w:hint="eastAsia" w:ascii="仿宋_GB2312" w:hAnsi="仿宋" w:eastAsia="仿宋_GB2312"/>
                <w:color w:val="000000" w:themeColor="text1"/>
                <w:sz w:val="21"/>
                <w:szCs w:val="21"/>
                <w14:textFill>
                  <w14:solidFill>
                    <w14:schemeClr w14:val="tx1"/>
                  </w14:solidFill>
                </w14:textFill>
              </w:rPr>
            </w:pPr>
          </w:p>
        </w:tc>
        <w:tc>
          <w:tcPr>
            <w:tcW w:w="130" w:type="pct"/>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123" w:hRule="atLeast"/>
          <w:jc w:val="center"/>
        </w:trPr>
        <w:tc>
          <w:tcPr>
            <w:tcW w:w="44"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7</w:t>
            </w:r>
          </w:p>
        </w:tc>
        <w:tc>
          <w:tcPr>
            <w:tcW w:w="559"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委托的承办单位不符合规定</w:t>
            </w:r>
          </w:p>
        </w:tc>
        <w:tc>
          <w:tcPr>
            <w:tcW w:w="347"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《社会艺术水平考级管理办法》第十六条</w:t>
            </w:r>
          </w:p>
        </w:tc>
        <w:tc>
          <w:tcPr>
            <w:tcW w:w="399"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《社会艺术水平考级管理办法》第二十六条第（一）项</w:t>
            </w:r>
          </w:p>
        </w:tc>
        <w:tc>
          <w:tcPr>
            <w:tcW w:w="2022"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《社会艺术水平考级管理办法》第二十六条：艺术考级机构有下列行为之一的，由文化行政部门或者文化市场综合执法机构予以警告，责令改正并处30000元以下罚款；情节严重的，取消开办艺术考级活动资格： （一）委托的承办单位不符合规定的；</w:t>
            </w:r>
          </w:p>
        </w:tc>
        <w:tc>
          <w:tcPr>
            <w:tcW w:w="497" w:type="pct"/>
            <w:vMerge w:val="restart"/>
            <w:tcBorders>
              <w:top w:val="nil"/>
              <w:left w:val="nil"/>
              <w:right w:val="single" w:color="auto" w:sz="4" w:space="0"/>
            </w:tcBorders>
            <w:shd w:val="clear" w:color="auto" w:fill="auto"/>
            <w:vAlign w:val="center"/>
          </w:tcPr>
          <w:p>
            <w:pPr>
              <w:jc w:val="left"/>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lang w:val="en-US" w:eastAsia="zh-CN"/>
                <w14:textFill>
                  <w14:solidFill>
                    <w14:schemeClr w14:val="tx1"/>
                  </w14:solidFill>
                </w14:textFill>
              </w:rPr>
              <w:t>1年内第1次被查处，具有从轻情节的，给予警告，并处罚款5000元。</w:t>
            </w:r>
          </w:p>
        </w:tc>
        <w:tc>
          <w:tcPr>
            <w:tcW w:w="497" w:type="pct"/>
            <w:vMerge w:val="restart"/>
            <w:tcBorders>
              <w:top w:val="nil"/>
              <w:left w:val="nil"/>
              <w:right w:val="single" w:color="auto" w:sz="4" w:space="0"/>
            </w:tcBorders>
            <w:shd w:val="clear" w:color="auto" w:fill="auto"/>
            <w:vAlign w:val="center"/>
          </w:tcPr>
          <w:p>
            <w:pPr>
              <w:jc w:val="left"/>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Calibri" w:hAnsi="Calibri" w:eastAsia="仿宋_GB2312" w:cs="Calibri"/>
                <w:color w:val="000000" w:themeColor="text1"/>
                <w:sz w:val="21"/>
                <w:szCs w:val="21"/>
                <w:lang w:val="en-US" w:eastAsia="zh-CN"/>
                <w14:textFill>
                  <w14:solidFill>
                    <w14:schemeClr w14:val="tx1"/>
                  </w14:solidFill>
                </w14:textFill>
              </w:rPr>
              <w:t>1年内第1次被查处，给予警告，并处罚款9000元；</w:t>
            </w:r>
          </w:p>
          <w:p>
            <w:pPr>
              <w:rPr>
                <w:rFonts w:ascii="仿宋_GB2312" w:hAnsi="仿宋"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1年内第2次被查处，并处罚款15000元。</w:t>
            </w:r>
          </w:p>
        </w:tc>
        <w:tc>
          <w:tcPr>
            <w:tcW w:w="503" w:type="pct"/>
            <w:gridSpan w:val="3"/>
            <w:vMerge w:val="restart"/>
            <w:tcBorders>
              <w:top w:val="nil"/>
              <w:left w:val="nil"/>
              <w:right w:val="single" w:color="auto" w:sz="4" w:space="0"/>
            </w:tcBorders>
            <w:shd w:val="clear" w:color="auto" w:fill="auto"/>
            <w:vAlign w:val="center"/>
          </w:tcPr>
          <w:p>
            <w:pPr>
              <w:jc w:val="left"/>
              <w:rPr>
                <w:rFonts w:hint="default" w:ascii="Calibri" w:hAnsi="Calibri" w:eastAsia="仿宋_GB2312" w:cs="Calibri"/>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14:textFill>
                  <w14:solidFill>
                    <w14:schemeClr w14:val="tx1"/>
                  </w14:solidFill>
                </w14:textFill>
              </w:rPr>
              <w:t>①</w:t>
            </w:r>
            <w:r>
              <w:rPr>
                <w:rFonts w:hint="eastAsia" w:ascii="仿宋_GB2312" w:hAnsi="仿宋" w:eastAsia="仿宋_GB2312"/>
                <w:color w:val="000000" w:themeColor="text1"/>
                <w:sz w:val="21"/>
                <w:szCs w:val="21"/>
                <w:lang w:val="en-US" w:eastAsia="zh-CN"/>
                <w14:textFill>
                  <w14:solidFill>
                    <w14:schemeClr w14:val="tx1"/>
                  </w14:solidFill>
                </w14:textFill>
              </w:rPr>
              <w:t xml:space="preserve">1年内第1次被查处，具有从重情节的，并处罚款25000元； </w:t>
            </w:r>
          </w:p>
          <w:p>
            <w:pPr>
              <w:rPr>
                <w:rFonts w:hint="eastAsia" w:ascii="仿宋_GB2312" w:hAnsi="仿宋"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1年内第3次被查处，</w:t>
            </w:r>
            <w:r>
              <w:rPr>
                <w:rFonts w:hint="eastAsia" w:ascii="仿宋_GB2312" w:hAnsi="仿宋" w:eastAsia="仿宋_GB2312"/>
                <w:color w:val="000000" w:themeColor="text1"/>
                <w:sz w:val="21"/>
                <w:szCs w:val="21"/>
                <w14:textFill>
                  <w14:solidFill>
                    <w14:schemeClr w14:val="tx1"/>
                  </w14:solidFill>
                </w14:textFill>
              </w:rPr>
              <w:t>或在社会上造成恶劣影响的，或有其他严重情节的，罚款</w:t>
            </w:r>
            <w:r>
              <w:rPr>
                <w:rFonts w:hint="eastAsia" w:ascii="仿宋_GB2312" w:hAnsi="仿宋" w:eastAsia="仿宋_GB2312"/>
                <w:color w:val="000000" w:themeColor="text1"/>
                <w:sz w:val="21"/>
                <w:szCs w:val="21"/>
                <w:lang w:val="en-US" w:eastAsia="zh-CN"/>
                <w14:textFill>
                  <w14:solidFill>
                    <w14:schemeClr w14:val="tx1"/>
                  </w14:solidFill>
                </w14:textFill>
              </w:rPr>
              <w:t>30000</w:t>
            </w:r>
            <w:r>
              <w:rPr>
                <w:rFonts w:hint="eastAsia" w:ascii="仿宋_GB2312" w:hAnsi="仿宋" w:eastAsia="仿宋_GB2312"/>
                <w:color w:val="000000" w:themeColor="text1"/>
                <w:sz w:val="21"/>
                <w:szCs w:val="21"/>
                <w14:textFill>
                  <w14:solidFill>
                    <w14:schemeClr w14:val="tx1"/>
                  </w14:solidFill>
                </w14:textFill>
              </w:rPr>
              <w:t>元。</w:t>
            </w:r>
          </w:p>
          <w:p>
            <w:pPr>
              <w:rPr>
                <w:rFonts w:hint="eastAsia" w:ascii="仿宋_GB2312" w:hAnsi="仿宋" w:eastAsia="仿宋_GB2312"/>
                <w:color w:val="000000" w:themeColor="text1"/>
                <w:sz w:val="21"/>
                <w:szCs w:val="21"/>
                <w14:textFill>
                  <w14:solidFill>
                    <w14:schemeClr w14:val="tx1"/>
                  </w14:solidFill>
                </w14:textFill>
              </w:rPr>
            </w:pPr>
          </w:p>
        </w:tc>
        <w:tc>
          <w:tcPr>
            <w:tcW w:w="130" w:type="pct"/>
            <w:vMerge w:val="restart"/>
            <w:tcBorders>
              <w:top w:val="nil"/>
              <w:left w:val="nil"/>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w:t>
            </w:r>
          </w:p>
        </w:tc>
      </w:tr>
      <w:tr>
        <w:tblPrEx>
          <w:tblCellMar>
            <w:top w:w="15" w:type="dxa"/>
            <w:left w:w="15" w:type="dxa"/>
            <w:bottom w:w="0" w:type="dxa"/>
            <w:right w:w="15" w:type="dxa"/>
          </w:tblCellMar>
        </w:tblPrEx>
        <w:trPr>
          <w:trHeight w:val="1123" w:hRule="atLeast"/>
          <w:jc w:val="center"/>
        </w:trPr>
        <w:tc>
          <w:tcPr>
            <w:tcW w:w="44"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8</w:t>
            </w:r>
          </w:p>
        </w:tc>
        <w:tc>
          <w:tcPr>
            <w:tcW w:w="559"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未按照规定组建常设工作机构并配备专职工作人员</w:t>
            </w:r>
          </w:p>
        </w:tc>
        <w:tc>
          <w:tcPr>
            <w:tcW w:w="347"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《社会艺术水平考级管理办法》第十四条</w:t>
            </w:r>
          </w:p>
        </w:tc>
        <w:tc>
          <w:tcPr>
            <w:tcW w:w="399"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《社会艺术水平考级管理办法》第二十六条第（二）项</w:t>
            </w:r>
          </w:p>
        </w:tc>
        <w:tc>
          <w:tcPr>
            <w:tcW w:w="2022"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六条：艺术考级机构有下列行为之一的，由文化行政部门或者文化市场综合执法机构予以警告，责令改正并处30000元以下罚款；情节严重的，取消开办艺术考级活动资格：（二）未按照规定组建常设工作机构并配备专职工作人员的；</w:t>
            </w:r>
          </w:p>
        </w:tc>
        <w:tc>
          <w:tcPr>
            <w:tcW w:w="497" w:type="pct"/>
            <w:vMerge w:val="continue"/>
            <w:tcBorders>
              <w:left w:val="nil"/>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p>
        </w:tc>
        <w:tc>
          <w:tcPr>
            <w:tcW w:w="497" w:type="pct"/>
            <w:vMerge w:val="continue"/>
            <w:tcBorders>
              <w:left w:val="nil"/>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p>
        </w:tc>
        <w:tc>
          <w:tcPr>
            <w:tcW w:w="503" w:type="pct"/>
            <w:gridSpan w:val="3"/>
            <w:vMerge w:val="continue"/>
            <w:tcBorders>
              <w:left w:val="nil"/>
              <w:right w:val="single" w:color="auto" w:sz="4" w:space="0"/>
            </w:tcBorders>
            <w:shd w:val="clear" w:color="auto" w:fill="auto"/>
            <w:vAlign w:val="center"/>
          </w:tcPr>
          <w:p>
            <w:pPr>
              <w:rPr>
                <w:rFonts w:hint="eastAsia" w:ascii="仿宋_GB2312" w:hAnsi="仿宋" w:eastAsia="仿宋_GB2312"/>
                <w:color w:val="000000" w:themeColor="text1"/>
                <w:sz w:val="21"/>
                <w:szCs w:val="21"/>
                <w14:textFill>
                  <w14:solidFill>
                    <w14:schemeClr w14:val="tx1"/>
                  </w14:solidFill>
                </w14:textFill>
              </w:rPr>
            </w:pPr>
          </w:p>
        </w:tc>
        <w:tc>
          <w:tcPr>
            <w:tcW w:w="130"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123" w:hRule="atLeast"/>
          <w:jc w:val="center"/>
        </w:trPr>
        <w:tc>
          <w:tcPr>
            <w:tcW w:w="44"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9</w:t>
            </w:r>
          </w:p>
        </w:tc>
        <w:tc>
          <w:tcPr>
            <w:tcW w:w="559"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未按照本机构教材确定艺术考级内容</w:t>
            </w:r>
          </w:p>
        </w:tc>
        <w:tc>
          <w:tcPr>
            <w:tcW w:w="347"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《社会艺术水平考级管理办法》第十九条</w:t>
            </w:r>
          </w:p>
        </w:tc>
        <w:tc>
          <w:tcPr>
            <w:tcW w:w="399"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《社会艺术水平考级管理办法》第二十六条第（三）项</w:t>
            </w:r>
          </w:p>
        </w:tc>
        <w:tc>
          <w:tcPr>
            <w:tcW w:w="2022"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六条：艺术考级机构有下列行为之一的，由文化行政部门或者文化市场综合执法机构予以警告，责令改正并处30000元以下罚款；情节严重的，取消开办艺术考级活动资格：（三）未按照本机构教材确定艺术考级内容的；</w:t>
            </w:r>
          </w:p>
        </w:tc>
        <w:tc>
          <w:tcPr>
            <w:tcW w:w="497" w:type="pct"/>
            <w:vMerge w:val="continue"/>
            <w:tcBorders>
              <w:left w:val="nil"/>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p>
        </w:tc>
        <w:tc>
          <w:tcPr>
            <w:tcW w:w="497" w:type="pct"/>
            <w:vMerge w:val="continue"/>
            <w:tcBorders>
              <w:left w:val="nil"/>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p>
        </w:tc>
        <w:tc>
          <w:tcPr>
            <w:tcW w:w="503" w:type="pct"/>
            <w:gridSpan w:val="3"/>
            <w:vMerge w:val="continue"/>
            <w:tcBorders>
              <w:left w:val="nil"/>
              <w:right w:val="single" w:color="auto" w:sz="4" w:space="0"/>
            </w:tcBorders>
            <w:shd w:val="clear" w:color="auto" w:fill="auto"/>
            <w:vAlign w:val="center"/>
          </w:tcPr>
          <w:p>
            <w:pPr>
              <w:rPr>
                <w:rFonts w:hint="eastAsia" w:ascii="仿宋_GB2312" w:hAnsi="仿宋" w:eastAsia="仿宋_GB2312"/>
                <w:color w:val="000000" w:themeColor="text1"/>
                <w:sz w:val="21"/>
                <w:szCs w:val="21"/>
                <w14:textFill>
                  <w14:solidFill>
                    <w14:schemeClr w14:val="tx1"/>
                  </w14:solidFill>
                </w14:textFill>
              </w:rPr>
            </w:pPr>
          </w:p>
        </w:tc>
        <w:tc>
          <w:tcPr>
            <w:tcW w:w="130"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123" w:hRule="atLeast"/>
          <w:jc w:val="center"/>
        </w:trPr>
        <w:tc>
          <w:tcPr>
            <w:tcW w:w="44"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10</w:t>
            </w:r>
          </w:p>
        </w:tc>
        <w:tc>
          <w:tcPr>
            <w:tcW w:w="559"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未按照规定要求实行回避</w:t>
            </w:r>
          </w:p>
        </w:tc>
        <w:tc>
          <w:tcPr>
            <w:tcW w:w="347"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《社会艺术水平考级管理办法》第二十二条</w:t>
            </w:r>
          </w:p>
        </w:tc>
        <w:tc>
          <w:tcPr>
            <w:tcW w:w="399"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《社会艺术水平考级管理办法》第二十六条第（四）项</w:t>
            </w:r>
          </w:p>
        </w:tc>
        <w:tc>
          <w:tcPr>
            <w:tcW w:w="2022"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六条：艺术考级机构有下列行为之一的，由文化行政部门或者文化市场综合执法机构予以警告，责令改正并处30000元以下罚款；情节严重的，取消开办艺术考级活动资格：（四）未按照规定要求实行回避的；</w:t>
            </w:r>
          </w:p>
        </w:tc>
        <w:tc>
          <w:tcPr>
            <w:tcW w:w="497" w:type="pct"/>
            <w:vMerge w:val="continue"/>
            <w:tcBorders>
              <w:left w:val="nil"/>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p>
        </w:tc>
        <w:tc>
          <w:tcPr>
            <w:tcW w:w="497" w:type="pct"/>
            <w:vMerge w:val="continue"/>
            <w:tcBorders>
              <w:left w:val="nil"/>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p>
        </w:tc>
        <w:tc>
          <w:tcPr>
            <w:tcW w:w="503" w:type="pct"/>
            <w:gridSpan w:val="3"/>
            <w:vMerge w:val="continue"/>
            <w:tcBorders>
              <w:left w:val="nil"/>
              <w:right w:val="single" w:color="auto" w:sz="4" w:space="0"/>
            </w:tcBorders>
            <w:shd w:val="clear" w:color="auto" w:fill="auto"/>
            <w:vAlign w:val="center"/>
          </w:tcPr>
          <w:p>
            <w:pPr>
              <w:rPr>
                <w:rFonts w:hint="eastAsia" w:ascii="仿宋_GB2312" w:hAnsi="仿宋" w:eastAsia="仿宋_GB2312"/>
                <w:color w:val="000000" w:themeColor="text1"/>
                <w:sz w:val="21"/>
                <w:szCs w:val="21"/>
                <w14:textFill>
                  <w14:solidFill>
                    <w14:schemeClr w14:val="tx1"/>
                  </w14:solidFill>
                </w14:textFill>
              </w:rPr>
            </w:pPr>
          </w:p>
        </w:tc>
        <w:tc>
          <w:tcPr>
            <w:tcW w:w="130"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123" w:hRule="atLeast"/>
          <w:jc w:val="center"/>
        </w:trPr>
        <w:tc>
          <w:tcPr>
            <w:tcW w:w="44"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11</w:t>
            </w:r>
          </w:p>
        </w:tc>
        <w:tc>
          <w:tcPr>
            <w:tcW w:w="559"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阻挠、抗拒文化行政部门或者文化市场综合执法机构工作人员监督检查</w:t>
            </w:r>
          </w:p>
        </w:tc>
        <w:tc>
          <w:tcPr>
            <w:tcW w:w="347"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《社会艺术水平考级管理办法》第二十六条第（五）项</w:t>
            </w:r>
          </w:p>
        </w:tc>
        <w:tc>
          <w:tcPr>
            <w:tcW w:w="399"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《社会艺术水平考级管理办法》第二十六条第（五）项</w:t>
            </w:r>
          </w:p>
        </w:tc>
        <w:tc>
          <w:tcPr>
            <w:tcW w:w="2022"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六条：艺术考级机构有下列行为之一的，由文化行政部门或者文化市场综合执法机构予以警告，责令改正并处30000元以下罚款；情节严重的，取消开办艺术考级活动资格：（五）阻挠、抗拒文化行政部门或者文化市场综合执法机构工作人员监督检查的。</w:t>
            </w:r>
          </w:p>
        </w:tc>
        <w:tc>
          <w:tcPr>
            <w:tcW w:w="497" w:type="pct"/>
            <w:vMerge w:val="continue"/>
            <w:tcBorders>
              <w:left w:val="nil"/>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p>
        </w:tc>
        <w:tc>
          <w:tcPr>
            <w:tcW w:w="497" w:type="pct"/>
            <w:vMerge w:val="continue"/>
            <w:tcBorders>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p>
        </w:tc>
        <w:tc>
          <w:tcPr>
            <w:tcW w:w="503" w:type="pct"/>
            <w:gridSpan w:val="3"/>
            <w:vMerge w:val="continue"/>
            <w:tcBorders>
              <w:left w:val="nil"/>
              <w:bottom w:val="single" w:color="auto" w:sz="4" w:space="0"/>
              <w:right w:val="single" w:color="auto" w:sz="4" w:space="0"/>
            </w:tcBorders>
            <w:shd w:val="clear" w:color="auto" w:fill="auto"/>
            <w:vAlign w:val="center"/>
          </w:tcPr>
          <w:p>
            <w:pPr>
              <w:rPr>
                <w:rFonts w:hint="eastAsia" w:ascii="仿宋_GB2312" w:hAnsi="仿宋" w:eastAsia="仿宋_GB2312"/>
                <w:color w:val="000000" w:themeColor="text1"/>
                <w:sz w:val="21"/>
                <w:szCs w:val="21"/>
                <w14:textFill>
                  <w14:solidFill>
                    <w14:schemeClr w14:val="tx1"/>
                  </w14:solidFill>
                </w14:textFill>
              </w:rPr>
            </w:pPr>
          </w:p>
        </w:tc>
        <w:tc>
          <w:tcPr>
            <w:tcW w:w="130" w:type="pct"/>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jc w:val="center"/>
          <w:hidden/>
        </w:trPr>
        <w:tc>
          <w:tcPr>
            <w:tcW w:w="44" w:type="pct"/>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559" w:type="pct"/>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259" w:type="pct"/>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385" w:type="pct"/>
            <w:gridSpan w:val="2"/>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2124" w:type="pct"/>
            <w:gridSpan w:val="2"/>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1050" w:type="pct"/>
            <w:gridSpan w:val="3"/>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313" w:type="pct"/>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134" w:type="pct"/>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130" w:type="pct"/>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r>
    </w:tbl>
    <w:p>
      <w:pPr>
        <w:rPr>
          <w:rFonts w:ascii="仿宋_GB2312" w:eastAsia="仿宋_GB2312"/>
          <w:color w:val="000000" w:themeColor="text1"/>
          <w:sz w:val="21"/>
          <w:szCs w:val="21"/>
          <w14:textFill>
            <w14:solidFill>
              <w14:schemeClr w14:val="tx1"/>
            </w14:solidFill>
          </w14:textFill>
        </w:rPr>
      </w:pPr>
    </w:p>
    <w:sectPr>
      <w:pgSz w:w="16838" w:h="11906" w:orient="landscape"/>
      <w:pgMar w:top="1800" w:right="1440" w:bottom="1800" w:left="1440" w:header="851" w:footer="992" w:gutter="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10"/>
  <w:bordersDoNotSurroundHeader w:val="1"/>
  <w:bordersDoNotSurroundFooter w:val="1"/>
  <w:documentProtection w:enforcement="0"/>
  <w:defaultTabStop w:val="420"/>
  <w:noPunctuationKerning w:val="1"/>
  <w:characterSpacingControl w:val="doNotCompress"/>
  <w:compat>
    <w:doNotSnapToGridInCell/>
    <w:doNotWrapTextWithPunct/>
    <w:doNotUseEastAsianBreakRules/>
    <w:growAutofit/>
    <w:useFELayout/>
    <w:compatSetting w:name="compatibilityMode" w:uri="http://schemas.microsoft.com/office/word" w:val="14"/>
  </w:compat>
  <w:docVars>
    <w:docVar w:name="commondata" w:val="eyJoZGlkIjoiOGQ0NjJkNjJjOTE0ZmI4ZjFkYTEyNjA1NjAyNzk3MGIifQ=="/>
  </w:docVars>
  <w:rsids>
    <w:rsidRoot w:val="00222C7A"/>
    <w:rsid w:val="000119AF"/>
    <w:rsid w:val="00065EBA"/>
    <w:rsid w:val="000730D8"/>
    <w:rsid w:val="000C60E7"/>
    <w:rsid w:val="00222C7A"/>
    <w:rsid w:val="00273347"/>
    <w:rsid w:val="00360DE3"/>
    <w:rsid w:val="00696C82"/>
    <w:rsid w:val="006A5D84"/>
    <w:rsid w:val="00B76013"/>
    <w:rsid w:val="00E748B8"/>
    <w:rsid w:val="00E91D0D"/>
    <w:rsid w:val="00FC5558"/>
    <w:rsid w:val="0DFB67B0"/>
    <w:rsid w:val="0FCD3553"/>
    <w:rsid w:val="18476F70"/>
    <w:rsid w:val="1F404479"/>
    <w:rsid w:val="25493224"/>
    <w:rsid w:val="28AD3B2B"/>
    <w:rsid w:val="2F472B63"/>
    <w:rsid w:val="35301D0A"/>
    <w:rsid w:val="4407632C"/>
    <w:rsid w:val="561656FC"/>
    <w:rsid w:val="5967112E"/>
    <w:rsid w:val="597450E1"/>
    <w:rsid w:val="5C8E2331"/>
    <w:rsid w:val="5F1E11AB"/>
    <w:rsid w:val="665C5E3B"/>
    <w:rsid w:val="69134E28"/>
    <w:rsid w:val="69AA0854"/>
    <w:rsid w:val="6B855C05"/>
    <w:rsid w:val="6EBC7DC7"/>
    <w:rsid w:val="6F20778C"/>
    <w:rsid w:val="70802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9"/>
    <w:unhideWhenUsed/>
    <w:uiPriority w:val="99"/>
    <w:pPr>
      <w:tabs>
        <w:tab w:val="center" w:pos="4153"/>
        <w:tab w:val="right" w:pos="8306"/>
      </w:tabs>
      <w:snapToGrid w:val="0"/>
    </w:pPr>
    <w:rPr>
      <w:sz w:val="18"/>
      <w:szCs w:val="18"/>
    </w:rPr>
  </w:style>
  <w:style w:type="paragraph" w:styleId="3">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xl654413"/>
    <w:basedOn w:val="1"/>
    <w:qFormat/>
    <w:uiPriority w:val="0"/>
    <w:pPr>
      <w:spacing w:before="100" w:beforeAutospacing="1" w:after="100" w:afterAutospacing="1"/>
      <w:textAlignment w:val="center"/>
    </w:pPr>
  </w:style>
  <w:style w:type="paragraph" w:customStyle="1" w:styleId="7">
    <w:name w:val="xl66441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仿宋_GB2312" w:eastAsia="仿宋_GB2312"/>
      <w:b/>
      <w:bCs/>
      <w:color w:val="000000"/>
      <w:sz w:val="20"/>
      <w:szCs w:val="20"/>
    </w:rPr>
  </w:style>
  <w:style w:type="paragraph" w:customStyle="1" w:styleId="8">
    <w:name w:val="xl67441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仿宋_GB2312" w:eastAsia="仿宋_GB2312"/>
      <w:b/>
      <w:bCs/>
      <w:sz w:val="20"/>
      <w:szCs w:val="20"/>
    </w:rPr>
  </w:style>
  <w:style w:type="paragraph" w:customStyle="1" w:styleId="9">
    <w:name w:val="xl68441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仿宋" w:hAnsi="仿宋" w:eastAsia="仿宋"/>
    </w:rPr>
  </w:style>
  <w:style w:type="paragraph" w:customStyle="1" w:styleId="10">
    <w:name w:val="xl69441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仿宋" w:hAnsi="仿宋" w:eastAsia="仿宋"/>
      <w:sz w:val="22"/>
      <w:szCs w:val="22"/>
    </w:rPr>
  </w:style>
  <w:style w:type="paragraph" w:customStyle="1" w:styleId="11">
    <w:name w:val="xl70441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仿宋" w:hAnsi="仿宋" w:eastAsia="仿宋"/>
      <w:sz w:val="22"/>
      <w:szCs w:val="22"/>
    </w:rPr>
  </w:style>
  <w:style w:type="paragraph" w:customStyle="1" w:styleId="12">
    <w:name w:val="xl71441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仿宋" w:hAnsi="仿宋" w:eastAsia="仿宋"/>
      <w:sz w:val="22"/>
      <w:szCs w:val="22"/>
    </w:rPr>
  </w:style>
  <w:style w:type="paragraph" w:customStyle="1" w:styleId="13">
    <w:name w:val="xl72441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style>
  <w:style w:type="paragraph" w:customStyle="1" w:styleId="14">
    <w:name w:val="xl73441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仿宋" w:hAnsi="仿宋" w:eastAsia="仿宋"/>
      <w:color w:val="FF0000"/>
      <w:sz w:val="22"/>
      <w:szCs w:val="22"/>
    </w:rPr>
  </w:style>
  <w:style w:type="paragraph" w:customStyle="1" w:styleId="15">
    <w:name w:val="xl744413"/>
    <w:basedOn w:val="1"/>
    <w:qFormat/>
    <w:uiPriority w:val="0"/>
    <w:pPr>
      <w:spacing w:before="100" w:beforeAutospacing="1" w:after="100" w:afterAutospacing="1"/>
      <w:textAlignment w:val="center"/>
    </w:pPr>
    <w:rPr>
      <w:rFonts w:ascii="仿宋" w:hAnsi="仿宋" w:eastAsia="仿宋"/>
      <w:sz w:val="22"/>
      <w:szCs w:val="22"/>
    </w:rPr>
  </w:style>
  <w:style w:type="paragraph" w:customStyle="1" w:styleId="16">
    <w:name w:val="xl754413"/>
    <w:basedOn w:val="1"/>
    <w:qFormat/>
    <w:uiPriority w:val="0"/>
    <w:pPr>
      <w:spacing w:before="100" w:beforeAutospacing="1" w:after="100" w:afterAutospacing="1"/>
      <w:jc w:val="center"/>
      <w:textAlignment w:val="center"/>
    </w:pPr>
    <w:rPr>
      <w:rFonts w:ascii="仿宋" w:hAnsi="仿宋" w:eastAsia="仿宋"/>
      <w:b/>
      <w:bCs/>
      <w:sz w:val="28"/>
      <w:szCs w:val="28"/>
    </w:rPr>
  </w:style>
  <w:style w:type="paragraph" w:customStyle="1" w:styleId="17">
    <w:name w:val="xl764413"/>
    <w:basedOn w:val="1"/>
    <w:qFormat/>
    <w:uiPriority w:val="0"/>
    <w:pPr>
      <w:spacing w:before="100" w:beforeAutospacing="1" w:after="100" w:afterAutospacing="1"/>
      <w:jc w:val="center"/>
      <w:textAlignment w:val="center"/>
    </w:pPr>
  </w:style>
  <w:style w:type="character" w:customStyle="1" w:styleId="18">
    <w:name w:val="页眉 Char"/>
    <w:basedOn w:val="5"/>
    <w:link w:val="3"/>
    <w:qFormat/>
    <w:uiPriority w:val="99"/>
    <w:rPr>
      <w:rFonts w:ascii="宋体" w:hAnsi="宋体" w:eastAsia="宋体" w:cs="宋体"/>
      <w:sz w:val="18"/>
      <w:szCs w:val="18"/>
    </w:rPr>
  </w:style>
  <w:style w:type="character" w:customStyle="1" w:styleId="19">
    <w:name w:val="页脚 Char"/>
    <w:basedOn w:val="5"/>
    <w:link w:val="2"/>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2409</Words>
  <Characters>2528</Characters>
  <Lines>14</Lines>
  <Paragraphs>4</Paragraphs>
  <TotalTime>2</TotalTime>
  <ScaleCrop>false</ScaleCrop>
  <LinksUpToDate>false</LinksUpToDate>
  <CharactersWithSpaces>2548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2019-07-10T09:46:00Z</dcterms:created>
  <dc:creator>未定义</dc:creator>
  <cp:lastModifiedBy>木易</cp:lastModifiedBy>
  <dcterms:modified xsi:type="dcterms:W3CDTF">2022-05-10T06:29:37Z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2DB12741E6FB4B5FBFB083279953D2DA</vt:lpwstr>
  </property>
</Properties>
</file>