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lang w:eastAsia="zh-CN"/>
          <w14:textFill>
            <w14:solidFill>
              <w14:schemeClr w14:val="tx1"/>
            </w14:solidFill>
          </w14:textFill>
        </w:rPr>
        <w:t>汕头市社会艺术水平考级行政处罚自由裁量权细化标准</w:t>
      </w:r>
      <w:r>
        <w:rPr>
          <w:rFonts w:hint="eastAsia" w:asciiTheme="majorEastAsia" w:hAnsiTheme="majorEastAsia" w:eastAsiaTheme="majorEastAsia"/>
          <w:b/>
          <w:color w:val="000000" w:themeColor="text1"/>
          <w:sz w:val="44"/>
          <w:szCs w:val="44"/>
          <w:lang w:val="en-US" w:eastAsia="zh-CN"/>
          <w14:textFill>
            <w14:solidFill>
              <w14:schemeClr w14:val="tx1"/>
            </w14:solidFill>
          </w14:textFill>
        </w:rPr>
        <w:t>(共11项）</w:t>
      </w:r>
      <w:bookmarkStart w:id="0" w:name="_GoBack"/>
      <w:bookmarkEnd w:id="0"/>
    </w:p>
    <w:p>
      <w:pPr>
        <w:rPr>
          <w:rFonts w:ascii="仿宋_GB2312" w:eastAsia="仿宋_GB2312"/>
          <w:color w:val="000000" w:themeColor="text1"/>
          <w:sz w:val="21"/>
          <w:szCs w:val="21"/>
          <w14:textFill>
            <w14:solidFill>
              <w14:schemeClr w14:val="tx1"/>
            </w14:solidFill>
          </w14:textFill>
        </w:rPr>
      </w:pPr>
    </w:p>
    <w:tbl>
      <w:tblPr>
        <w:tblStyle w:val="4"/>
        <w:tblW w:w="4999" w:type="pct"/>
        <w:jc w:val="center"/>
        <w:tblLayout w:type="autofit"/>
        <w:tblCellMar>
          <w:top w:w="15" w:type="dxa"/>
          <w:left w:w="15" w:type="dxa"/>
          <w:bottom w:w="0" w:type="dxa"/>
          <w:right w:w="15" w:type="dxa"/>
        </w:tblCellMar>
      </w:tblPr>
      <w:tblGrid>
        <w:gridCol w:w="241"/>
        <w:gridCol w:w="1554"/>
        <w:gridCol w:w="715"/>
        <w:gridCol w:w="236"/>
        <w:gridCol w:w="821"/>
        <w:gridCol w:w="275"/>
        <w:gridCol w:w="5648"/>
        <w:gridCol w:w="1381"/>
        <w:gridCol w:w="1381"/>
        <w:gridCol w:w="147"/>
        <w:gridCol w:w="866"/>
        <w:gridCol w:w="365"/>
        <w:gridCol w:w="355"/>
      </w:tblGrid>
      <w:tr>
        <w:tblPrEx>
          <w:tblCellMar>
            <w:top w:w="15" w:type="dxa"/>
            <w:left w:w="15" w:type="dxa"/>
            <w:bottom w:w="0" w:type="dxa"/>
            <w:right w:w="15" w:type="dxa"/>
          </w:tblCellMar>
        </w:tblPrEx>
        <w:trPr>
          <w:trHeight w:val="519" w:hRule="atLeast"/>
          <w:jc w:val="center"/>
        </w:trPr>
        <w:tc>
          <w:tcPr>
            <w:tcW w:w="44" w:type="pct"/>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eastAsia="仿宋_GB2312"/>
                <w:b/>
                <w:bCs/>
                <w:color w:val="000000" w:themeColor="text1"/>
                <w:sz w:val="21"/>
                <w:szCs w:val="21"/>
                <w14:textFill>
                  <w14:solidFill>
                    <w14:schemeClr w14:val="tx1"/>
                  </w14:solidFill>
                </w14:textFill>
              </w:rPr>
            </w:pPr>
            <w:r>
              <w:rPr>
                <w:rFonts w:hint="eastAsia" w:ascii="仿宋_GB2312" w:eastAsia="仿宋_GB2312"/>
                <w:b/>
                <w:bCs/>
                <w:color w:val="000000" w:themeColor="text1"/>
                <w:sz w:val="21"/>
                <w:szCs w:val="21"/>
                <w14:textFill>
                  <w14:solidFill>
                    <w14:schemeClr w14:val="tx1"/>
                  </w14:solidFill>
                </w14:textFill>
              </w:rPr>
              <w:t>序号</w:t>
            </w:r>
          </w:p>
        </w:tc>
        <w:tc>
          <w:tcPr>
            <w:tcW w:w="559" w:type="pct"/>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
                <w:bCs/>
                <w:color w:val="000000" w:themeColor="text1"/>
                <w:sz w:val="21"/>
                <w:szCs w:val="21"/>
                <w14:textFill>
                  <w14:solidFill>
                    <w14:schemeClr w14:val="tx1"/>
                  </w14:solidFill>
                </w14:textFill>
              </w:rPr>
            </w:pPr>
            <w:r>
              <w:rPr>
                <w:rFonts w:hint="eastAsia" w:ascii="仿宋_GB2312" w:eastAsia="仿宋_GB2312"/>
                <w:b/>
                <w:bCs/>
                <w:color w:val="000000" w:themeColor="text1"/>
                <w:sz w:val="21"/>
                <w:szCs w:val="21"/>
                <w14:textFill>
                  <w14:solidFill>
                    <w14:schemeClr w14:val="tx1"/>
                  </w14:solidFill>
                </w14:textFill>
              </w:rPr>
              <w:t>违法行为</w:t>
            </w:r>
          </w:p>
        </w:tc>
        <w:tc>
          <w:tcPr>
            <w:tcW w:w="347" w:type="pct"/>
            <w:gridSpan w:val="2"/>
            <w:vMerge w:val="restart"/>
            <w:tcBorders>
              <w:top w:val="single" w:color="auto" w:sz="4" w:space="0"/>
              <w:left w:val="nil"/>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r>
              <w:rPr>
                <w:rFonts w:hint="eastAsia" w:ascii="仿宋_GB2312" w:eastAsia="仿宋_GB2312"/>
                <w:b/>
                <w:bCs/>
                <w:color w:val="000000" w:themeColor="text1"/>
                <w:sz w:val="21"/>
                <w:szCs w:val="21"/>
                <w14:textFill>
                  <w14:solidFill>
                    <w14:schemeClr w14:val="tx1"/>
                  </w14:solidFill>
                </w14:textFill>
              </w:rPr>
              <w:t>违反条款</w:t>
            </w:r>
          </w:p>
        </w:tc>
        <w:tc>
          <w:tcPr>
            <w:tcW w:w="399" w:type="pct"/>
            <w:gridSpan w:val="2"/>
            <w:vMerge w:val="restart"/>
            <w:tcBorders>
              <w:top w:val="single" w:color="auto" w:sz="4" w:space="0"/>
              <w:left w:val="nil"/>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r>
              <w:rPr>
                <w:rFonts w:hint="eastAsia" w:ascii="仿宋_GB2312" w:eastAsia="仿宋_GB2312"/>
                <w:b/>
                <w:bCs/>
                <w:color w:val="000000" w:themeColor="text1"/>
                <w:sz w:val="21"/>
                <w:szCs w:val="21"/>
                <w14:textFill>
                  <w14:solidFill>
                    <w14:schemeClr w14:val="tx1"/>
                  </w14:solidFill>
                </w14:textFill>
              </w:rPr>
              <w:t>罚则</w:t>
            </w:r>
          </w:p>
        </w:tc>
        <w:tc>
          <w:tcPr>
            <w:tcW w:w="2022" w:type="pct"/>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
                <w:bCs/>
                <w:color w:val="000000" w:themeColor="text1"/>
                <w:sz w:val="21"/>
                <w:szCs w:val="21"/>
                <w14:textFill>
                  <w14:solidFill>
                    <w14:schemeClr w14:val="tx1"/>
                  </w14:solidFill>
                </w14:textFill>
              </w:rPr>
            </w:pPr>
            <w:r>
              <w:rPr>
                <w:rFonts w:hint="eastAsia" w:ascii="仿宋_GB2312" w:eastAsia="仿宋_GB2312"/>
                <w:b/>
                <w:bCs/>
                <w:color w:val="000000" w:themeColor="text1"/>
                <w:sz w:val="21"/>
                <w:szCs w:val="21"/>
                <w14:textFill>
                  <w14:solidFill>
                    <w14:schemeClr w14:val="tx1"/>
                  </w14:solidFill>
                </w14:textFill>
              </w:rPr>
              <w:t>法律依据</w:t>
            </w:r>
          </w:p>
        </w:tc>
        <w:tc>
          <w:tcPr>
            <w:tcW w:w="1497" w:type="pct"/>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裁量标准</w:t>
            </w:r>
          </w:p>
        </w:tc>
        <w:tc>
          <w:tcPr>
            <w:tcW w:w="130" w:type="pct"/>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
                <w:bCs/>
                <w:color w:val="000000" w:themeColor="text1"/>
                <w:sz w:val="21"/>
                <w:szCs w:val="21"/>
                <w14:textFill>
                  <w14:solidFill>
                    <w14:schemeClr w14:val="tx1"/>
                  </w14:solidFill>
                </w14:textFill>
              </w:rPr>
            </w:pPr>
            <w:r>
              <w:rPr>
                <w:rFonts w:hint="eastAsia" w:ascii="仿宋_GB2312" w:eastAsia="仿宋_GB2312"/>
                <w:b/>
                <w:bCs/>
                <w:color w:val="000000" w:themeColor="text1"/>
                <w:sz w:val="21"/>
                <w:szCs w:val="21"/>
                <w14:textFill>
                  <w14:solidFill>
                    <w14:schemeClr w14:val="tx1"/>
                  </w14:solidFill>
                </w14:textFill>
              </w:rPr>
              <w:t>备注</w:t>
            </w:r>
          </w:p>
        </w:tc>
      </w:tr>
      <w:tr>
        <w:tblPrEx>
          <w:tblCellMar>
            <w:top w:w="15" w:type="dxa"/>
            <w:left w:w="15" w:type="dxa"/>
            <w:bottom w:w="0" w:type="dxa"/>
            <w:right w:w="15" w:type="dxa"/>
          </w:tblCellMar>
        </w:tblPrEx>
        <w:trPr>
          <w:trHeight w:val="423" w:hRule="atLeast"/>
          <w:jc w:val="center"/>
        </w:trPr>
        <w:tc>
          <w:tcPr>
            <w:tcW w:w="44"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p>
        </w:tc>
        <w:tc>
          <w:tcPr>
            <w:tcW w:w="559"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p>
        </w:tc>
        <w:tc>
          <w:tcPr>
            <w:tcW w:w="347" w:type="pct"/>
            <w:gridSpan w:val="2"/>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p>
        </w:tc>
        <w:tc>
          <w:tcPr>
            <w:tcW w:w="399" w:type="pct"/>
            <w:gridSpan w:val="2"/>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p>
        </w:tc>
        <w:tc>
          <w:tcPr>
            <w:tcW w:w="2022"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r>
              <w:rPr>
                <w:rFonts w:hint="eastAsia" w:ascii="仿宋_GB2312" w:eastAsia="仿宋_GB2312"/>
                <w:b/>
                <w:color w:val="000000" w:themeColor="text1"/>
                <w:sz w:val="21"/>
                <w:szCs w:val="21"/>
                <w:lang w:val="en-US" w:eastAsia="zh-CN"/>
                <w14:textFill>
                  <w14:solidFill>
                    <w14:schemeClr w14:val="tx1"/>
                  </w14:solidFill>
                </w14:textFill>
              </w:rPr>
              <w:t>从轻行政处罚</w:t>
            </w:r>
          </w:p>
        </w:tc>
        <w:tc>
          <w:tcPr>
            <w:tcW w:w="497"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r>
              <w:rPr>
                <w:rFonts w:hint="eastAsia" w:ascii="仿宋_GB2312" w:eastAsia="仿宋_GB2312"/>
                <w:b/>
                <w:color w:val="000000" w:themeColor="text1"/>
                <w:sz w:val="21"/>
                <w:szCs w:val="21"/>
                <w:lang w:eastAsia="zh-CN"/>
                <w14:textFill>
                  <w14:solidFill>
                    <w14:schemeClr w14:val="tx1"/>
                  </w14:solidFill>
                </w14:textFill>
              </w:rPr>
              <w:t>一般行政处罚</w:t>
            </w:r>
          </w:p>
        </w:tc>
        <w:tc>
          <w:tcPr>
            <w:tcW w:w="503"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r>
              <w:rPr>
                <w:rFonts w:hint="eastAsia" w:ascii="仿宋_GB2312" w:eastAsia="仿宋_GB2312"/>
                <w:b/>
                <w:color w:val="000000" w:themeColor="text1"/>
                <w:sz w:val="21"/>
                <w:szCs w:val="21"/>
                <w:lang w:eastAsia="zh-CN"/>
                <w14:textFill>
                  <w14:solidFill>
                    <w14:schemeClr w14:val="tx1"/>
                  </w14:solidFill>
                </w14:textFill>
              </w:rPr>
              <w:t>从重行政处罚</w:t>
            </w:r>
          </w:p>
        </w:tc>
        <w:tc>
          <w:tcPr>
            <w:tcW w:w="130"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bCs/>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4"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1</w:t>
            </w:r>
          </w:p>
        </w:tc>
        <w:tc>
          <w:tcPr>
            <w:tcW w:w="559"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未经批准擅自开办艺术考级活动</w:t>
            </w:r>
          </w:p>
        </w:tc>
        <w:tc>
          <w:tcPr>
            <w:tcW w:w="34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《社会艺术水平考级管理办法》第九条</w:t>
            </w:r>
          </w:p>
        </w:tc>
        <w:tc>
          <w:tcPr>
            <w:tcW w:w="399"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《社会艺术水平考级管理办法》第二十四条</w:t>
            </w:r>
          </w:p>
        </w:tc>
        <w:tc>
          <w:tcPr>
            <w:tcW w:w="2022"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《社会艺术水平考级管理办法》第二十四条：未经批准擅自开办艺术考级活动的，由县级以上文化行政部门或者文化市场综合执法机构责令停止违法活动，并处10000元以上30000元以下罚款。</w:t>
            </w:r>
          </w:p>
        </w:tc>
        <w:tc>
          <w:tcPr>
            <w:tcW w:w="497" w:type="pct"/>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lang w:eastAsia="zh-CN"/>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 xml:space="preserve">1年内第1次被查处，具有从轻情节的，并处罚款10000元。 </w:t>
            </w:r>
          </w:p>
        </w:tc>
        <w:tc>
          <w:tcPr>
            <w:tcW w:w="497" w:type="pct"/>
            <w:tcBorders>
              <w:top w:val="nil"/>
              <w:left w:val="nil"/>
              <w:bottom w:val="single" w:color="auto" w:sz="4" w:space="0"/>
              <w:right w:val="single" w:color="auto" w:sz="4" w:space="0"/>
            </w:tcBorders>
            <w:shd w:val="clear" w:color="auto" w:fill="auto"/>
            <w:vAlign w:val="center"/>
          </w:tcPr>
          <w:p>
            <w:pPr>
              <w:jc w:val="left"/>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1年内第1次被查处，并处罚款15000元；</w:t>
            </w:r>
          </w:p>
          <w:p>
            <w:pPr>
              <w:jc w:val="left"/>
              <w:rPr>
                <w:rFonts w:hint="default" w:ascii="仿宋_GB2312" w:hAnsi="仿宋"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1年内第2次被查处，并处罚款20000元。</w:t>
            </w:r>
          </w:p>
        </w:tc>
        <w:tc>
          <w:tcPr>
            <w:tcW w:w="503" w:type="pct"/>
            <w:gridSpan w:val="3"/>
            <w:tcBorders>
              <w:top w:val="nil"/>
              <w:left w:val="nil"/>
              <w:bottom w:val="single" w:color="auto" w:sz="4" w:space="0"/>
              <w:right w:val="single" w:color="auto" w:sz="4" w:space="0"/>
            </w:tcBorders>
            <w:shd w:val="clear" w:color="auto" w:fill="auto"/>
            <w:vAlign w:val="center"/>
          </w:tcPr>
          <w:p>
            <w:pPr>
              <w:jc w:val="left"/>
              <w:rPr>
                <w:rFonts w:hint="default" w:ascii="Calibri" w:hAnsi="Calibri" w:eastAsia="仿宋_GB2312" w:cs="Calibri"/>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①</w:t>
            </w:r>
            <w:r>
              <w:rPr>
                <w:rFonts w:hint="eastAsia" w:ascii="仿宋_GB2312" w:hAnsi="仿宋" w:eastAsia="仿宋_GB2312"/>
                <w:color w:val="000000" w:themeColor="text1"/>
                <w:sz w:val="21"/>
                <w:szCs w:val="21"/>
                <w:lang w:val="en-US" w:eastAsia="zh-CN"/>
                <w14:textFill>
                  <w14:solidFill>
                    <w14:schemeClr w14:val="tx1"/>
                  </w14:solidFill>
                </w14:textFill>
              </w:rPr>
              <w:t xml:space="preserve">1年内第1次被查处，具有从重情节的，并处罚款25000元； </w:t>
            </w:r>
          </w:p>
          <w:p>
            <w:pPr>
              <w:jc w:val="left"/>
              <w:rPr>
                <w:rFonts w:hint="eastAsia" w:ascii="仿宋_GB2312" w:hAnsi="仿宋"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1年内第3次被查处，</w:t>
            </w:r>
            <w:r>
              <w:rPr>
                <w:rFonts w:hint="eastAsia" w:ascii="仿宋_GB2312" w:hAnsi="仿宋" w:eastAsia="仿宋_GB2312"/>
                <w:color w:val="000000" w:themeColor="text1"/>
                <w:sz w:val="21"/>
                <w:szCs w:val="21"/>
                <w14:textFill>
                  <w14:solidFill>
                    <w14:schemeClr w14:val="tx1"/>
                  </w14:solidFill>
                </w14:textFill>
              </w:rPr>
              <w:t>或在社会上造成恶劣影响的，或有其他严重情节的，罚款</w:t>
            </w:r>
            <w:r>
              <w:rPr>
                <w:rFonts w:hint="eastAsia" w:ascii="仿宋_GB2312" w:hAnsi="仿宋" w:eastAsia="仿宋_GB2312"/>
                <w:color w:val="000000" w:themeColor="text1"/>
                <w:sz w:val="21"/>
                <w:szCs w:val="21"/>
                <w:lang w:val="en-US" w:eastAsia="zh-CN"/>
                <w14:textFill>
                  <w14:solidFill>
                    <w14:schemeClr w14:val="tx1"/>
                  </w14:solidFill>
                </w14:textFill>
              </w:rPr>
              <w:t>30000</w:t>
            </w:r>
            <w:r>
              <w:rPr>
                <w:rFonts w:hint="eastAsia" w:ascii="仿宋_GB2312" w:hAnsi="仿宋" w:eastAsia="仿宋_GB2312"/>
                <w:color w:val="000000" w:themeColor="text1"/>
                <w:sz w:val="21"/>
                <w:szCs w:val="21"/>
                <w14:textFill>
                  <w14:solidFill>
                    <w14:schemeClr w14:val="tx1"/>
                  </w14:solidFill>
                </w14:textFill>
              </w:rPr>
              <w:t>元。</w:t>
            </w:r>
          </w:p>
        </w:tc>
        <w:tc>
          <w:tcPr>
            <w:tcW w:w="130"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　</w:t>
            </w:r>
          </w:p>
        </w:tc>
      </w:tr>
      <w:tr>
        <w:tblPrEx>
          <w:tblCellMar>
            <w:top w:w="15" w:type="dxa"/>
            <w:left w:w="15" w:type="dxa"/>
            <w:bottom w:w="0" w:type="dxa"/>
            <w:right w:w="15" w:type="dxa"/>
          </w:tblCellMar>
        </w:tblPrEx>
        <w:trPr>
          <w:trHeight w:val="1123" w:hRule="atLeast"/>
          <w:jc w:val="center"/>
        </w:trPr>
        <w:tc>
          <w:tcPr>
            <w:tcW w:w="44"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2</w:t>
            </w:r>
          </w:p>
        </w:tc>
        <w:tc>
          <w:tcPr>
            <w:tcW w:w="559"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组织艺术考级活动前未向社会发布考级简章或考级简章内容不符合规定</w:t>
            </w:r>
          </w:p>
        </w:tc>
        <w:tc>
          <w:tcPr>
            <w:tcW w:w="34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《社会艺术水平考级管理办法》第十五条</w:t>
            </w:r>
          </w:p>
        </w:tc>
        <w:tc>
          <w:tcPr>
            <w:tcW w:w="399"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《社会艺术水平考级管理办法》第二十五条第（一）项</w:t>
            </w:r>
          </w:p>
        </w:tc>
        <w:tc>
          <w:tcPr>
            <w:tcW w:w="2022"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艺术考级机构有下列行为之一的，由县级以上文化行政部门或者文化市场综合执法机构予以警告，责令改正并处10000元以下罚款：（一）组织艺术考级活动前未向社会发布考级简章或考级简章内容不符合规定的</w:t>
            </w:r>
          </w:p>
        </w:tc>
        <w:tc>
          <w:tcPr>
            <w:tcW w:w="497" w:type="pct"/>
            <w:vMerge w:val="restart"/>
            <w:tcBorders>
              <w:top w:val="nil"/>
              <w:left w:val="nil"/>
              <w:right w:val="single" w:color="auto" w:sz="4" w:space="0"/>
            </w:tcBorders>
            <w:shd w:val="clear" w:color="auto" w:fill="auto"/>
            <w:vAlign w:val="center"/>
          </w:tcPr>
          <w:p>
            <w:pPr>
              <w:jc w:val="left"/>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 xml:space="preserve">1年内第1次被查处，具有从轻情节的，给予警告，并处罚款2000元。 </w:t>
            </w:r>
          </w:p>
        </w:tc>
        <w:tc>
          <w:tcPr>
            <w:tcW w:w="497" w:type="pct"/>
            <w:vMerge w:val="restart"/>
            <w:tcBorders>
              <w:top w:val="nil"/>
              <w:left w:val="nil"/>
              <w:right w:val="single" w:color="auto" w:sz="4" w:space="0"/>
            </w:tcBorders>
            <w:shd w:val="clear" w:color="auto" w:fill="auto"/>
            <w:vAlign w:val="center"/>
          </w:tcPr>
          <w:p>
            <w:pPr>
              <w:jc w:val="left"/>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1年内第1次被查处，给予警告，并处罚款4000元；</w:t>
            </w:r>
          </w:p>
          <w:p>
            <w:pPr>
              <w:rPr>
                <w:rFonts w:ascii="仿宋_GB2312" w:hAnsi="仿宋"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1年内第2次被查处，并处罚款6000元。</w:t>
            </w:r>
          </w:p>
        </w:tc>
        <w:tc>
          <w:tcPr>
            <w:tcW w:w="503" w:type="pct"/>
            <w:gridSpan w:val="3"/>
            <w:vMerge w:val="restart"/>
            <w:tcBorders>
              <w:top w:val="nil"/>
              <w:left w:val="nil"/>
              <w:right w:val="single" w:color="auto" w:sz="4" w:space="0"/>
            </w:tcBorders>
            <w:shd w:val="clear" w:color="auto" w:fill="auto"/>
            <w:vAlign w:val="center"/>
          </w:tcPr>
          <w:p>
            <w:pPr>
              <w:jc w:val="left"/>
              <w:rPr>
                <w:rFonts w:hint="default" w:ascii="Calibri" w:hAnsi="Calibri" w:eastAsia="仿宋_GB2312" w:cs="Calibri"/>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①</w:t>
            </w:r>
            <w:r>
              <w:rPr>
                <w:rFonts w:hint="eastAsia" w:ascii="仿宋_GB2312" w:hAnsi="仿宋" w:eastAsia="仿宋_GB2312"/>
                <w:color w:val="000000" w:themeColor="text1"/>
                <w:sz w:val="21"/>
                <w:szCs w:val="21"/>
                <w:lang w:val="en-US" w:eastAsia="zh-CN"/>
                <w14:textFill>
                  <w14:solidFill>
                    <w14:schemeClr w14:val="tx1"/>
                  </w14:solidFill>
                </w14:textFill>
              </w:rPr>
              <w:t xml:space="preserve">1年内第1次被查处，具有从重情节的，并处罚款8000元； </w:t>
            </w:r>
          </w:p>
          <w:p>
            <w:pPr>
              <w:rPr>
                <w:rFonts w:hint="eastAsia" w:ascii="仿宋_GB2312" w:hAnsi="仿宋"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1年内第3次被查处，</w:t>
            </w:r>
            <w:r>
              <w:rPr>
                <w:rFonts w:hint="eastAsia" w:ascii="仿宋_GB2312" w:hAnsi="仿宋" w:eastAsia="仿宋_GB2312"/>
                <w:color w:val="000000" w:themeColor="text1"/>
                <w:sz w:val="21"/>
                <w:szCs w:val="21"/>
                <w14:textFill>
                  <w14:solidFill>
                    <w14:schemeClr w14:val="tx1"/>
                  </w14:solidFill>
                </w14:textFill>
              </w:rPr>
              <w:t>或在社会上造成恶劣影响的，或有其他严重情节的，罚款</w:t>
            </w:r>
            <w:r>
              <w:rPr>
                <w:rFonts w:hint="eastAsia" w:ascii="仿宋_GB2312" w:hAnsi="仿宋" w:eastAsia="仿宋_GB2312"/>
                <w:color w:val="000000" w:themeColor="text1"/>
                <w:sz w:val="21"/>
                <w:szCs w:val="21"/>
                <w:lang w:val="en-US" w:eastAsia="zh-CN"/>
                <w14:textFill>
                  <w14:solidFill>
                    <w14:schemeClr w14:val="tx1"/>
                  </w14:solidFill>
                </w14:textFill>
              </w:rPr>
              <w:t>10000</w:t>
            </w:r>
            <w:r>
              <w:rPr>
                <w:rFonts w:hint="eastAsia" w:ascii="仿宋_GB2312" w:hAnsi="仿宋" w:eastAsia="仿宋_GB2312"/>
                <w:color w:val="000000" w:themeColor="text1"/>
                <w:sz w:val="21"/>
                <w:szCs w:val="21"/>
                <w14:textFill>
                  <w14:solidFill>
                    <w14:schemeClr w14:val="tx1"/>
                  </w14:solidFill>
                </w14:textFill>
              </w:rPr>
              <w:t>元。</w:t>
            </w:r>
          </w:p>
          <w:p>
            <w:pPr>
              <w:rPr>
                <w:rFonts w:hint="eastAsia" w:ascii="仿宋_GB2312" w:hAnsi="仿宋" w:eastAsia="仿宋_GB2312"/>
                <w:color w:val="000000" w:themeColor="text1"/>
                <w:sz w:val="21"/>
                <w:szCs w:val="21"/>
                <w14:textFill>
                  <w14:solidFill>
                    <w14:schemeClr w14:val="tx1"/>
                  </w14:solidFill>
                </w14:textFill>
              </w:rPr>
            </w:pPr>
          </w:p>
          <w:p>
            <w:pPr>
              <w:rPr>
                <w:rFonts w:hint="eastAsia" w:ascii="仿宋_GB2312" w:hAnsi="仿宋" w:eastAsia="仿宋_GB2312"/>
                <w:color w:val="000000" w:themeColor="text1"/>
                <w:sz w:val="21"/>
                <w:szCs w:val="21"/>
                <w14:textFill>
                  <w14:solidFill>
                    <w14:schemeClr w14:val="tx1"/>
                  </w14:solidFill>
                </w14:textFill>
              </w:rPr>
            </w:pPr>
          </w:p>
        </w:tc>
        <w:tc>
          <w:tcPr>
            <w:tcW w:w="130" w:type="pct"/>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tc>
      </w:tr>
      <w:tr>
        <w:tblPrEx>
          <w:tblCellMar>
            <w:top w:w="15" w:type="dxa"/>
            <w:left w:w="15" w:type="dxa"/>
            <w:bottom w:w="0" w:type="dxa"/>
            <w:right w:w="15" w:type="dxa"/>
          </w:tblCellMar>
        </w:tblPrEx>
        <w:trPr>
          <w:trHeight w:val="1123" w:hRule="atLeast"/>
          <w:jc w:val="center"/>
        </w:trPr>
        <w:tc>
          <w:tcPr>
            <w:tcW w:w="44"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3</w:t>
            </w:r>
          </w:p>
        </w:tc>
        <w:tc>
          <w:tcPr>
            <w:tcW w:w="559"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未按规定将承办单位的基本情况和合作协议备案</w:t>
            </w:r>
          </w:p>
        </w:tc>
        <w:tc>
          <w:tcPr>
            <w:tcW w:w="34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《社会艺术水平考级管理办法》第十七条</w:t>
            </w:r>
          </w:p>
        </w:tc>
        <w:tc>
          <w:tcPr>
            <w:tcW w:w="399"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《社会艺术水平考级管理办法》第二十五条第（二）项</w:t>
            </w:r>
          </w:p>
        </w:tc>
        <w:tc>
          <w:tcPr>
            <w:tcW w:w="2022"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艺术考级机构有下列行为之一的，由县级以上文化行政部门或者文化市场综合执法机构予以警告，责令改正并处10000元以下罚款：（二）未按规定将承办单位的基本情况和合作协议备案的</w:t>
            </w:r>
          </w:p>
        </w:tc>
        <w:tc>
          <w:tcPr>
            <w:tcW w:w="497" w:type="pct"/>
            <w:vMerge w:val="continue"/>
            <w:tcBorders>
              <w:left w:val="nil"/>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497" w:type="pct"/>
            <w:vMerge w:val="continue"/>
            <w:tcBorders>
              <w:left w:val="nil"/>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03" w:type="pct"/>
            <w:gridSpan w:val="3"/>
            <w:vMerge w:val="continue"/>
            <w:tcBorders>
              <w:left w:val="nil"/>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3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4"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4</w:t>
            </w:r>
          </w:p>
        </w:tc>
        <w:tc>
          <w:tcPr>
            <w:tcW w:w="559"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组织艺术考级活动未按规定将考级简章、考级时间、考级地点、考生数量、考场安排、考官名单等情况备案</w:t>
            </w:r>
          </w:p>
        </w:tc>
        <w:tc>
          <w:tcPr>
            <w:tcW w:w="34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《社会艺术水平考级管理办法》第十八条</w:t>
            </w:r>
          </w:p>
        </w:tc>
        <w:tc>
          <w:tcPr>
            <w:tcW w:w="399"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《社会艺术水平考级管理办法》第二十五条第（三）项</w:t>
            </w:r>
          </w:p>
        </w:tc>
        <w:tc>
          <w:tcPr>
            <w:tcW w:w="2022"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艺术考级机构有下列行为之一的，由县级以上文化行政部门或者文化市场综合执法机构予以警告，责令改正并处10000元以下罚款：（三）组织艺术考级活动未按规定将考级简章、考级时间、考级地点、考生数量、考场安排、考官名单等情况备案的</w:t>
            </w:r>
          </w:p>
        </w:tc>
        <w:tc>
          <w:tcPr>
            <w:tcW w:w="497" w:type="pct"/>
            <w:vMerge w:val="continue"/>
            <w:tcBorders>
              <w:left w:val="nil"/>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497" w:type="pct"/>
            <w:vMerge w:val="continue"/>
            <w:tcBorders>
              <w:left w:val="nil"/>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03" w:type="pct"/>
            <w:gridSpan w:val="3"/>
            <w:vMerge w:val="continue"/>
            <w:tcBorders>
              <w:left w:val="nil"/>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3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4"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5</w:t>
            </w:r>
          </w:p>
        </w:tc>
        <w:tc>
          <w:tcPr>
            <w:tcW w:w="559"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艺术考级活动结束后未按规定报送考级结果</w:t>
            </w:r>
          </w:p>
        </w:tc>
        <w:tc>
          <w:tcPr>
            <w:tcW w:w="34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《社会艺术水平考级管理办法》第二十三条</w:t>
            </w:r>
          </w:p>
        </w:tc>
        <w:tc>
          <w:tcPr>
            <w:tcW w:w="399"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《社会艺术水平考级管理办法》第二十五条第（四）项</w:t>
            </w:r>
          </w:p>
        </w:tc>
        <w:tc>
          <w:tcPr>
            <w:tcW w:w="2022"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艺术考级机构有下列行为之一的，由县级以上文化行政部门或者文化市场综合执法机构予以警告，责令改正并处10000元以下罚款：（四）艺术考级活动结束后未按规定报送考级结果的</w:t>
            </w:r>
          </w:p>
        </w:tc>
        <w:tc>
          <w:tcPr>
            <w:tcW w:w="497" w:type="pct"/>
            <w:vMerge w:val="continue"/>
            <w:tcBorders>
              <w:left w:val="nil"/>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497" w:type="pct"/>
            <w:vMerge w:val="continue"/>
            <w:tcBorders>
              <w:left w:val="nil"/>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03" w:type="pct"/>
            <w:gridSpan w:val="3"/>
            <w:vMerge w:val="continue"/>
            <w:tcBorders>
              <w:left w:val="nil"/>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3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4"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6</w:t>
            </w:r>
          </w:p>
        </w:tc>
        <w:tc>
          <w:tcPr>
            <w:tcW w:w="559"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艺术考级机构主要负责人、办公地点有变动未按规定向审批机关备案</w:t>
            </w:r>
          </w:p>
        </w:tc>
        <w:tc>
          <w:tcPr>
            <w:tcW w:w="34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《社会艺术水平考级管理办法》第十一条</w:t>
            </w:r>
          </w:p>
        </w:tc>
        <w:tc>
          <w:tcPr>
            <w:tcW w:w="399"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《社会艺术水平考级管理办法》第二十五条第（五）项</w:t>
            </w:r>
          </w:p>
        </w:tc>
        <w:tc>
          <w:tcPr>
            <w:tcW w:w="2022"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五条：艺术考级机构有下列行为之一的，由县级以上文化行政部门或者文化市场综合执法机构予以警告，责令改正并处10000元以下罚款：（五）艺术考级机构主要负责人、办公地点有变动未按规定向审批机关备案的</w:t>
            </w:r>
          </w:p>
        </w:tc>
        <w:tc>
          <w:tcPr>
            <w:tcW w:w="497" w:type="pct"/>
            <w:vMerge w:val="continue"/>
            <w:tcBorders>
              <w:left w:val="nil"/>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497" w:type="pct"/>
            <w:vMerge w:val="continue"/>
            <w:tcBorders>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03" w:type="pct"/>
            <w:gridSpan w:val="3"/>
            <w:vMerge w:val="continue"/>
            <w:tcBorders>
              <w:left w:val="nil"/>
              <w:bottom w:val="single" w:color="auto" w:sz="4" w:space="0"/>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30"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4"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7</w:t>
            </w:r>
          </w:p>
        </w:tc>
        <w:tc>
          <w:tcPr>
            <w:tcW w:w="559"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委托的承办单位不符合规定</w:t>
            </w:r>
          </w:p>
        </w:tc>
        <w:tc>
          <w:tcPr>
            <w:tcW w:w="34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《社会艺术水平考级管理办法》第十六条</w:t>
            </w:r>
          </w:p>
        </w:tc>
        <w:tc>
          <w:tcPr>
            <w:tcW w:w="399"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《社会艺术水平考级管理办法》第二十六条第（一）项</w:t>
            </w:r>
          </w:p>
        </w:tc>
        <w:tc>
          <w:tcPr>
            <w:tcW w:w="2022"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《社会艺术水平考级管理办法》第二十六条：艺术考级机构有下列行为之一的，由文化行政部门或者文化市场综合执法机构予以警告，责令改正并处30000元以下罚款；情节严重的，取消开办艺术考级活动资格： （一）委托的承办单位不符合规定的；</w:t>
            </w:r>
          </w:p>
        </w:tc>
        <w:tc>
          <w:tcPr>
            <w:tcW w:w="497" w:type="pct"/>
            <w:vMerge w:val="restart"/>
            <w:tcBorders>
              <w:top w:val="nil"/>
              <w:left w:val="nil"/>
              <w:right w:val="single" w:color="auto" w:sz="4" w:space="0"/>
            </w:tcBorders>
            <w:shd w:val="clear" w:color="auto" w:fill="auto"/>
            <w:vAlign w:val="center"/>
          </w:tcPr>
          <w:p>
            <w:pPr>
              <w:jc w:val="left"/>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1年内第1次被查处，具有从轻情节的，给予警告，并处罚款5000元。</w:t>
            </w:r>
          </w:p>
        </w:tc>
        <w:tc>
          <w:tcPr>
            <w:tcW w:w="497" w:type="pct"/>
            <w:vMerge w:val="restart"/>
            <w:tcBorders>
              <w:top w:val="nil"/>
              <w:left w:val="nil"/>
              <w:right w:val="single" w:color="auto" w:sz="4" w:space="0"/>
            </w:tcBorders>
            <w:shd w:val="clear" w:color="auto" w:fill="auto"/>
            <w:vAlign w:val="center"/>
          </w:tcPr>
          <w:p>
            <w:pPr>
              <w:jc w:val="left"/>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1年内第1次被查处，给予警告，并处罚款9000元；</w:t>
            </w:r>
          </w:p>
          <w:p>
            <w:pPr>
              <w:rPr>
                <w:rFonts w:ascii="仿宋_GB2312" w:hAnsi="仿宋"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1年内第2次被查处，并处罚款15000元。</w:t>
            </w:r>
          </w:p>
        </w:tc>
        <w:tc>
          <w:tcPr>
            <w:tcW w:w="503" w:type="pct"/>
            <w:gridSpan w:val="3"/>
            <w:vMerge w:val="restart"/>
            <w:tcBorders>
              <w:top w:val="nil"/>
              <w:left w:val="nil"/>
              <w:right w:val="single" w:color="auto" w:sz="4" w:space="0"/>
            </w:tcBorders>
            <w:shd w:val="clear" w:color="auto" w:fill="auto"/>
            <w:vAlign w:val="center"/>
          </w:tcPr>
          <w:p>
            <w:pPr>
              <w:jc w:val="left"/>
              <w:rPr>
                <w:rFonts w:hint="default" w:ascii="Calibri" w:hAnsi="Calibri" w:eastAsia="仿宋_GB2312" w:cs="Calibri"/>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①</w:t>
            </w:r>
            <w:r>
              <w:rPr>
                <w:rFonts w:hint="eastAsia" w:ascii="仿宋_GB2312" w:hAnsi="仿宋" w:eastAsia="仿宋_GB2312"/>
                <w:color w:val="000000" w:themeColor="text1"/>
                <w:sz w:val="21"/>
                <w:szCs w:val="21"/>
                <w:lang w:val="en-US" w:eastAsia="zh-CN"/>
                <w14:textFill>
                  <w14:solidFill>
                    <w14:schemeClr w14:val="tx1"/>
                  </w14:solidFill>
                </w14:textFill>
              </w:rPr>
              <w:t xml:space="preserve">1年内第1次被查处，具有从重情节的，并处罚款25000元； </w:t>
            </w:r>
          </w:p>
          <w:p>
            <w:pPr>
              <w:rPr>
                <w:rFonts w:hint="eastAsia" w:ascii="仿宋_GB2312" w:hAnsi="仿宋"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1年内第3次被查处，</w:t>
            </w:r>
            <w:r>
              <w:rPr>
                <w:rFonts w:hint="eastAsia" w:ascii="仿宋_GB2312" w:hAnsi="仿宋" w:eastAsia="仿宋_GB2312"/>
                <w:color w:val="000000" w:themeColor="text1"/>
                <w:sz w:val="21"/>
                <w:szCs w:val="21"/>
                <w14:textFill>
                  <w14:solidFill>
                    <w14:schemeClr w14:val="tx1"/>
                  </w14:solidFill>
                </w14:textFill>
              </w:rPr>
              <w:t>或在社会上造成恶劣影响的，或有其他严重情节的，罚款</w:t>
            </w:r>
            <w:r>
              <w:rPr>
                <w:rFonts w:hint="eastAsia" w:ascii="仿宋_GB2312" w:hAnsi="仿宋" w:eastAsia="仿宋_GB2312"/>
                <w:color w:val="000000" w:themeColor="text1"/>
                <w:sz w:val="21"/>
                <w:szCs w:val="21"/>
                <w:lang w:val="en-US" w:eastAsia="zh-CN"/>
                <w14:textFill>
                  <w14:solidFill>
                    <w14:schemeClr w14:val="tx1"/>
                  </w14:solidFill>
                </w14:textFill>
              </w:rPr>
              <w:t>30000</w:t>
            </w:r>
            <w:r>
              <w:rPr>
                <w:rFonts w:hint="eastAsia" w:ascii="仿宋_GB2312" w:hAnsi="仿宋" w:eastAsia="仿宋_GB2312"/>
                <w:color w:val="000000" w:themeColor="text1"/>
                <w:sz w:val="21"/>
                <w:szCs w:val="21"/>
                <w14:textFill>
                  <w14:solidFill>
                    <w14:schemeClr w14:val="tx1"/>
                  </w14:solidFill>
                </w14:textFill>
              </w:rPr>
              <w:t>元。</w:t>
            </w:r>
          </w:p>
          <w:p>
            <w:pPr>
              <w:rPr>
                <w:rFonts w:hint="eastAsia" w:ascii="仿宋_GB2312" w:hAnsi="仿宋" w:eastAsia="仿宋_GB2312"/>
                <w:color w:val="000000" w:themeColor="text1"/>
                <w:sz w:val="21"/>
                <w:szCs w:val="21"/>
                <w14:textFill>
                  <w14:solidFill>
                    <w14:schemeClr w14:val="tx1"/>
                  </w14:solidFill>
                </w14:textFill>
              </w:rPr>
            </w:pPr>
          </w:p>
        </w:tc>
        <w:tc>
          <w:tcPr>
            <w:tcW w:w="130" w:type="pct"/>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tc>
      </w:tr>
      <w:tr>
        <w:tblPrEx>
          <w:tblCellMar>
            <w:top w:w="15" w:type="dxa"/>
            <w:left w:w="15" w:type="dxa"/>
            <w:bottom w:w="0" w:type="dxa"/>
            <w:right w:w="15" w:type="dxa"/>
          </w:tblCellMar>
        </w:tblPrEx>
        <w:trPr>
          <w:trHeight w:val="1123" w:hRule="atLeast"/>
          <w:jc w:val="center"/>
        </w:trPr>
        <w:tc>
          <w:tcPr>
            <w:tcW w:w="44"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8</w:t>
            </w:r>
          </w:p>
        </w:tc>
        <w:tc>
          <w:tcPr>
            <w:tcW w:w="559"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未按照规定组建常设工作机构并配备专职工作人员</w:t>
            </w:r>
          </w:p>
        </w:tc>
        <w:tc>
          <w:tcPr>
            <w:tcW w:w="34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《社会艺术水平考级管理办法》第十四条</w:t>
            </w:r>
          </w:p>
        </w:tc>
        <w:tc>
          <w:tcPr>
            <w:tcW w:w="399"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《社会艺术水平考级管理办法》第二十六条第（二）项</w:t>
            </w:r>
          </w:p>
        </w:tc>
        <w:tc>
          <w:tcPr>
            <w:tcW w:w="2022"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艺术考级机构有下列行为之一的，由文化行政部门或者文化市场综合执法机构予以警告，责令改正并处30000元以下罚款；情节严重的，取消开办艺术考级活动资格：（二）未按照规定组建常设工作机构并配备专职工作人员的；</w:t>
            </w:r>
          </w:p>
        </w:tc>
        <w:tc>
          <w:tcPr>
            <w:tcW w:w="497" w:type="pct"/>
            <w:vMerge w:val="continue"/>
            <w:tcBorders>
              <w:left w:val="nil"/>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497" w:type="pct"/>
            <w:vMerge w:val="continue"/>
            <w:tcBorders>
              <w:left w:val="nil"/>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03" w:type="pct"/>
            <w:gridSpan w:val="3"/>
            <w:vMerge w:val="continue"/>
            <w:tcBorders>
              <w:left w:val="nil"/>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3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4"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9</w:t>
            </w:r>
          </w:p>
        </w:tc>
        <w:tc>
          <w:tcPr>
            <w:tcW w:w="559"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未按照本机构教材确定艺术考级内容</w:t>
            </w:r>
          </w:p>
        </w:tc>
        <w:tc>
          <w:tcPr>
            <w:tcW w:w="34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《社会艺术水平考级管理办法》第十九条</w:t>
            </w:r>
          </w:p>
        </w:tc>
        <w:tc>
          <w:tcPr>
            <w:tcW w:w="399"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《社会艺术水平考级管理办法》第二十六条第（三）项</w:t>
            </w:r>
          </w:p>
        </w:tc>
        <w:tc>
          <w:tcPr>
            <w:tcW w:w="2022"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艺术考级机构有下列行为之一的，由文化行政部门或者文化市场综合执法机构予以警告，责令改正并处30000元以下罚款；情节严重的，取消开办艺术考级活动资格：（三）未按照本机构教材确定艺术考级内容的；</w:t>
            </w:r>
          </w:p>
        </w:tc>
        <w:tc>
          <w:tcPr>
            <w:tcW w:w="497" w:type="pct"/>
            <w:vMerge w:val="continue"/>
            <w:tcBorders>
              <w:left w:val="nil"/>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497" w:type="pct"/>
            <w:vMerge w:val="continue"/>
            <w:tcBorders>
              <w:left w:val="nil"/>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03" w:type="pct"/>
            <w:gridSpan w:val="3"/>
            <w:vMerge w:val="continue"/>
            <w:tcBorders>
              <w:left w:val="nil"/>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3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4"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10</w:t>
            </w:r>
          </w:p>
        </w:tc>
        <w:tc>
          <w:tcPr>
            <w:tcW w:w="559"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未按照规定要求实行回避</w:t>
            </w:r>
          </w:p>
        </w:tc>
        <w:tc>
          <w:tcPr>
            <w:tcW w:w="34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《社会艺术水平考级管理办法》第二十二条</w:t>
            </w:r>
          </w:p>
        </w:tc>
        <w:tc>
          <w:tcPr>
            <w:tcW w:w="399"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《社会艺术水平考级管理办法》第二十六条第（四）项</w:t>
            </w:r>
          </w:p>
        </w:tc>
        <w:tc>
          <w:tcPr>
            <w:tcW w:w="2022"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艺术考级机构有下列行为之一的，由文化行政部门或者文化市场综合执法机构予以警告，责令改正并处30000元以下罚款；情节严重的，取消开办艺术考级活动资格：（四）未按照规定要求实行回避的；</w:t>
            </w:r>
          </w:p>
        </w:tc>
        <w:tc>
          <w:tcPr>
            <w:tcW w:w="497" w:type="pct"/>
            <w:vMerge w:val="continue"/>
            <w:tcBorders>
              <w:left w:val="nil"/>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497" w:type="pct"/>
            <w:vMerge w:val="continue"/>
            <w:tcBorders>
              <w:left w:val="nil"/>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03" w:type="pct"/>
            <w:gridSpan w:val="3"/>
            <w:vMerge w:val="continue"/>
            <w:tcBorders>
              <w:left w:val="nil"/>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3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23" w:hRule="atLeast"/>
          <w:jc w:val="center"/>
        </w:trPr>
        <w:tc>
          <w:tcPr>
            <w:tcW w:w="44"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11</w:t>
            </w:r>
          </w:p>
        </w:tc>
        <w:tc>
          <w:tcPr>
            <w:tcW w:w="559"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阻挠、抗拒文化行政部门或者文化市场综合执法机构工作人员监督检查</w:t>
            </w:r>
          </w:p>
        </w:tc>
        <w:tc>
          <w:tcPr>
            <w:tcW w:w="347"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《社会艺术水平考级管理办法》第二十六条第（五）项</w:t>
            </w:r>
          </w:p>
        </w:tc>
        <w:tc>
          <w:tcPr>
            <w:tcW w:w="399" w:type="pct"/>
            <w:gridSpan w:val="2"/>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《社会艺术水平考级管理办法》第二十六条第（五）项</w:t>
            </w:r>
          </w:p>
        </w:tc>
        <w:tc>
          <w:tcPr>
            <w:tcW w:w="2022" w:type="pct"/>
            <w:tcBorders>
              <w:top w:val="nil"/>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14:textFill>
                  <w14:solidFill>
                    <w14:schemeClr w14:val="tx1"/>
                  </w14:solidFill>
                </w14:textFill>
              </w:rPr>
              <w:t>《社会艺术水平考级管理办法》第二十六条：艺术考级机构有下列行为之一的，由文化行政部门或者文化市场综合执法机构予以警告，责令改正并处30000元以下罚款；情节严重的，取消开办艺术考级活动资格：（五）阻挠、抗拒文化行政部门或者文化市场综合执法机构工作人员监督检查的。</w:t>
            </w:r>
          </w:p>
        </w:tc>
        <w:tc>
          <w:tcPr>
            <w:tcW w:w="497" w:type="pct"/>
            <w:vMerge w:val="continue"/>
            <w:tcBorders>
              <w:left w:val="nil"/>
              <w:bottom w:val="single" w:color="auto" w:sz="4" w:space="0"/>
              <w:right w:val="single" w:color="auto" w:sz="4" w:space="0"/>
            </w:tcBorders>
            <w:shd w:val="clear" w:color="auto" w:fill="auto"/>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497" w:type="pct"/>
            <w:vMerge w:val="continue"/>
            <w:tcBorders>
              <w:left w:val="nil"/>
              <w:bottom w:val="single" w:color="auto" w:sz="4" w:space="0"/>
              <w:right w:val="single" w:color="auto" w:sz="4" w:space="0"/>
            </w:tcBorders>
            <w:shd w:val="clear" w:color="auto" w:fill="auto"/>
            <w:vAlign w:val="center"/>
          </w:tcPr>
          <w:p>
            <w:pPr>
              <w:rPr>
                <w:rFonts w:ascii="仿宋_GB2312" w:hAnsi="仿宋" w:eastAsia="仿宋_GB2312"/>
                <w:color w:val="000000" w:themeColor="text1"/>
                <w:sz w:val="21"/>
                <w:szCs w:val="21"/>
                <w14:textFill>
                  <w14:solidFill>
                    <w14:schemeClr w14:val="tx1"/>
                  </w14:solidFill>
                </w14:textFill>
              </w:rPr>
            </w:pPr>
          </w:p>
        </w:tc>
        <w:tc>
          <w:tcPr>
            <w:tcW w:w="503" w:type="pct"/>
            <w:gridSpan w:val="3"/>
            <w:vMerge w:val="continue"/>
            <w:tcBorders>
              <w:left w:val="nil"/>
              <w:bottom w:val="single" w:color="auto" w:sz="4" w:space="0"/>
              <w:right w:val="single" w:color="auto" w:sz="4" w:space="0"/>
            </w:tcBorders>
            <w:shd w:val="clear" w:color="auto" w:fill="auto"/>
            <w:vAlign w:val="center"/>
          </w:tcPr>
          <w:p>
            <w:pPr>
              <w:rPr>
                <w:rFonts w:hint="eastAsia" w:ascii="仿宋_GB2312" w:hAnsi="仿宋" w:eastAsia="仿宋_GB2312"/>
                <w:color w:val="000000" w:themeColor="text1"/>
                <w:sz w:val="21"/>
                <w:szCs w:val="21"/>
                <w14:textFill>
                  <w14:solidFill>
                    <w14:schemeClr w14:val="tx1"/>
                  </w14:solidFill>
                </w14:textFill>
              </w:rPr>
            </w:pPr>
          </w:p>
        </w:tc>
        <w:tc>
          <w:tcPr>
            <w:tcW w:w="130"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jc w:val="center"/>
          <w:hidden/>
        </w:trPr>
        <w:tc>
          <w:tcPr>
            <w:tcW w:w="44"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559"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259"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385" w:type="pct"/>
            <w:gridSpan w:val="2"/>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2124" w:type="pct"/>
            <w:gridSpan w:val="2"/>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050" w:type="pct"/>
            <w:gridSpan w:val="3"/>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313"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34"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30"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r>
    </w:tbl>
    <w:p>
      <w:pPr>
        <w:rPr>
          <w:rFonts w:ascii="仿宋_GB2312" w:eastAsia="仿宋_GB2312"/>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bordersDoNotSurroundHeader w:val="1"/>
  <w:bordersDoNotSurroundFooter w:val="1"/>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4"/>
  </w:compat>
  <w:docVars>
    <w:docVar w:name="commondata" w:val="eyJoZGlkIjoiOGQ0NjJkNjJjOTE0ZmI4ZjFkYTEyNjA1NjAyNzk3MGIifQ=="/>
  </w:docVars>
  <w:rsids>
    <w:rsidRoot w:val="00222C7A"/>
    <w:rsid w:val="000119AF"/>
    <w:rsid w:val="00065EBA"/>
    <w:rsid w:val="000730D8"/>
    <w:rsid w:val="000C60E7"/>
    <w:rsid w:val="00222C7A"/>
    <w:rsid w:val="00273347"/>
    <w:rsid w:val="00360DE3"/>
    <w:rsid w:val="00696C82"/>
    <w:rsid w:val="006A5D84"/>
    <w:rsid w:val="00B76013"/>
    <w:rsid w:val="00E748B8"/>
    <w:rsid w:val="00E91D0D"/>
    <w:rsid w:val="00FC5558"/>
    <w:rsid w:val="0DFB67B0"/>
    <w:rsid w:val="0FCD3553"/>
    <w:rsid w:val="18476F70"/>
    <w:rsid w:val="1F404479"/>
    <w:rsid w:val="25493224"/>
    <w:rsid w:val="28AD3B2B"/>
    <w:rsid w:val="2F472B63"/>
    <w:rsid w:val="35301D0A"/>
    <w:rsid w:val="4407632C"/>
    <w:rsid w:val="561656FC"/>
    <w:rsid w:val="5967112E"/>
    <w:rsid w:val="597450E1"/>
    <w:rsid w:val="5C8E2331"/>
    <w:rsid w:val="5F1E11AB"/>
    <w:rsid w:val="665C5E3B"/>
    <w:rsid w:val="69134E28"/>
    <w:rsid w:val="69AA0854"/>
    <w:rsid w:val="6B855C05"/>
    <w:rsid w:val="6EBC7DC7"/>
    <w:rsid w:val="6F20778C"/>
    <w:rsid w:val="7080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uiPriority w:val="99"/>
    <w:pPr>
      <w:tabs>
        <w:tab w:val="center" w:pos="4153"/>
        <w:tab w:val="right" w:pos="8306"/>
      </w:tabs>
      <w:snapToGrid w:val="0"/>
    </w:pPr>
    <w:rPr>
      <w:sz w:val="18"/>
      <w:szCs w:val="18"/>
    </w:rPr>
  </w:style>
  <w:style w:type="paragraph" w:styleId="3">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xl654413"/>
    <w:basedOn w:val="1"/>
    <w:qFormat/>
    <w:uiPriority w:val="0"/>
    <w:pPr>
      <w:spacing w:before="100" w:beforeAutospacing="1" w:after="100" w:afterAutospacing="1"/>
      <w:textAlignment w:val="center"/>
    </w:pPr>
  </w:style>
  <w:style w:type="paragraph" w:customStyle="1" w:styleId="7">
    <w:name w:val="xl66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8">
    <w:name w:val="xl67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仿宋_GB2312" w:eastAsia="仿宋_GB2312"/>
      <w:b/>
      <w:bCs/>
      <w:sz w:val="20"/>
      <w:szCs w:val="20"/>
    </w:rPr>
  </w:style>
  <w:style w:type="paragraph" w:customStyle="1" w:styleId="9">
    <w:name w:val="xl68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仿宋" w:hAnsi="仿宋" w:eastAsia="仿宋"/>
    </w:rPr>
  </w:style>
  <w:style w:type="paragraph" w:customStyle="1" w:styleId="10">
    <w:name w:val="xl69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 w:hAnsi="仿宋" w:eastAsia="仿宋"/>
      <w:sz w:val="22"/>
      <w:szCs w:val="22"/>
    </w:rPr>
  </w:style>
  <w:style w:type="paragraph" w:customStyle="1" w:styleId="11">
    <w:name w:val="xl70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仿宋" w:hAnsi="仿宋" w:eastAsia="仿宋"/>
      <w:sz w:val="22"/>
      <w:szCs w:val="22"/>
    </w:rPr>
  </w:style>
  <w:style w:type="paragraph" w:customStyle="1" w:styleId="12">
    <w:name w:val="xl71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 w:hAnsi="仿宋" w:eastAsia="仿宋"/>
      <w:sz w:val="22"/>
      <w:szCs w:val="22"/>
    </w:rPr>
  </w:style>
  <w:style w:type="paragraph" w:customStyle="1" w:styleId="13">
    <w:name w:val="xl72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style>
  <w:style w:type="paragraph" w:customStyle="1" w:styleId="14">
    <w:name w:val="xl73441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 w:hAnsi="仿宋" w:eastAsia="仿宋"/>
      <w:color w:val="FF0000"/>
      <w:sz w:val="22"/>
      <w:szCs w:val="22"/>
    </w:rPr>
  </w:style>
  <w:style w:type="paragraph" w:customStyle="1" w:styleId="15">
    <w:name w:val="xl744413"/>
    <w:basedOn w:val="1"/>
    <w:qFormat/>
    <w:uiPriority w:val="0"/>
    <w:pPr>
      <w:spacing w:before="100" w:beforeAutospacing="1" w:after="100" w:afterAutospacing="1"/>
      <w:textAlignment w:val="center"/>
    </w:pPr>
    <w:rPr>
      <w:rFonts w:ascii="仿宋" w:hAnsi="仿宋" w:eastAsia="仿宋"/>
      <w:sz w:val="22"/>
      <w:szCs w:val="22"/>
    </w:rPr>
  </w:style>
  <w:style w:type="paragraph" w:customStyle="1" w:styleId="16">
    <w:name w:val="xl754413"/>
    <w:basedOn w:val="1"/>
    <w:qFormat/>
    <w:uiPriority w:val="0"/>
    <w:pPr>
      <w:spacing w:before="100" w:beforeAutospacing="1" w:after="100" w:afterAutospacing="1"/>
      <w:jc w:val="center"/>
      <w:textAlignment w:val="center"/>
    </w:pPr>
    <w:rPr>
      <w:rFonts w:ascii="仿宋" w:hAnsi="仿宋" w:eastAsia="仿宋"/>
      <w:b/>
      <w:bCs/>
      <w:sz w:val="28"/>
      <w:szCs w:val="28"/>
    </w:rPr>
  </w:style>
  <w:style w:type="paragraph" w:customStyle="1" w:styleId="17">
    <w:name w:val="xl764413"/>
    <w:basedOn w:val="1"/>
    <w:qFormat/>
    <w:uiPriority w:val="0"/>
    <w:pPr>
      <w:spacing w:before="100" w:beforeAutospacing="1" w:after="100" w:afterAutospacing="1"/>
      <w:jc w:val="center"/>
      <w:textAlignment w:val="center"/>
    </w:pPr>
  </w:style>
  <w:style w:type="character" w:customStyle="1" w:styleId="18">
    <w:name w:val="页眉 Char"/>
    <w:basedOn w:val="5"/>
    <w:link w:val="3"/>
    <w:qFormat/>
    <w:uiPriority w:val="99"/>
    <w:rPr>
      <w:rFonts w:ascii="宋体" w:hAnsi="宋体" w:eastAsia="宋体" w:cs="宋体"/>
      <w:sz w:val="18"/>
      <w:szCs w:val="18"/>
    </w:rPr>
  </w:style>
  <w:style w:type="character" w:customStyle="1" w:styleId="19">
    <w:name w:val="页脚 Char"/>
    <w:basedOn w:val="5"/>
    <w:link w:val="2"/>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2409</Words>
  <Characters>2528</Characters>
  <Lines>14</Lines>
  <Paragraphs>4</Paragraphs>
  <TotalTime>2</TotalTime>
  <ScaleCrop>false</ScaleCrop>
  <LinksUpToDate>false</LinksUpToDate>
  <CharactersWithSpaces>2548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2019-07-10T09:46:00Z</dcterms:created>
  <dc:creator>未定义</dc:creator>
  <cp:lastModifiedBy>木易</cp:lastModifiedBy>
  <dcterms:modified xsi:type="dcterms:W3CDTF">2022-05-10T06:29:37Z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2DB12741E6FB4B5FBFB083279953D2DA</vt:lpwstr>
  </property>
</Properties>
</file>