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lang w:eastAsia="zh-CN"/>
          <w14:textFill>
            <w14:solidFill>
              <w14:schemeClr w14:val="tx1"/>
            </w14:solidFill>
          </w14:textFill>
        </w:rPr>
        <w:t>汕头</w:t>
      </w:r>
      <w:r>
        <w:rPr>
          <w:rFonts w:hint="eastAsia" w:asciiTheme="majorEastAsia" w:hAnsiTheme="majorEastAsia" w:eastAsiaTheme="majorEastAsia"/>
          <w:b/>
          <w:color w:val="000000" w:themeColor="text1"/>
          <w:sz w:val="44"/>
          <w:szCs w:val="44"/>
          <w14:textFill>
            <w14:solidFill>
              <w14:schemeClr w14:val="tx1"/>
            </w14:solidFill>
          </w14:textFill>
        </w:rPr>
        <w:t>市艺术品行政处罚自由裁量权</w:t>
      </w:r>
      <w:r>
        <w:rPr>
          <w:rFonts w:hint="eastAsia" w:asciiTheme="majorEastAsia" w:hAnsiTheme="majorEastAsia" w:eastAsiaTheme="majorEastAsia"/>
          <w:b/>
          <w:color w:val="000000" w:themeColor="text1"/>
          <w:sz w:val="44"/>
          <w:szCs w:val="44"/>
          <w:lang w:eastAsia="zh-CN"/>
          <w14:textFill>
            <w14:solidFill>
              <w14:schemeClr w14:val="tx1"/>
            </w14:solidFill>
          </w14:textFill>
        </w:rPr>
        <w:t>细化</w:t>
      </w:r>
      <w:r>
        <w:rPr>
          <w:rFonts w:hint="eastAsia" w:asciiTheme="majorEastAsia" w:hAnsiTheme="majorEastAsia" w:eastAsiaTheme="majorEastAsia"/>
          <w:b/>
          <w:color w:val="000000" w:themeColor="text1"/>
          <w:sz w:val="44"/>
          <w:szCs w:val="44"/>
          <w14:textFill>
            <w14:solidFill>
              <w14:schemeClr w14:val="tx1"/>
            </w14:solidFill>
          </w14:textFill>
        </w:rPr>
        <w:t>标准</w:t>
      </w:r>
      <w:r>
        <w:rPr>
          <w:rFonts w:hint="eastAsia" w:asciiTheme="majorEastAsia" w:hAnsiTheme="majorEastAsia" w:eastAsiaTheme="majorEastAsia"/>
          <w:b/>
          <w:color w:val="000000" w:themeColor="text1"/>
          <w:sz w:val="44"/>
          <w:szCs w:val="44"/>
          <w:lang w:val="en-US" w:eastAsia="zh-CN"/>
          <w14:textFill>
            <w14:solidFill>
              <w14:schemeClr w14:val="tx1"/>
            </w14:solidFill>
          </w14:textFill>
        </w:rPr>
        <w:t>(共21项）</w:t>
      </w:r>
      <w:bookmarkStart w:id="0" w:name="_GoBack"/>
      <w:bookmarkEnd w:id="0"/>
    </w:p>
    <w:tbl>
      <w:tblPr>
        <w:tblStyle w:val="5"/>
        <w:tblW w:w="5209" w:type="pct"/>
        <w:jc w:val="center"/>
        <w:tblLayout w:type="autofit"/>
        <w:tblCellMar>
          <w:top w:w="15" w:type="dxa"/>
          <w:left w:w="15" w:type="dxa"/>
          <w:bottom w:w="0" w:type="dxa"/>
          <w:right w:w="15" w:type="dxa"/>
        </w:tblCellMar>
      </w:tblPr>
      <w:tblGrid>
        <w:gridCol w:w="241"/>
        <w:gridCol w:w="1733"/>
        <w:gridCol w:w="1207"/>
        <w:gridCol w:w="5064"/>
        <w:gridCol w:w="1306"/>
        <w:gridCol w:w="1473"/>
        <w:gridCol w:w="308"/>
        <w:gridCol w:w="39"/>
        <w:gridCol w:w="789"/>
        <w:gridCol w:w="391"/>
        <w:gridCol w:w="1978"/>
        <w:gridCol w:w="398"/>
      </w:tblGrid>
      <w:tr>
        <w:tblPrEx>
          <w:tblCellMar>
            <w:top w:w="15" w:type="dxa"/>
            <w:left w:w="15" w:type="dxa"/>
            <w:bottom w:w="0" w:type="dxa"/>
            <w:right w:w="15" w:type="dxa"/>
          </w:tblCellMar>
        </w:tblPrEx>
        <w:trPr>
          <w:gridAfter w:val="2"/>
          <w:wAfter w:w="801" w:type="pct"/>
          <w:trHeight w:val="184" w:hRule="atLeast"/>
          <w:tblHeader/>
          <w:jc w:val="center"/>
        </w:trPr>
        <w:tc>
          <w:tcPr>
            <w:tcW w:w="48" w:type="pct"/>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序号</w:t>
            </w:r>
          </w:p>
        </w:tc>
        <w:tc>
          <w:tcPr>
            <w:tcW w:w="583"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违法行为</w:t>
            </w:r>
          </w:p>
        </w:tc>
        <w:tc>
          <w:tcPr>
            <w:tcW w:w="407" w:type="pct"/>
            <w:vMerge w:val="restart"/>
            <w:tcBorders>
              <w:top w:val="single" w:color="auto" w:sz="4" w:space="0"/>
              <w:left w:val="nil"/>
              <w:right w:val="single" w:color="auto" w:sz="4" w:space="0"/>
            </w:tcBorders>
            <w:shd w:val="clear" w:color="auto" w:fill="auto"/>
            <w:vAlign w:val="center"/>
          </w:tcPr>
          <w:p>
            <w:pPr>
              <w:jc w:val="center"/>
              <w:rPr>
                <w:rFonts w:hint="eastAsia" w:ascii="仿宋_GB2312" w:eastAsia="仿宋_GB2312"/>
                <w:b/>
                <w:color w:val="000000" w:themeColor="text1"/>
                <w:sz w:val="21"/>
                <w:szCs w:val="21"/>
                <w:lang w:val="en-US" w:eastAsia="zh-CN"/>
                <w14:textFill>
                  <w14:solidFill>
                    <w14:schemeClr w14:val="tx1"/>
                  </w14:solidFill>
                </w14:textFill>
              </w:rPr>
            </w:pPr>
            <w:r>
              <w:rPr>
                <w:rFonts w:hint="eastAsia" w:ascii="仿宋_GB2312" w:eastAsia="仿宋_GB2312"/>
                <w:b/>
                <w:color w:val="000000" w:themeColor="text1"/>
                <w:sz w:val="21"/>
                <w:szCs w:val="21"/>
                <w:lang w:val="en-US" w:eastAsia="zh-CN"/>
                <w14:textFill>
                  <w14:solidFill>
                    <w14:schemeClr w14:val="tx1"/>
                  </w14:solidFill>
                </w14:textFill>
              </w:rPr>
              <w:t>违法条款</w:t>
            </w:r>
          </w:p>
        </w:tc>
        <w:tc>
          <w:tcPr>
            <w:tcW w:w="1698"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处罚</w:t>
            </w:r>
            <w:r>
              <w:rPr>
                <w:rFonts w:hint="eastAsia" w:ascii="仿宋_GB2312" w:eastAsia="仿宋_GB2312"/>
                <w:b/>
                <w:color w:val="000000" w:themeColor="text1"/>
                <w:sz w:val="21"/>
                <w:szCs w:val="21"/>
                <w14:textFill>
                  <w14:solidFill>
                    <w14:schemeClr w14:val="tx1"/>
                  </w14:solidFill>
                </w14:textFill>
              </w:rPr>
              <w:t>依据</w:t>
            </w:r>
          </w:p>
        </w:tc>
        <w:tc>
          <w:tcPr>
            <w:tcW w:w="1325"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裁量标准</w:t>
            </w:r>
          </w:p>
        </w:tc>
        <w:tc>
          <w:tcPr>
            <w:tcW w:w="134"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备注</w:t>
            </w:r>
          </w:p>
        </w:tc>
      </w:tr>
      <w:tr>
        <w:tblPrEx>
          <w:tblCellMar>
            <w:top w:w="15" w:type="dxa"/>
            <w:left w:w="15" w:type="dxa"/>
            <w:bottom w:w="0" w:type="dxa"/>
            <w:right w:w="15" w:type="dxa"/>
          </w:tblCellMar>
        </w:tblPrEx>
        <w:trPr>
          <w:gridAfter w:val="2"/>
          <w:wAfter w:w="801" w:type="pct"/>
          <w:trHeight w:val="184" w:hRule="atLeast"/>
          <w:tblHeader/>
          <w:jc w:val="center"/>
        </w:trPr>
        <w:tc>
          <w:tcPr>
            <w:tcW w:w="48"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583"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407"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1698"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lang w:val="en-US" w:eastAsia="zh-CN"/>
                <w14:textFill>
                  <w14:solidFill>
                    <w14:schemeClr w14:val="tx1"/>
                  </w14:solidFill>
                </w14:textFill>
              </w:rPr>
            </w:pPr>
            <w:r>
              <w:rPr>
                <w:rFonts w:hint="eastAsia" w:ascii="仿宋_GB2312" w:eastAsia="仿宋_GB2312"/>
                <w:b/>
                <w:color w:val="000000" w:themeColor="text1"/>
                <w:sz w:val="21"/>
                <w:szCs w:val="21"/>
                <w:lang w:val="en-US" w:eastAsia="zh-CN"/>
                <w14:textFill>
                  <w14:solidFill>
                    <w14:schemeClr w14:val="tx1"/>
                  </w14:solidFill>
                </w14:textFill>
              </w:rPr>
              <w:t>从轻行政处罚</w:t>
            </w:r>
          </w:p>
        </w:tc>
        <w:tc>
          <w:tcPr>
            <w:tcW w:w="49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lang w:eastAsia="zh-CN"/>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一般行政处罚</w:t>
            </w:r>
          </w:p>
        </w:tc>
        <w:tc>
          <w:tcPr>
            <w:tcW w:w="388"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lang w:eastAsia="zh-CN"/>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从重行政处罚</w:t>
            </w:r>
          </w:p>
        </w:tc>
        <w:tc>
          <w:tcPr>
            <w:tcW w:w="134"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806"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经营单位从事艺术品经营活动未经申请及备案</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《艺术品经营管理办法》第五条第一款</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《艺术品经营管理办法》第十九条： 违反本办法第五条规定的，由县级以上人民政府文化行政部门或者依法授权的文化市场综合执法机构责令改正，并可根据情节轻重处10000元以下罚款。</w:t>
            </w:r>
          </w:p>
        </w:tc>
        <w:tc>
          <w:tcPr>
            <w:tcW w:w="440" w:type="pct"/>
            <w:tcBorders>
              <w:top w:val="nil"/>
              <w:left w:val="nil"/>
              <w:bottom w:val="single" w:color="auto" w:sz="4" w:space="0"/>
              <w:right w:val="single" w:color="auto" w:sz="4" w:space="0"/>
            </w:tcBorders>
            <w:shd w:val="clear" w:color="auto" w:fill="auto"/>
            <w:vAlign w:val="center"/>
          </w:tcPr>
          <w:p>
            <w:pP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1年内第1次被查处，具有从轻情节的，罚款1000元。</w:t>
            </w:r>
          </w:p>
        </w:tc>
        <w:tc>
          <w:tcPr>
            <w:tcW w:w="496" w:type="pct"/>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eastAsia="zh-CN"/>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3000元</w:t>
            </w:r>
            <w:r>
              <w:rPr>
                <w:rFonts w:hint="eastAsia" w:ascii="仿宋_GB2312" w:eastAsia="仿宋_GB2312"/>
                <w:color w:val="000000" w:themeColor="text1"/>
                <w:sz w:val="21"/>
                <w:szCs w:val="21"/>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1年内第2次被查处，罚款5000元。</w:t>
            </w:r>
          </w:p>
        </w:tc>
        <w:tc>
          <w:tcPr>
            <w:tcW w:w="388" w:type="pct"/>
            <w:gridSpan w:val="3"/>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w:t>
            </w:r>
            <w:r>
              <w:rPr>
                <w:rFonts w:hint="eastAsia" w:ascii="Calibri" w:hAnsi="Calibri" w:eastAsia="仿宋_GB2312" w:cs="Calibri"/>
                <w:color w:val="000000" w:themeColor="text1"/>
                <w:sz w:val="21"/>
                <w:szCs w:val="21"/>
                <w:lang w:val="en-US" w:eastAsia="zh-CN"/>
                <w14:textFill>
                  <w14:solidFill>
                    <w14:schemeClr w14:val="tx1"/>
                  </w14:solidFill>
                </w14:textFill>
              </w:rPr>
              <w:t>年内第1次被查处，具有从重情节的，罚款7000元；</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14:textFill>
                  <w14:solidFill>
                    <w14:schemeClr w14:val="tx1"/>
                  </w14:solidFill>
                </w14:textFill>
              </w:rPr>
              <w:t>3次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查处的，或在社会上造成恶劣影响的，或有其他严重情节的：罚款10000元。</w:t>
            </w:r>
          </w:p>
        </w:tc>
        <w:tc>
          <w:tcPr>
            <w:tcW w:w="134"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626"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其他经营单位增设艺术品经营业务的未按规定办理备案手续</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《艺术品经营管理办法》第五条第二款</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《艺术品经营管理办法》第十九条： 违反本办法第五条规定的，由县级以上人民政府文化行政部门或者依法授权的文化市场综合执法机构责令改正，并可根据情节轻重处10000元以下罚款。</w:t>
            </w:r>
          </w:p>
        </w:tc>
        <w:tc>
          <w:tcPr>
            <w:tcW w:w="440"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1年内第1次被查处，具有从轻情节的，罚款1000元。</w:t>
            </w:r>
          </w:p>
        </w:tc>
        <w:tc>
          <w:tcPr>
            <w:tcW w:w="496" w:type="pct"/>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eastAsia="zh-CN"/>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3000元</w:t>
            </w:r>
            <w:r>
              <w:rPr>
                <w:rFonts w:hint="eastAsia" w:ascii="仿宋_GB2312" w:eastAsia="仿宋_GB2312"/>
                <w:color w:val="000000" w:themeColor="text1"/>
                <w:sz w:val="21"/>
                <w:szCs w:val="21"/>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1年内第2次被查处，罚款5000元。</w:t>
            </w:r>
          </w:p>
        </w:tc>
        <w:tc>
          <w:tcPr>
            <w:tcW w:w="388" w:type="pct"/>
            <w:gridSpan w:val="3"/>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1年内第1次被查处，具有从重情节的，罚款7000元；</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14:textFill>
                  <w14:solidFill>
                    <w14:schemeClr w14:val="tx1"/>
                  </w14:solidFill>
                </w14:textFill>
              </w:rPr>
              <w:t>3次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查处的，或在社会上造成恶劣影响的，或有其他严重情节的：罚款10000元。</w:t>
            </w:r>
          </w:p>
        </w:tc>
        <w:tc>
          <w:tcPr>
            <w:tcW w:w="134"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经营含有禁止内容的艺术品</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《艺术品经营管理办法》第六条</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440"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10000元；</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违法经营额10000元以上的，没收非法艺术品及违法所得，并处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496"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（1）1年内第1次被查处：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12000元；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违法经营额10000元以上的，没收非法艺术品及违法所得，并处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val="en-US" w:eastAsia="zh-CN"/>
                <w14:textFill>
                  <w14:solidFill>
                    <w14:schemeClr w14:val="tx1"/>
                  </w14:solidFill>
                </w14:textFill>
              </w:rPr>
            </w:pP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15000元；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违法经营额10000元以上的，没收非法艺术品及违法所得，并处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388" w:type="pct"/>
            <w:gridSpan w:val="3"/>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w:t>
            </w:r>
            <w:r>
              <w:rPr>
                <w:rFonts w:hint="eastAsia" w:ascii="Calibri" w:hAnsi="Calibri" w:eastAsia="仿宋_GB2312" w:cs="Calibri"/>
                <w:color w:val="000000" w:themeColor="text1"/>
                <w:sz w:val="21"/>
                <w:szCs w:val="21"/>
                <w:lang w:val="en-US" w:eastAsia="zh-CN"/>
                <w14:textFill>
                  <w14:solidFill>
                    <w14:schemeClr w14:val="tx1"/>
                  </w14:solidFill>
                </w14:textFill>
              </w:rPr>
              <w:t>年内第1次被查处，具有从重情节的：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18000元；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违法经营额10000元以上的，没收非法艺术品及违法所得，并处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3倍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14:textFill>
                  <w14:solidFill>
                    <w14:schemeClr w14:val="tx1"/>
                  </w14:solidFill>
                </w14:textFill>
              </w:rPr>
              <w:t>3次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查处的，或在社会上造成恶劣影响的，或有其他严重情节的：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20000元；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违法经营额10000元以上的，没收非法艺术品及违法所得，并处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3倍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eastAsia="zh-CN"/>
                <w14:textFill>
                  <w14:solidFill>
                    <w14:schemeClr w14:val="tx1"/>
                  </w14:solidFill>
                </w14:textFill>
              </w:rPr>
            </w:pPr>
          </w:p>
        </w:tc>
        <w:tc>
          <w:tcPr>
            <w:tcW w:w="134" w:type="pct"/>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519"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4</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经营走私、盗窃等来源不合法的艺术品</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《艺术品经营管理办法》第七条第（一）项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44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5</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经营伪造、变造或者冒充他人名义的艺术品</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《艺术品经营管理办法》第七条第（二）项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44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6</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经营除有合法手续、准许经营的以外，法律、法规禁止交易的动物、植物、矿物、金属、化石等为材质的艺术品</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《艺术品经营管理办法》第七条第（三）项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44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7</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经营国家规定禁止交易的其他艺术品</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《艺术品经营管理办法》第七条第（四）项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440" w:type="pct"/>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8</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艺术品经营单位向消费者隐瞒艺术品来源，或者在艺术品说明中隐瞒重要事项，误导消费者</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《艺术品经营管理办法》第八条第（一）项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10000元；</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496" w:type="pct"/>
            <w:vMerge w:val="restart"/>
            <w:tcBorders>
              <w:top w:val="nil"/>
              <w:left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（1）1年内第1次被查处：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12000元；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val="en-US" w:eastAsia="zh-CN"/>
                <w14:textFill>
                  <w14:solidFill>
                    <w14:schemeClr w14:val="tx1"/>
                  </w14:solidFill>
                </w14:textFill>
              </w:rPr>
            </w:pP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15000元；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388" w:type="pct"/>
            <w:gridSpan w:val="3"/>
            <w:vMerge w:val="restart"/>
            <w:tcBorders>
              <w:top w:val="nil"/>
              <w:left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w:t>
            </w:r>
            <w:r>
              <w:rPr>
                <w:rFonts w:hint="eastAsia" w:ascii="Calibri" w:hAnsi="Calibri" w:eastAsia="仿宋_GB2312" w:cs="Calibri"/>
                <w:color w:val="000000" w:themeColor="text1"/>
                <w:sz w:val="21"/>
                <w:szCs w:val="21"/>
                <w:lang w:val="en-US" w:eastAsia="zh-CN"/>
                <w14:textFill>
                  <w14:solidFill>
                    <w14:schemeClr w14:val="tx1"/>
                  </w14:solidFill>
                </w14:textFill>
              </w:rPr>
              <w:t>年内第1次被查处，具有从重情节的：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18000元；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3倍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14:textFill>
                  <w14:solidFill>
                    <w14:schemeClr w14:val="tx1"/>
                  </w14:solidFill>
                </w14:textFill>
              </w:rPr>
              <w:t>3次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查处的，或在社会上造成恶劣影响的，或有其他严重情节的：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20000元；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3倍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p>
        </w:tc>
        <w:tc>
          <w:tcPr>
            <w:tcW w:w="134" w:type="pct"/>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9</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艺术品经营单位伪造、变造艺术品来源证明、艺术品鉴定评估文件以及其他交易凭证</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《艺术品经营管理办法》第八条第（二）项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440"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10</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艺术品经营单位以非法集资为目的或者以非法传销为手段进行经营</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《艺术品经营管理办法》第八条第（三）项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440"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11</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艺术品经营单位未经批准，将艺术品权益拆分为均等份额公开发行，以集中竞价、做市商等集中交易方式进行交易</w:t>
            </w:r>
          </w:p>
        </w:tc>
        <w:tc>
          <w:tcPr>
            <w:tcW w:w="40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第（四）项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440"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12</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艺术品经营单位从事法律、法规和国家规定禁止的其他经营行为</w:t>
            </w:r>
          </w:p>
        </w:tc>
        <w:tc>
          <w:tcPr>
            <w:tcW w:w="40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第（五）项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440"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854"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13</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艺术品经营单位对所经营的艺术品未标明作者、年代、尺寸、材料、保存状况和销售价格等信息</w:t>
            </w:r>
          </w:p>
        </w:tc>
        <w:tc>
          <w:tcPr>
            <w:tcW w:w="40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《艺术品经营管理办法》第九条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第一项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440" w:type="pct"/>
            <w:vMerge w:val="restart"/>
            <w:tcBorders>
              <w:top w:val="nil"/>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1年内第1次被查处，具有从轻情节的，罚款5000元。</w:t>
            </w:r>
          </w:p>
        </w:tc>
        <w:tc>
          <w:tcPr>
            <w:tcW w:w="496" w:type="pct"/>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w:t>
            </w:r>
            <w:r>
              <w:rPr>
                <w:rFonts w:hint="eastAsia" w:ascii="仿宋_GB2312" w:eastAsia="仿宋_GB2312"/>
                <w:color w:val="000000" w:themeColor="text1"/>
                <w:sz w:val="21"/>
                <w:szCs w:val="21"/>
                <w:lang w:eastAsia="zh-CN"/>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9000元</w:t>
            </w:r>
            <w:r>
              <w:rPr>
                <w:rFonts w:hint="eastAsia" w:ascii="仿宋_GB2312" w:eastAsia="仿宋_GB2312"/>
                <w:color w:val="000000" w:themeColor="text1"/>
                <w:sz w:val="21"/>
                <w:szCs w:val="21"/>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1年内第2次被查处，罚款15000元。</w:t>
            </w:r>
          </w:p>
        </w:tc>
        <w:tc>
          <w:tcPr>
            <w:tcW w:w="388" w:type="pct"/>
            <w:gridSpan w:val="3"/>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w:t>
            </w:r>
            <w:r>
              <w:rPr>
                <w:rFonts w:hint="eastAsia" w:ascii="Calibri" w:hAnsi="Calibri" w:eastAsia="仿宋_GB2312" w:cs="Calibri"/>
                <w:color w:val="000000" w:themeColor="text1"/>
                <w:sz w:val="21"/>
                <w:szCs w:val="21"/>
                <w:lang w:val="en-US" w:eastAsia="zh-CN"/>
                <w14:textFill>
                  <w14:solidFill>
                    <w14:schemeClr w14:val="tx1"/>
                  </w14:solidFill>
                </w14:textFill>
              </w:rPr>
              <w:t>年内第1次被查处，具有从重情节的，罚款25000元；</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14:textFill>
                  <w14:solidFill>
                    <w14:schemeClr w14:val="tx1"/>
                  </w14:solidFill>
                </w14:textFill>
              </w:rPr>
              <w:t>3次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查处的，或在社会上造成恶劣影响的，或有其他严重情节的：罚款</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0000元。</w:t>
            </w:r>
          </w:p>
        </w:tc>
        <w:tc>
          <w:tcPr>
            <w:tcW w:w="134" w:type="pct"/>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686"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14</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艺术品经营单位未按规定保留交易有关的原始凭证、销售合同、台账、账簿等销售记录</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《艺术品经营管理办法》第九条第二项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44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189"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15</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艺术品经营单位从事艺术品鉴定、评估等服务，未与委托人签订书面协议，约定鉴定、评估的事项，鉴定、评估的结论适用范围以及被委托人应当承担的责任</w:t>
            </w:r>
          </w:p>
        </w:tc>
        <w:tc>
          <w:tcPr>
            <w:tcW w:w="40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《艺术品经营管理办法》第十一条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第一项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44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16</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艺术品经营单位从事艺术品鉴定、评估等服务，未明示艺术品鉴定、评估程序或者需要告知、提示委托人的事项</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《艺术品经营管理办法》第十一条第二项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44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686"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艺术品经营单位从事艺术品鉴定、评估等服务，未书面出具符合规定的鉴定、评估结论</w:t>
            </w:r>
          </w:p>
        </w:tc>
        <w:tc>
          <w:tcPr>
            <w:tcW w:w="40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《艺术品经营管理办法》第十一条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第三项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44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021"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18</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艺术品经营单位从事艺术品鉴定、评估等服务，未按规定保留书面鉴定、评估结论副本及鉴定、评估人签字等档案</w:t>
            </w:r>
          </w:p>
        </w:tc>
        <w:tc>
          <w:tcPr>
            <w:tcW w:w="40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《艺术品经营管理办法》第十一条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第四项</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440" w:type="pct"/>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1189"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19</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擅自开展艺术品进出口经营活动</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《艺术品经营管理办法》第十四条</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10000元；</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496"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（1）1年内第1次被查处：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12000元；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val="en-US" w:eastAsia="zh-CN"/>
                <w14:textFill>
                  <w14:solidFill>
                    <w14:schemeClr w14:val="tx1"/>
                  </w14:solidFill>
                </w14:textFill>
              </w:rPr>
            </w:pP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15000元；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388" w:type="pct"/>
            <w:gridSpan w:val="3"/>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w:t>
            </w:r>
            <w:r>
              <w:rPr>
                <w:rFonts w:hint="eastAsia" w:ascii="Calibri" w:hAnsi="Calibri" w:eastAsia="仿宋_GB2312" w:cs="Calibri"/>
                <w:color w:val="000000" w:themeColor="text1"/>
                <w:sz w:val="21"/>
                <w:szCs w:val="21"/>
                <w:lang w:val="en-US" w:eastAsia="zh-CN"/>
                <w14:textFill>
                  <w14:solidFill>
                    <w14:schemeClr w14:val="tx1"/>
                  </w14:solidFill>
                </w14:textFill>
              </w:rPr>
              <w:t>年内第1次被查处，具有从重情节的：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18000元；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3倍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14:textFill>
                  <w14:solidFill>
                    <w14:schemeClr w14:val="tx1"/>
                  </w14:solidFill>
                </w14:textFill>
              </w:rPr>
              <w:t>3次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查处的，或在社会上造成恶劣影响的，或有其他严重情节的：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20000元；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3倍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134" w:type="pct"/>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90"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w:t>
            </w:r>
          </w:p>
        </w:tc>
        <w:tc>
          <w:tcPr>
            <w:tcW w:w="583"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以销售、商业宣传为目的在境内公共展览场所举办有境外艺术品创作者或者境外艺术品参加的展示活动，未依法提出申请</w:t>
            </w:r>
          </w:p>
        </w:tc>
        <w:tc>
          <w:tcPr>
            <w:tcW w:w="40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《艺术品经营管理办法》第十五条</w:t>
            </w:r>
          </w:p>
        </w:tc>
        <w:tc>
          <w:tcPr>
            <w:tcW w:w="169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440"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01" w:type="pct"/>
          <w:trHeight w:val="2293" w:hRule="atLeast"/>
          <w:jc w:val="center"/>
        </w:trPr>
        <w:tc>
          <w:tcPr>
            <w:tcW w:w="4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21</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单位或对者个人销售或者利用其他商业形式传播未经文化行政部门批准进口的艺术品</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《艺术品经营管理办法》第十八第一款</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440"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496"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388" w:type="pct"/>
            <w:gridSpan w:val="3"/>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134"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90" w:hRule="atLeast"/>
          <w:jc w:val="center"/>
          <w:hidden/>
        </w:trPr>
        <w:tc>
          <w:tcPr>
            <w:tcW w:w="48" w:type="pct"/>
            <w:shd w:val="clear" w:color="auto" w:fill="auto"/>
            <w:vAlign w:val="center"/>
          </w:tcPr>
          <w:p>
            <w:pPr>
              <w:jc w:val="center"/>
              <w:rPr>
                <w:rFonts w:ascii="仿宋_GB2312" w:eastAsia="仿宋_GB2312"/>
                <w:vanish/>
                <w:color w:val="000000" w:themeColor="text1"/>
                <w:sz w:val="21"/>
                <w:szCs w:val="21"/>
                <w14:textFill>
                  <w14:solidFill>
                    <w14:schemeClr w14:val="tx1"/>
                  </w14:solidFill>
                </w14:textFill>
              </w:rPr>
            </w:pPr>
          </w:p>
        </w:tc>
        <w:tc>
          <w:tcPr>
            <w:tcW w:w="583" w:type="pct"/>
            <w:tcBorders>
              <w:top w:val="single" w:color="auto" w:sz="4" w:space="0"/>
            </w:tcBorders>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407" w:type="pct"/>
            <w:tcBorders>
              <w:top w:val="single" w:color="auto" w:sz="4" w:space="0"/>
            </w:tcBorders>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698" w:type="pct"/>
            <w:tcBorders>
              <w:top w:val="single" w:color="auto" w:sz="4" w:space="0"/>
            </w:tcBorders>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042" w:type="pct"/>
            <w:gridSpan w:val="3"/>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6"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066" w:type="pct"/>
            <w:gridSpan w:val="3"/>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35"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r>
    </w:tbl>
    <w:p>
      <w:pPr>
        <w:rPr>
          <w:rFonts w:ascii="仿宋_GB2312" w:eastAsia="仿宋_GB2312"/>
          <w:color w:val="000000" w:themeColor="text1"/>
          <w:sz w:val="21"/>
          <w:szCs w:val="21"/>
          <w14:textFill>
            <w14:solidFill>
              <w14:schemeClr w14:val="tx1"/>
            </w14:solidFill>
          </w14:textFill>
        </w:rPr>
      </w:pPr>
    </w:p>
    <w:sectPr>
      <w:pgSz w:w="16838" w:h="11906" w:orient="landscape"/>
      <w:pgMar w:top="1689" w:right="1270" w:bottom="1633" w:left="1270" w:header="851" w:footer="992"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1"/>
  <w:bordersDoNotSurroundFooter w:val="1"/>
  <w:documentProtection w:enforcement="0"/>
  <w:defaultTabStop w:val="420"/>
  <w:noPunctuationKerning w:val="1"/>
  <w:characterSpacingControl w:val="doNotCompress"/>
  <w:compat>
    <w:doNotExpandShiftReturn/>
    <w:doNotSnapToGridInCell/>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OGQ0NjJkNjJjOTE0ZmI4ZjFkYTEyNjA1NjAyNzk3MGIifQ=="/>
  </w:docVars>
  <w:rsids>
    <w:rsidRoot w:val="00B90CB3"/>
    <w:rsid w:val="00065744"/>
    <w:rsid w:val="000E12C4"/>
    <w:rsid w:val="001E4923"/>
    <w:rsid w:val="002F17C5"/>
    <w:rsid w:val="003058C6"/>
    <w:rsid w:val="003479BA"/>
    <w:rsid w:val="00364FA8"/>
    <w:rsid w:val="00442D25"/>
    <w:rsid w:val="00494639"/>
    <w:rsid w:val="004C34BC"/>
    <w:rsid w:val="004E05DF"/>
    <w:rsid w:val="004F5210"/>
    <w:rsid w:val="00557213"/>
    <w:rsid w:val="00560416"/>
    <w:rsid w:val="00561A20"/>
    <w:rsid w:val="005A14DE"/>
    <w:rsid w:val="005A66D5"/>
    <w:rsid w:val="005B250E"/>
    <w:rsid w:val="005B7025"/>
    <w:rsid w:val="005D67D0"/>
    <w:rsid w:val="00647161"/>
    <w:rsid w:val="00692E28"/>
    <w:rsid w:val="007041E4"/>
    <w:rsid w:val="00776FCD"/>
    <w:rsid w:val="00825D97"/>
    <w:rsid w:val="008737B7"/>
    <w:rsid w:val="00893673"/>
    <w:rsid w:val="00940F72"/>
    <w:rsid w:val="0098751A"/>
    <w:rsid w:val="00A94C45"/>
    <w:rsid w:val="00B271F6"/>
    <w:rsid w:val="00B90B95"/>
    <w:rsid w:val="00B90CB3"/>
    <w:rsid w:val="00C40041"/>
    <w:rsid w:val="00CE7AEE"/>
    <w:rsid w:val="00D93C5F"/>
    <w:rsid w:val="00DD5C87"/>
    <w:rsid w:val="00DE0D4C"/>
    <w:rsid w:val="00E02D4A"/>
    <w:rsid w:val="00E439E3"/>
    <w:rsid w:val="00EE5B06"/>
    <w:rsid w:val="00EE5BC9"/>
    <w:rsid w:val="02521C34"/>
    <w:rsid w:val="06F4667A"/>
    <w:rsid w:val="08244DFA"/>
    <w:rsid w:val="083A47ED"/>
    <w:rsid w:val="08825D94"/>
    <w:rsid w:val="09440C66"/>
    <w:rsid w:val="097F5301"/>
    <w:rsid w:val="0B3E09B6"/>
    <w:rsid w:val="0B80418F"/>
    <w:rsid w:val="0DE93580"/>
    <w:rsid w:val="0FC32FFF"/>
    <w:rsid w:val="103154FA"/>
    <w:rsid w:val="10994709"/>
    <w:rsid w:val="11F336A5"/>
    <w:rsid w:val="12D90E72"/>
    <w:rsid w:val="154A741E"/>
    <w:rsid w:val="155D5598"/>
    <w:rsid w:val="15B422BF"/>
    <w:rsid w:val="1834665E"/>
    <w:rsid w:val="186805D6"/>
    <w:rsid w:val="19B43266"/>
    <w:rsid w:val="1DB76565"/>
    <w:rsid w:val="1E226BCF"/>
    <w:rsid w:val="1F230453"/>
    <w:rsid w:val="21A578D2"/>
    <w:rsid w:val="26A119B5"/>
    <w:rsid w:val="26FB0148"/>
    <w:rsid w:val="2A361DF3"/>
    <w:rsid w:val="2B0B3A50"/>
    <w:rsid w:val="2D304422"/>
    <w:rsid w:val="2D54780A"/>
    <w:rsid w:val="2F26436F"/>
    <w:rsid w:val="35CF1401"/>
    <w:rsid w:val="36E45DDE"/>
    <w:rsid w:val="380045A7"/>
    <w:rsid w:val="3B052FB1"/>
    <w:rsid w:val="3BEF774A"/>
    <w:rsid w:val="3E63606C"/>
    <w:rsid w:val="3E9807AA"/>
    <w:rsid w:val="3F521D26"/>
    <w:rsid w:val="417A0FB5"/>
    <w:rsid w:val="4253569F"/>
    <w:rsid w:val="43215D07"/>
    <w:rsid w:val="44986E05"/>
    <w:rsid w:val="451112B8"/>
    <w:rsid w:val="453E5858"/>
    <w:rsid w:val="47C029BE"/>
    <w:rsid w:val="48BC515E"/>
    <w:rsid w:val="4B041A2B"/>
    <w:rsid w:val="561A7102"/>
    <w:rsid w:val="569E704C"/>
    <w:rsid w:val="57B84521"/>
    <w:rsid w:val="57C241AE"/>
    <w:rsid w:val="592F5B6C"/>
    <w:rsid w:val="5A562E1D"/>
    <w:rsid w:val="5BF2333D"/>
    <w:rsid w:val="5D0C437F"/>
    <w:rsid w:val="5F77009D"/>
    <w:rsid w:val="60502C17"/>
    <w:rsid w:val="60E707AD"/>
    <w:rsid w:val="61977C35"/>
    <w:rsid w:val="61A56CAB"/>
    <w:rsid w:val="61CA470B"/>
    <w:rsid w:val="638D1AEF"/>
    <w:rsid w:val="641102FF"/>
    <w:rsid w:val="67403FD2"/>
    <w:rsid w:val="68E13EAE"/>
    <w:rsid w:val="6908708F"/>
    <w:rsid w:val="6ADA3AE9"/>
    <w:rsid w:val="6B813636"/>
    <w:rsid w:val="6C283B2D"/>
    <w:rsid w:val="6D783C1C"/>
    <w:rsid w:val="6D9A18AE"/>
    <w:rsid w:val="6EF3125F"/>
    <w:rsid w:val="6F1F3A2E"/>
    <w:rsid w:val="6F696E1F"/>
    <w:rsid w:val="71B609B4"/>
    <w:rsid w:val="763B6A4C"/>
    <w:rsid w:val="76C322D4"/>
    <w:rsid w:val="76F45F2E"/>
    <w:rsid w:val="78667944"/>
    <w:rsid w:val="78C22F3B"/>
    <w:rsid w:val="7ACC6024"/>
    <w:rsid w:val="7AD548FA"/>
    <w:rsid w:val="7C6B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0"/>
    <w:semiHidden/>
    <w:unhideWhenUsed/>
    <w:qFormat/>
    <w:uiPriority w:val="99"/>
    <w:rPr>
      <w:sz w:val="18"/>
      <w:szCs w:val="18"/>
    </w:rPr>
  </w:style>
  <w:style w:type="paragraph" w:styleId="3">
    <w:name w:val="footer"/>
    <w:basedOn w:val="1"/>
    <w:link w:val="59"/>
    <w:unhideWhenUsed/>
    <w:qFormat/>
    <w:uiPriority w:val="99"/>
    <w:pPr>
      <w:tabs>
        <w:tab w:val="center" w:pos="4153"/>
        <w:tab w:val="right" w:pos="8306"/>
      </w:tabs>
      <w:snapToGrid w:val="0"/>
    </w:pPr>
    <w:rPr>
      <w:sz w:val="18"/>
      <w:szCs w:val="18"/>
    </w:rPr>
  </w:style>
  <w:style w:type="paragraph" w:styleId="4">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customStyle="1" w:styleId="8">
    <w:name w:val="font527753"/>
    <w:basedOn w:val="1"/>
    <w:qFormat/>
    <w:uiPriority w:val="0"/>
    <w:pPr>
      <w:spacing w:before="100" w:beforeAutospacing="1" w:after="100" w:afterAutospacing="1"/>
    </w:pPr>
    <w:rPr>
      <w:rFonts w:ascii="仿宋_GB2312" w:eastAsia="仿宋_GB2312"/>
      <w:sz w:val="20"/>
      <w:szCs w:val="20"/>
    </w:rPr>
  </w:style>
  <w:style w:type="paragraph" w:customStyle="1" w:styleId="9">
    <w:name w:val="font627753"/>
    <w:basedOn w:val="1"/>
    <w:qFormat/>
    <w:uiPriority w:val="0"/>
    <w:pPr>
      <w:spacing w:before="100" w:beforeAutospacing="1" w:after="100" w:afterAutospacing="1"/>
    </w:pPr>
    <w:rPr>
      <w:rFonts w:ascii="仿宋_GB2312" w:eastAsia="仿宋_GB2312"/>
      <w:color w:val="FF0000"/>
      <w:sz w:val="20"/>
      <w:szCs w:val="20"/>
    </w:rPr>
  </w:style>
  <w:style w:type="paragraph" w:customStyle="1" w:styleId="10">
    <w:name w:val="font727753"/>
    <w:basedOn w:val="1"/>
    <w:qFormat/>
    <w:uiPriority w:val="0"/>
    <w:pPr>
      <w:spacing w:before="100" w:beforeAutospacing="1" w:after="100" w:afterAutospacing="1"/>
    </w:pPr>
    <w:rPr>
      <w:rFonts w:ascii="仿宋_GB2312" w:eastAsia="仿宋_GB2312"/>
      <w:color w:val="FF0000"/>
      <w:sz w:val="20"/>
      <w:szCs w:val="20"/>
    </w:rPr>
  </w:style>
  <w:style w:type="paragraph" w:customStyle="1" w:styleId="11">
    <w:name w:val="font827753"/>
    <w:basedOn w:val="1"/>
    <w:qFormat/>
    <w:uiPriority w:val="0"/>
    <w:pPr>
      <w:spacing w:before="100" w:beforeAutospacing="1" w:after="100" w:afterAutospacing="1"/>
    </w:pPr>
    <w:rPr>
      <w:rFonts w:ascii="仿宋_GB2312" w:eastAsia="仿宋_GB2312"/>
      <w:color w:val="333333"/>
      <w:sz w:val="20"/>
      <w:szCs w:val="20"/>
    </w:rPr>
  </w:style>
  <w:style w:type="paragraph" w:customStyle="1" w:styleId="12">
    <w:name w:val="font927753"/>
    <w:basedOn w:val="1"/>
    <w:qFormat/>
    <w:uiPriority w:val="0"/>
    <w:pPr>
      <w:spacing w:before="100" w:beforeAutospacing="1" w:after="100" w:afterAutospacing="1"/>
    </w:pPr>
    <w:rPr>
      <w:sz w:val="18"/>
      <w:szCs w:val="18"/>
    </w:rPr>
  </w:style>
  <w:style w:type="paragraph" w:customStyle="1" w:styleId="13">
    <w:name w:val="font1027753"/>
    <w:basedOn w:val="1"/>
    <w:qFormat/>
    <w:uiPriority w:val="0"/>
    <w:pPr>
      <w:spacing w:before="100" w:beforeAutospacing="1" w:after="100" w:afterAutospacing="1"/>
    </w:pPr>
    <w:rPr>
      <w:rFonts w:ascii="仿宋_GB2312" w:eastAsia="仿宋_GB2312"/>
      <w:color w:val="339966"/>
      <w:sz w:val="20"/>
      <w:szCs w:val="20"/>
    </w:rPr>
  </w:style>
  <w:style w:type="paragraph" w:customStyle="1" w:styleId="14">
    <w:name w:val="xl65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15">
    <w:name w:val="xl66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16">
    <w:name w:val="xl67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17">
    <w:name w:val="xl68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000000"/>
      <w:sz w:val="20"/>
      <w:szCs w:val="20"/>
    </w:rPr>
  </w:style>
  <w:style w:type="paragraph" w:customStyle="1" w:styleId="18">
    <w:name w:val="xl69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19">
    <w:name w:val="xl70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0">
    <w:name w:val="xl71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1">
    <w:name w:val="xl72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2">
    <w:name w:val="xl73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3">
    <w:name w:val="xl7427753"/>
    <w:basedOn w:val="1"/>
    <w:qFormat/>
    <w:uiPriority w:val="0"/>
    <w:pPr>
      <w:spacing w:before="100" w:beforeAutospacing="1" w:after="100" w:afterAutospacing="1"/>
      <w:textAlignment w:val="center"/>
    </w:pPr>
    <w:rPr>
      <w:rFonts w:ascii="仿宋_GB2312" w:eastAsia="仿宋_GB2312"/>
      <w:sz w:val="20"/>
      <w:szCs w:val="20"/>
    </w:rPr>
  </w:style>
  <w:style w:type="paragraph" w:customStyle="1" w:styleId="24">
    <w:name w:val="xl7527753"/>
    <w:basedOn w:val="1"/>
    <w:qFormat/>
    <w:uiPriority w:val="0"/>
    <w:pPr>
      <w:spacing w:before="100" w:beforeAutospacing="1" w:after="100" w:afterAutospacing="1"/>
      <w:textAlignment w:val="center"/>
    </w:pPr>
    <w:rPr>
      <w:rFonts w:ascii="仿宋_GB2312" w:eastAsia="仿宋_GB2312"/>
      <w:sz w:val="20"/>
      <w:szCs w:val="20"/>
    </w:rPr>
  </w:style>
  <w:style w:type="paragraph" w:customStyle="1" w:styleId="25">
    <w:name w:val="xl76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26">
    <w:name w:val="xl77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333333"/>
      <w:sz w:val="20"/>
      <w:szCs w:val="20"/>
    </w:rPr>
  </w:style>
  <w:style w:type="paragraph" w:customStyle="1" w:styleId="27">
    <w:name w:val="xl7827753"/>
    <w:basedOn w:val="1"/>
    <w:qFormat/>
    <w:uiPriority w:val="0"/>
    <w:pPr>
      <w:spacing w:before="100" w:beforeAutospacing="1" w:after="100" w:afterAutospacing="1"/>
      <w:textAlignment w:val="center"/>
    </w:pPr>
    <w:rPr>
      <w:rFonts w:ascii="仿宋_GB2312" w:eastAsia="仿宋_GB2312"/>
      <w:color w:val="FF0000"/>
      <w:sz w:val="20"/>
      <w:szCs w:val="20"/>
    </w:rPr>
  </w:style>
  <w:style w:type="paragraph" w:customStyle="1" w:styleId="28">
    <w:name w:val="xl79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29">
    <w:name w:val="xl80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0">
    <w:name w:val="xl81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1">
    <w:name w:val="xl82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2">
    <w:name w:val="xl83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3">
    <w:name w:val="xl84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4">
    <w:name w:val="xl85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5">
    <w:name w:val="xl86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6">
    <w:name w:val="xl87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7">
    <w:name w:val="xl88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38">
    <w:name w:val="xl89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39">
    <w:name w:val="xl90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0">
    <w:name w:val="xl9127753"/>
    <w:basedOn w:val="1"/>
    <w:qFormat/>
    <w:uiPriority w:val="0"/>
    <w:pPr>
      <w:pBdr>
        <w:left w:val="single" w:color="auto" w:sz="4" w:space="1"/>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1">
    <w:name w:val="xl92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2">
    <w:name w:val="xl93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43">
    <w:name w:val="xl94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44">
    <w:name w:val="xl95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45">
    <w:name w:val="xl96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style>
  <w:style w:type="paragraph" w:customStyle="1" w:styleId="46">
    <w:name w:val="xl97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color w:val="FF0000"/>
    </w:rPr>
  </w:style>
  <w:style w:type="paragraph" w:customStyle="1" w:styleId="47">
    <w:name w:val="xl9827753"/>
    <w:basedOn w:val="1"/>
    <w:qFormat/>
    <w:uiPriority w:val="0"/>
    <w:pPr>
      <w:pBdr>
        <w:left w:val="single" w:color="auto" w:sz="4" w:space="1"/>
        <w:right w:val="single" w:color="auto" w:sz="4" w:space="1"/>
      </w:pBdr>
      <w:spacing w:before="100" w:beforeAutospacing="1" w:after="100" w:afterAutospacing="1"/>
      <w:textAlignment w:val="center"/>
    </w:pPr>
    <w:rPr>
      <w:color w:val="FF0000"/>
    </w:rPr>
  </w:style>
  <w:style w:type="paragraph" w:customStyle="1" w:styleId="48">
    <w:name w:val="xl9927753"/>
    <w:basedOn w:val="1"/>
    <w:qFormat/>
    <w:uiPriority w:val="0"/>
    <w:pPr>
      <w:pBdr>
        <w:left w:val="single" w:color="auto" w:sz="4" w:space="1"/>
        <w:right w:val="single" w:color="auto" w:sz="4" w:space="1"/>
      </w:pBdr>
      <w:spacing w:before="100" w:beforeAutospacing="1" w:after="100" w:afterAutospacing="1"/>
      <w:textAlignment w:val="center"/>
    </w:pPr>
  </w:style>
  <w:style w:type="paragraph" w:customStyle="1" w:styleId="49">
    <w:name w:val="xl10027753"/>
    <w:basedOn w:val="1"/>
    <w:qFormat/>
    <w:uiPriority w:val="0"/>
    <w:pPr>
      <w:pBdr>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50">
    <w:name w:val="xl101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51">
    <w:name w:val="xl10227753"/>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2">
    <w:name w:val="xl10327753"/>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3">
    <w:name w:val="xl10427753"/>
    <w:basedOn w:val="1"/>
    <w:qFormat/>
    <w:uiPriority w:val="0"/>
    <w:pPr>
      <w:pBdr>
        <w:left w:val="single" w:color="auto" w:sz="4" w:space="1"/>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4">
    <w:name w:val="xl10527753"/>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仿宋_GB2312" w:eastAsia="仿宋_GB2312"/>
      <w:color w:val="FF0000"/>
      <w:sz w:val="20"/>
      <w:szCs w:val="20"/>
    </w:rPr>
  </w:style>
  <w:style w:type="paragraph" w:customStyle="1" w:styleId="55">
    <w:name w:val="xl10627753"/>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color w:val="FF0000"/>
      <w:sz w:val="20"/>
      <w:szCs w:val="20"/>
    </w:rPr>
  </w:style>
  <w:style w:type="paragraph" w:customStyle="1" w:styleId="56">
    <w:name w:val="xl107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57">
    <w:name w:val="xl108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character" w:customStyle="1" w:styleId="58">
    <w:name w:val="页眉 Char"/>
    <w:basedOn w:val="6"/>
    <w:link w:val="4"/>
    <w:qFormat/>
    <w:uiPriority w:val="99"/>
    <w:rPr>
      <w:rFonts w:ascii="宋体" w:hAnsi="宋体" w:cs="宋体"/>
      <w:sz w:val="18"/>
      <w:szCs w:val="18"/>
    </w:rPr>
  </w:style>
  <w:style w:type="character" w:customStyle="1" w:styleId="59">
    <w:name w:val="页脚 Char"/>
    <w:basedOn w:val="6"/>
    <w:link w:val="3"/>
    <w:qFormat/>
    <w:uiPriority w:val="99"/>
    <w:rPr>
      <w:rFonts w:ascii="宋体" w:hAnsi="宋体" w:cs="宋体"/>
      <w:sz w:val="18"/>
      <w:szCs w:val="18"/>
    </w:rPr>
  </w:style>
  <w:style w:type="character" w:customStyle="1" w:styleId="60">
    <w:name w:val="批注框文本 Char"/>
    <w:basedOn w:val="6"/>
    <w:link w:val="2"/>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5237</Words>
  <Characters>5734</Characters>
  <Lines>33</Lines>
  <Paragraphs>9</Paragraphs>
  <TotalTime>1</TotalTime>
  <ScaleCrop>false</ScaleCrop>
  <LinksUpToDate>false</LinksUpToDate>
  <CharactersWithSpaces>5755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2019-07-08T14:04:00Z</dcterms:created>
  <dc:creator>未定义</dc:creator>
  <cp:lastModifiedBy>木易</cp:lastModifiedBy>
  <cp:lastPrinted>2019-07-14T06:54:00Z</cp:lastPrinted>
  <dcterms:modified xsi:type="dcterms:W3CDTF">2022-05-10T05:04:56Z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AC0D65305B134B87BE1636BB208C530D</vt:lpwstr>
  </property>
</Properties>
</file>