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 w:line="560" w:lineRule="exact"/>
        <w:ind w:right="159"/>
        <w:jc w:val="both"/>
        <w:textAlignment w:val="auto"/>
        <w:rPr>
          <w:rFonts w:hint="eastAsia" w:ascii="CESI黑体-GB2312" w:hAnsi="CESI黑体-GB2312" w:eastAsia="CESI黑体-GB2312" w:cs="CESI黑体-GB2312"/>
          <w:spacing w:val="-13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spacing w:val="-13"/>
          <w:sz w:val="32"/>
          <w:szCs w:val="32"/>
          <w:lang w:val="en-US" w:eastAsia="zh-CN"/>
        </w:rPr>
        <w:t>附件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 w:line="560" w:lineRule="exact"/>
        <w:ind w:left="108" w:right="159" w:firstLine="588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汕头市助企纾困十三条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第三条企业新租用厂房租金补贴申报指南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 w:line="560" w:lineRule="exact"/>
        <w:ind w:right="159"/>
        <w:jc w:val="center"/>
        <w:textAlignment w:val="auto"/>
        <w:rPr>
          <w:rFonts w:hint="default" w:ascii="Times New Roman" w:hAnsi="Times New Roman" w:eastAsia="仿宋_GB2312" w:cs="Times New Roman"/>
          <w:spacing w:val="-13"/>
          <w:sz w:val="32"/>
          <w:szCs w:val="32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108" w:right="159" w:firstLine="588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-13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13"/>
          <w:sz w:val="32"/>
          <w:szCs w:val="32"/>
        </w:rPr>
        <w:t>根据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</w:rPr>
        <w:t>汕头市人民政府办公室关于印发汕头市助企纾困十三条的通知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eastAsia="zh-CN"/>
        </w:rPr>
        <w:t>》（汕府办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〔2022〕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eastAsia="zh-CN"/>
        </w:rPr>
        <w:t>16号）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</w:rPr>
        <w:t>要求，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为做好对规模以上“三新两特一大”工业企业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" w:eastAsia="zh-CN"/>
        </w:rPr>
        <w:t>，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在我市省级以上工业园区内新租用1000平方米以上厂房且实际生产的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" w:eastAsia="zh-CN"/>
        </w:rPr>
        <w:t>，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按实际租期给予每月20%的租金补贴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" w:eastAsia="zh-CN"/>
        </w:rPr>
        <w:t>，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最高补贴3个月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" w:eastAsia="zh-CN"/>
        </w:rPr>
        <w:t>，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单个企业补贴总额不超过20万元。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eastAsia="zh-CN"/>
        </w:rPr>
        <w:t>为明确该项补贴申报有关工作，制定本指南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</w:rPr>
        <w:t>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一、申报主体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600" w:lineRule="exact"/>
        <w:ind w:firstLine="640" w:firstLineChars="200"/>
        <w:textAlignment w:val="auto"/>
      </w:pP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纳入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市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统计部门规模以上工业企业库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且未在2021年自主申请退库的工业企业，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企业行业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分类符合《汕头市“三新两特一大”产业统计口径（暂行）》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（汕工信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〔202</w:t>
      </w:r>
      <w:r>
        <w:rPr>
          <w:rFonts w:hint="eastAsia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319号）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范围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二、申报条件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274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申报企业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汕头高新区、综保区、汕头产业转移工业园、金平产业转移工业园、龙湖产业转移工业园、澄海产业转移工业园、贵屿产业转移工业园等我市省级以上工业园区范围内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新租用厂房1000平方米及以上，租赁合同签订日期须介于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2022年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日（含）至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月3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日（含）</w:t>
      </w:r>
      <w:r>
        <w:rPr>
          <w:rFonts w:hint="eastAsia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申报企业在园区所在</w:t>
      </w:r>
      <w:r>
        <w:rPr>
          <w:rFonts w:hint="eastAsia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纳税。</w:t>
      </w:r>
      <w:r>
        <w:rPr>
          <w:rFonts w:hint="eastAsia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上述</w:t>
      </w: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租赁合同签订</w:t>
      </w:r>
      <w:r>
        <w:rPr>
          <w:rFonts w:hint="eastAsia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期限内签订的续租合同不属于政策支持范畴。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274" w:firstLine="608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val="en-US" w:eastAsia="zh-CN"/>
        </w:rPr>
        <w:t>（二</w:t>
      </w:r>
      <w:r>
        <w:rPr>
          <w:rFonts w:hint="default" w:ascii="Times New Roman" w:hAnsi="Times New Roman" w:eastAsia="仿宋_GB2312" w:cs="Times New Roman"/>
          <w:spacing w:val="-8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申报企业须于2022年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月3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日前在新租用厂房内投产并持续生产。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申报企业近三年内在经营活动中没有重大违法记录。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588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13"/>
          <w:sz w:val="32"/>
          <w:szCs w:val="32"/>
          <w:lang w:val="en-US" w:eastAsia="zh-CN"/>
        </w:rPr>
        <w:t>（四）</w:t>
      </w:r>
      <w:r>
        <w:rPr>
          <w:rFonts w:hint="default" w:ascii="Times New Roman" w:hAnsi="Times New Roman" w:eastAsia="仿宋_GB2312" w:cs="Times New Roman"/>
          <w:spacing w:val="-9"/>
          <w:sz w:val="32"/>
          <w:szCs w:val="32"/>
        </w:rPr>
        <w:t>无省、市</w:t>
      </w:r>
      <w:r>
        <w:rPr>
          <w:rFonts w:hint="default" w:ascii="Times New Roman" w:hAnsi="Times New Roman" w:eastAsia="仿宋_GB2312" w:cs="Times New Roman"/>
          <w:spacing w:val="-9"/>
          <w:sz w:val="32"/>
          <w:szCs w:val="32"/>
          <w:lang w:eastAsia="zh-CN"/>
        </w:rPr>
        <w:t>工业和信息化主管部门</w:t>
      </w:r>
      <w:r>
        <w:rPr>
          <w:rFonts w:hint="default" w:ascii="Times New Roman" w:hAnsi="Times New Roman" w:eastAsia="仿宋_GB2312" w:cs="Times New Roman"/>
          <w:spacing w:val="-9"/>
          <w:sz w:val="32"/>
          <w:szCs w:val="32"/>
        </w:rPr>
        <w:t>及财政部门规定的其他不得申请专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项资金的情形。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奖补</w:t>
      </w:r>
      <w:r>
        <w:rPr>
          <w:rFonts w:hint="default" w:ascii="Times New Roman" w:hAnsi="Times New Roman" w:eastAsia="黑体" w:cs="Times New Roman"/>
          <w:sz w:val="32"/>
          <w:szCs w:val="32"/>
        </w:rPr>
        <w:t>标准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sz w:val="32"/>
          <w:szCs w:val="32"/>
          <w:lang w:val="en-US" w:eastAsia="zh-CN"/>
        </w:rPr>
        <w:t>（一）奖补基准价：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厂房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奖补基准价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元/m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baseline"/>
          <w:lang w:val="en-US" w:eastAsia="zh-CN"/>
        </w:rPr>
        <w:t>/月。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color w:val="auto"/>
          <w:sz w:val="32"/>
          <w:szCs w:val="32"/>
          <w:vertAlign w:val="baseline"/>
          <w:lang w:val="en-US" w:eastAsia="zh-CN"/>
        </w:rPr>
        <w:t>（二）</w:t>
      </w:r>
      <w:r>
        <w:rPr>
          <w:rFonts w:hint="eastAsia" w:ascii="CESI楷体-GB2312" w:hAnsi="CESI楷体-GB2312" w:eastAsia="CESI楷体-GB2312" w:cs="CESI楷体-GB2312"/>
          <w:sz w:val="32"/>
          <w:szCs w:val="32"/>
          <w:lang w:val="en-US" w:eastAsia="zh-CN"/>
        </w:rPr>
        <w:t>奖补</w:t>
      </w:r>
      <w:r>
        <w:rPr>
          <w:rFonts w:hint="eastAsia" w:ascii="CESI楷体-GB2312" w:hAnsi="CESI楷体-GB2312" w:eastAsia="CESI楷体-GB2312" w:cs="CESI楷体-GB2312"/>
          <w:color w:val="auto"/>
          <w:sz w:val="32"/>
          <w:szCs w:val="32"/>
          <w:vertAlign w:val="baseline"/>
          <w:lang w:val="en-US" w:eastAsia="zh-CN"/>
        </w:rPr>
        <w:t>金额：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对单位面积租金不超出奖补基准价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的，按照其符合奖补条件厂房实际缴纳租金总额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0%予以补贴；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超出基准价的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baseline"/>
          <w:lang w:val="en-US" w:eastAsia="zh-CN"/>
        </w:rPr>
        <w:t>，按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基准价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baseline"/>
          <w:lang w:val="en-US" w:eastAsia="zh-CN"/>
        </w:rPr>
        <w:t>计算租金总额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baseline"/>
          <w:lang w:val="en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baseline"/>
          <w:lang w:val="en-US" w:eastAsia="zh-CN"/>
        </w:rPr>
        <w:t>0%予以补贴。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单个企业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租金最高补贴3个月，补贴总额不超过2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0万元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vertAlign w:val="baseli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四、申报材料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新租用厂房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租金补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申报单位提供并盖公章，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所在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工信部门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、省级以上工业园区管理机构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签意见并加盖公章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（二）申报企业租用厂房合同复印件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申报单位提供并盖公章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）厂房租金支付流水复印件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申报单位提供并盖公章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  <w:t>无违法行为及申报材料真实性承诺函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  <w:t>申报单位提供并盖公章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）申报单位工商营业执照或企业法人营业执照复印件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申报单位提供并盖公章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（六）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申报企业在新租用厂房内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生产的现场照片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复印件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申报单位提供并盖公章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补贴核算、申报、公示及拨付程序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（一）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6月底前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，企业向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所在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区工信部门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提交申报资料，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由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区工信部门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会同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省级以上工业园区管理机构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组织开展书面审查以及现场核查后，将符合奖补条件的企业报送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市工业和信息化局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right="0" w:rightChars="0" w:firstLine="64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市工业和信息化局进行汇总后，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对符合奖补条件的企业名单进行公示。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0"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（三）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公示期满，对无异议的由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市工业和信息化局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按程序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计划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下达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至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区工信部门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，奖励资金由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财政部门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按财政支付程序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划拨到企业。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600" w:lineRule="exact"/>
        <w:ind w:lef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工作要求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（一）本指南由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 w:eastAsia="zh-CN"/>
        </w:rPr>
        <w:t>市工业和信息化局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负责解释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。为最大限度助企纾困，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在本指南实施期间，如国家、省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、市相关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规定与本政策重复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可叠加享受本政策支持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（二）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各区工信部门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要对企业申报材料的真实性、符合性进行审核，对符合申报条件的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行文提出申请，于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日前正式行文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含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上报文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资金申报企业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汇总表、企业全套申报材料及项目相关佐证材料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报送至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市工业和信息化局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（纸质版一式3份及电子版一份），以纸质申报材料为准，逾期不予受理。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）每个申报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全套申报材料应当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按照附件1中目录进行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排序，统一装订成册，做到要件齐全、材料排序正确、装订简洁大方。申报企业、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各区工信部门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要在企业申报材料封面加盖公章及在材料侧面加盖骑缝公章。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）申报材料中所有复印件需注明与原件相符，并加盖申报企业公章。复印件必须清晰可见，若重要信息无法辨识则视为无效。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新租用厂房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租金补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》须经项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目单位所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区工信部门</w:t>
      </w:r>
      <w:r>
        <w:rPr>
          <w:rFonts w:hint="eastAsia" w:ascii="Times New Roman" w:hAnsi="Times New Roman" w:eastAsia="仿宋_GB2312" w:cs="Times New Roman"/>
          <w:sz w:val="32"/>
          <w:szCs w:val="32"/>
          <w:lang w:val="en" w:eastAsia="zh-CN"/>
        </w:rPr>
        <w:t>、所在</w:t>
      </w:r>
      <w:r>
        <w:rPr>
          <w:rFonts w:hint="default" w:ascii="Times New Roman" w:hAnsi="Times New Roman" w:eastAsia="仿宋_GB2312" w:cs="Times New Roman"/>
          <w:sz w:val="32"/>
          <w:szCs w:val="32"/>
          <w:lang w:val="en" w:eastAsia="zh-CN"/>
        </w:rPr>
        <w:t>省级以上工业园区管理机构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填写审查意见并加盖公章。</w:t>
      </w:r>
      <w:bookmarkStart w:id="0" w:name="_GoBack"/>
      <w:bookmarkEnd w:id="0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）申报单位要保证上报材料真实可靠，保证近年来在专项资金使用过程中不存在违法违规行为，如发现材料弄虚作假，将取消申报资格并将该申报单位列入财政资金申报黑名单目录。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left="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 w:eastAsia="zh-CN" w:bidi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1.新租用厂房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租金补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贴申报材料目录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新租用厂房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租金补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贴申报企业汇总表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3.新租用厂房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租金补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表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111"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4.无违法行为及申报材料真实性承诺函</w:t>
      </w:r>
    </w:p>
    <w:sectPr>
      <w:footerReference r:id="rId5" w:type="default"/>
      <w:pgSz w:w="11910" w:h="16840"/>
      <w:pgMar w:top="1580" w:right="1200" w:bottom="1760" w:left="1480" w:header="0" w:footer="160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1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5730240</wp:posOffset>
              </wp:positionH>
              <wp:positionV relativeFrom="page">
                <wp:posOffset>9561830</wp:posOffset>
              </wp:positionV>
              <wp:extent cx="649605" cy="222885"/>
              <wp:effectExtent l="0" t="0" r="0" b="0"/>
              <wp:wrapNone/>
              <wp:docPr id="1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49605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349" w:lineRule="exact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true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51.2pt;margin-top:752.9pt;height:17.55pt;width:51.1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FgAAAGRycy9QSwECFAAUAAAA&#10;CACHTuJAIp96WtoAAAAOAQAADwAAAAAAAAABACAAAAA4AAAAZHJzL2Rvd25yZXYueG1sUEsBAhQA&#10;FAAAAAgAh07iQLRA3kihAQAAKgMAAA4AAAAAAAAAAQAgAAAAPw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349" w:lineRule="exact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5EB6EE"/>
    <w:multiLevelType w:val="singleLevel"/>
    <w:tmpl w:val="025EB6E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bordersDoNotSurroundHeader w:val="false"/>
  <w:bordersDoNotSurroundFooter w:val="false"/>
  <w:documentProtection w:enforcement="0"/>
  <w:defaultTabStop w:val="720"/>
  <w:drawingGridHorizontalSpacing w:val="11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8424D"/>
    <w:rsid w:val="02615997"/>
    <w:rsid w:val="04231236"/>
    <w:rsid w:val="05216AC0"/>
    <w:rsid w:val="07374D8C"/>
    <w:rsid w:val="0A3649FB"/>
    <w:rsid w:val="0CC54D5F"/>
    <w:rsid w:val="0D2158A3"/>
    <w:rsid w:val="0DAF7735"/>
    <w:rsid w:val="11A57906"/>
    <w:rsid w:val="16D0382C"/>
    <w:rsid w:val="16DF5A7B"/>
    <w:rsid w:val="19670018"/>
    <w:rsid w:val="1B0C317F"/>
    <w:rsid w:val="1B7C7FCE"/>
    <w:rsid w:val="1E911778"/>
    <w:rsid w:val="1F210892"/>
    <w:rsid w:val="1F46574F"/>
    <w:rsid w:val="2498041B"/>
    <w:rsid w:val="24DF187A"/>
    <w:rsid w:val="26B63BBB"/>
    <w:rsid w:val="29F3612B"/>
    <w:rsid w:val="2B012598"/>
    <w:rsid w:val="2B1B2E3E"/>
    <w:rsid w:val="2B1D0917"/>
    <w:rsid w:val="2ED8427E"/>
    <w:rsid w:val="30277773"/>
    <w:rsid w:val="30736BD0"/>
    <w:rsid w:val="312C0DC4"/>
    <w:rsid w:val="320B670D"/>
    <w:rsid w:val="35C43B3C"/>
    <w:rsid w:val="3626548F"/>
    <w:rsid w:val="38D636A1"/>
    <w:rsid w:val="3A9E0E74"/>
    <w:rsid w:val="3D1A4252"/>
    <w:rsid w:val="3D7EDA62"/>
    <w:rsid w:val="3DDA5CE5"/>
    <w:rsid w:val="3FEE408B"/>
    <w:rsid w:val="40B026EC"/>
    <w:rsid w:val="40C0338D"/>
    <w:rsid w:val="414E4B0F"/>
    <w:rsid w:val="428D4341"/>
    <w:rsid w:val="46D7463F"/>
    <w:rsid w:val="483709D6"/>
    <w:rsid w:val="491239C3"/>
    <w:rsid w:val="4A1D526B"/>
    <w:rsid w:val="4A331442"/>
    <w:rsid w:val="4C193382"/>
    <w:rsid w:val="4CD237DC"/>
    <w:rsid w:val="4CD75362"/>
    <w:rsid w:val="4DE32F59"/>
    <w:rsid w:val="4F3B53F8"/>
    <w:rsid w:val="50497F76"/>
    <w:rsid w:val="51AF68BE"/>
    <w:rsid w:val="57A907DE"/>
    <w:rsid w:val="586321CA"/>
    <w:rsid w:val="59794F7C"/>
    <w:rsid w:val="5DFF4A43"/>
    <w:rsid w:val="5F7FA0F8"/>
    <w:rsid w:val="60941176"/>
    <w:rsid w:val="61666364"/>
    <w:rsid w:val="63E35FAE"/>
    <w:rsid w:val="6405445D"/>
    <w:rsid w:val="64522243"/>
    <w:rsid w:val="64C62371"/>
    <w:rsid w:val="64ED42A5"/>
    <w:rsid w:val="65200FF1"/>
    <w:rsid w:val="661C6537"/>
    <w:rsid w:val="67B02B5C"/>
    <w:rsid w:val="688E2678"/>
    <w:rsid w:val="69B06CE6"/>
    <w:rsid w:val="6AC72CF8"/>
    <w:rsid w:val="6B754F7D"/>
    <w:rsid w:val="6E6902C0"/>
    <w:rsid w:val="6F987EB4"/>
    <w:rsid w:val="73923998"/>
    <w:rsid w:val="77373638"/>
    <w:rsid w:val="7BF680D9"/>
    <w:rsid w:val="7BFFA8B6"/>
    <w:rsid w:val="7D6616A8"/>
    <w:rsid w:val="7D812625"/>
    <w:rsid w:val="7DEF143E"/>
    <w:rsid w:val="7E5E3AF7"/>
    <w:rsid w:val="7EDFE4D1"/>
    <w:rsid w:val="7EEF0FF8"/>
    <w:rsid w:val="7FFEC0C0"/>
    <w:rsid w:val="95FF2E93"/>
    <w:rsid w:val="A577FC81"/>
    <w:rsid w:val="B7FFDB30"/>
    <w:rsid w:val="BEF544B2"/>
    <w:rsid w:val="EEF64F3F"/>
    <w:rsid w:val="F6FB0FF6"/>
    <w:rsid w:val="FBF6E614"/>
    <w:rsid w:val="FDBF187B"/>
    <w:rsid w:val="FF37AB23"/>
    <w:rsid w:val="FF3F10A3"/>
    <w:rsid w:val="FF5F7BE6"/>
    <w:rsid w:val="FF9CC441"/>
    <w:rsid w:val="FFED4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right="129"/>
      <w:jc w:val="center"/>
      <w:outlineLvl w:val="1"/>
    </w:pPr>
    <w:rPr>
      <w:rFonts w:ascii="宋体" w:hAnsi="宋体" w:eastAsia="宋体" w:cs="宋体"/>
      <w:b/>
      <w:bCs/>
      <w:sz w:val="44"/>
      <w:szCs w:val="44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ody Text"/>
    <w:basedOn w:val="1"/>
    <w:qFormat/>
    <w:uiPriority w:val="1"/>
    <w:pPr>
      <w:ind w:left="109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111"/>
      <w:ind w:left="1630" w:hanging="242"/>
    </w:pPr>
    <w:rPr>
      <w:rFonts w:ascii="宋体" w:hAnsi="宋体" w:eastAsia="宋体" w:cs="宋体"/>
      <w:lang w:val="zh-CN" w:eastAsia="zh-CN" w:bidi="zh-CN"/>
    </w:rPr>
  </w:style>
  <w:style w:type="paragraph" w:customStyle="1" w:styleId="10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ScaleCrop>false</ScaleCrop>
  <LinksUpToDate>false</LinksUpToDate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2022-03-01T00:40:00Z</dcterms:created>
  <dc:creator>发文</dc:creator>
  <cp:lastModifiedBy>oiffice</cp:lastModifiedBy>
  <cp:lastPrinted>2022-04-19T10:55:00Z</cp:lastPrinted>
  <dcterms:modified xsi:type="dcterms:W3CDTF">2022-05-09T10:13:52Z</dcterms:modified>
  <dc:title>0000001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2022-02-24T00:00:00Z</vt:filetime>
  </property>
  <property fmtid="{D5CDD505-2E9C-101B-9397-08002B2CF9AE}" pid="5" name="KSOProductBuildVer">
    <vt:lpwstr>2052-11.8.2.10458</vt:lpwstr>
  </property>
  <property fmtid="{D5CDD505-2E9C-101B-9397-08002B2CF9AE}" pid="6" name="ICV">
    <vt:lpwstr>CB8A62A640E541E98AC6594870187795</vt:lpwstr>
  </property>
</Properties>
</file>