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自动制售设备日常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监督检查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eastAsia="zh-CN"/>
        </w:rPr>
        <w:t>要点</w:t>
      </w:r>
      <w:r>
        <w:rPr>
          <w:rFonts w:hint="eastAsia" w:ascii="方正小标宋简体" w:hAnsi="宋体" w:eastAsia="方正小标宋简体" w:cs="宋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>
      <w:pPr>
        <w:widowControl/>
        <w:snapToGrid/>
        <w:spacing w:before="0" w:beforeAutospacing="0" w:after="0" w:afterAutospacing="0" w:line="260" w:lineRule="exact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重点项(*)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项，一般项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项，共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项。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900"/>
        <w:gridCol w:w="3960"/>
        <w:gridCol w:w="178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评价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经营资质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*1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设备显著位置公示食品经营许可证复印件或电子证书。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经营管理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*2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公示设备经营者联系方式、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食品安全管理员及联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系电话，投诉电话、故障处理方式、等，电话能接通。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公示投（补）料记录及设备清洗、消毒和维护记录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经营场所卫生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经营场所与有毒、有害场所以及其他污染源保持规定距离。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整洁、卫生，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防尘、防蝇、防鼠等卫生防护设施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*6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制售内环境洁净、无蚊虫，出餐口自动闭合。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经营过程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控制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设备内部具有温度显示，原料、成品存放位置生熟分开。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*8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接触直接入口食品（包括自制饮品）的水应符合直接饮用水标准，经过水净化设施处理或使用直接饮用水。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使用符合食品安全要求的洁净容器、包装材料盛放食品。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*10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加工过程符合食品安全要求。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  <w:t>□是□否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.检查结果判定方法：①符合：未发现检查的重点项和一般项存在问题；②基本符合：发现检查的重点项存在1项及以下不合格，且70%≤一般项合格率＜100%；③不符合：发现检查的重点项存在2项及以上不合格，或一般项合格率＜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2.存在合理缺项时，一般项合格率的计算方法为：合格项目数/（检查的项目数－合理缺项的项目数）×100%。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baseline"/>
      </w:pPr>
      <w:r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3.当次检查发现的不合格项目，应列入下次检查必查项目。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1A14"/>
    <w:rsid w:val="4FB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2022-04-25T09:30:00Z</dcterms:created>
  <dc:creator>admin</dc:creator>
  <cp:lastModifiedBy>admin</cp:lastModifiedBy>
  <dcterms:modified xsi:type="dcterms:W3CDTF">2022-04-25T09:30:30Z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