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826" w:hanging="826" w:hangingChars="295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市十</w:t>
      </w:r>
      <w:r>
        <w:rPr>
          <w:rFonts w:hint="eastAsia" w:ascii="Times New Roman" w:hAnsi="Times New Roman"/>
          <w:sz w:val="28"/>
        </w:rPr>
        <w:t>五</w:t>
      </w:r>
      <w:r>
        <w:rPr>
          <w:rFonts w:ascii="Times New Roman" w:hAnsi="Times New Roman"/>
          <w:sz w:val="28"/>
        </w:rPr>
        <w:t xml:space="preserve">届人大常委会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第</w:t>
      </w:r>
      <w:r>
        <w:rPr>
          <w:rFonts w:hint="eastAsia" w:ascii="Times New Roman" w:hAnsi="Times New Roman"/>
          <w:sz w:val="28"/>
        </w:rPr>
        <w:t>三</w:t>
      </w:r>
      <w:r>
        <w:rPr>
          <w:rFonts w:ascii="Times New Roman" w:hAnsi="Times New Roman"/>
          <w:sz w:val="28"/>
        </w:rPr>
        <w:t>次会议文件（</w:t>
      </w:r>
      <w:r>
        <w:rPr>
          <w:rFonts w:hint="eastAsia"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微软简标宋" w:cs="微软简标宋"/>
          <w:sz w:val="44"/>
          <w:szCs w:val="44"/>
          <w:lang w:eastAsia="zh-CN"/>
        </w:rPr>
      </w:pPr>
      <w:r>
        <w:rPr>
          <w:rFonts w:hint="eastAsia" w:ascii="Times New Roman" w:hAnsi="Times New Roman" w:eastAsia="微软简标宋" w:cs="微软简标宋"/>
          <w:sz w:val="44"/>
          <w:szCs w:val="44"/>
          <w:lang w:eastAsia="zh-CN"/>
        </w:rPr>
        <w:t>汕头市2022年本级预算调整方案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微软简标宋" w:cs="微软简标宋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楷体_GB2312"/>
          <w:sz w:val="28"/>
          <w:szCs w:val="28"/>
        </w:rPr>
      </w:pPr>
      <w:r>
        <w:rPr>
          <w:rFonts w:ascii="Times New Roman" w:hAnsi="Times New Roman" w:eastAsia="楷体_GB2312"/>
          <w:sz w:val="28"/>
          <w:szCs w:val="28"/>
        </w:rPr>
        <w:t>20</w:t>
      </w:r>
      <w:r>
        <w:rPr>
          <w:rFonts w:hint="eastAsia" w:ascii="Times New Roman" w:hAnsi="Times New Roman" w:eastAsia="楷体_GB2312"/>
          <w:sz w:val="28"/>
          <w:szCs w:val="28"/>
        </w:rPr>
        <w:t>22</w:t>
      </w:r>
      <w:r>
        <w:rPr>
          <w:rFonts w:ascii="Times New Roman" w:hAnsi="Times New Roman" w:eastAsia="楷体_GB2312"/>
          <w:sz w:val="28"/>
          <w:szCs w:val="28"/>
        </w:rPr>
        <w:t>年</w:t>
      </w:r>
      <w:r>
        <w:rPr>
          <w:rFonts w:hint="eastAsia" w:ascii="Times New Roman" w:hAnsi="Times New Roman" w:eastAsia="楷体_GB2312"/>
          <w:sz w:val="28"/>
          <w:szCs w:val="28"/>
        </w:rPr>
        <w:t>3</w:t>
      </w:r>
      <w:r>
        <w:rPr>
          <w:rFonts w:ascii="Times New Roman" w:hAnsi="Times New Roman" w:eastAsia="楷体_GB2312"/>
          <w:sz w:val="28"/>
          <w:szCs w:val="28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2022年是汕头“亚青会”的开办之年，也是汕头经济特区在新时代经济特区建设中迎头赶上的关键时期。市财政局以习近平新时代中国特色社会主义思想为指导，紧紧围绕市委、市政府工作部署，坚持稳中求进的工作总基调，坚定不移走“工业立市、产业强市”之路，扎实做好“六稳”“六保”工作，推动全市经济平稳健康发展。2022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省新增下达我市新增地方政府债券额度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69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亿元（一般债券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亿元，专项债券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亿元），按规定需纳入预算管理，根据《预算法》第三十五、六十七条规定，对2022年市本级预算进行调整。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一、一般公共预算收支调整情况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（一）收入调整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市本级一般公共预算收入总计拟调整为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326.22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亿元，比年初预算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323.22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亿元调增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0.93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%（详见附表1）。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主要是根据粤府〔2015〕43号文件规定，一般债券纳入一般公共预算管理，省财政厅安排我市2022年新增一般债券额度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亿元，本次调增一般债券转贷收入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eastAsia="zh-CN"/>
        </w:rPr>
        <w:t>（二）支出调整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市本级一般公共预算支出总计拟调整为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326.22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亿元，比年初预算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323.22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亿元调增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0.93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%（详见附表1）。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1.调增市本级支出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亿元。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主要用于黄河路（泰山路-东厦路）快速化升级改造工程0.5亿元、泰山路（中泰立交-黄河路）快速化升级改造工程0.5亿元和省道233线潮汕路（金湖路—潮州交界）地方配套改造工程0.5亿元（详见附表3）。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2.调增转贷各区新增债券支出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1.5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亿元。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其中：金平区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亿元、潮阳区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亿元、潮南区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亿元。主要用于金平区汕头市第四中学易地建设项目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0.5亿元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、潮阳区农村“源头截污、雨污分流”建设工程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0.5亿元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、潮南区乡村振兴（练江流域城镇污水处理提质增效“源头截污、雨污分流”项目)</w:t>
      </w:r>
      <w:bookmarkStart w:id="0" w:name="OLE_LINK2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0.4亿元</w:t>
      </w:r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和砺青中学新校区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0.1亿元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（详见附表3）。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 xml:space="preserve">二、政府性基金收支调整情况  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  <w:t>（一）收入调整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政府性基金收入总计拟调整为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224.93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亿元，比年初预算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159.43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亿元调增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65.5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亿元，增长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41.08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%（详见附表2）。主要是根据粤府〔2015〕43号文件规定，专项债券纳入政府性基金预算管理，省财政厅安排我市2022年新增专项债券额度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亿元（含转贷南澳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亿元），本次调增专项债券转贷收入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65.5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亿元（省转贷南澳部分不纳入本级预算调整）。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  <w:t>（二）支出调整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政府性基金收入总计拟调整为224.93亿元，比年初预算159.43亿元调增65.5亿元，增长41.08%（详见附表2）。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1.调增市本级支出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29.5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亿元。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主要是用于粤东城际铁路汕头至潮汕机场段8亿元、新建广梅汕铁路汕头站至广澳港区铁路4.14亿元、汕头大学东校区暨亚青会场馆项目（三期）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3.76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亿元、汕头市公共卫生医学中心新建项目2.6亿元和汕头市中心医院易地重建项目（重大疫情救治基地）2亿元等（详见附表4）。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2.调增转贷各区新增债券支出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亿元。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其中：金平区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亿元、龙湖区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亿元、濠江区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亿元、澄海区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亿元、潮阳区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亿元、潮南区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亿元。主要用于汕头市金平区城市内涝治理系统化建设项目4.6亿元、濠江区汕头市滨海临港产业片区基础设施配套项目2.1亿元、汕头市龙湖区鸥汀片区水环境综合整治工程1.8亿元、濠江区新建汕头至汕尾铁路汕头南站项目1.75亿元等（详见附表4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三、全市2021年地方政府债务有关情况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（一）地方政府债务限额和余额情况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根据上级规定，严格实行债务限额管理，全市债务余额控制在债务限额内。省下达2021年全市地方政府债务限额632.13亿元，其中：一般债务限额160.77亿元，专项债务限额471.36亿元，比2020年增加地方政府债务限额201.13亿元；市本级一般债务限额79.95亿元，专项债务限额209.09亿元，比2020年增加地方政府债务限额71.88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2.截至2021年底，全市地方政府债务余额628.37亿元，其中：一般债务158.98亿元，专项债务469.39亿元；市本级债务余额289.04亿元，其中：一般债务79.95亿元，专项债务209.09亿元。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楷体_GB2312"/>
          <w:sz w:val="32"/>
          <w:szCs w:val="32"/>
          <w:lang w:val="en-US" w:eastAsia="zh-CN"/>
        </w:rPr>
        <w:t>（二）2021年地方政府新增债务情况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1.2021年我市新增债务242.73亿元，包括新增债券173亿元，再融资债券69.2亿元，外国贷款0.53亿元，减少30.93亿元，其中：一般债务新增70.50亿元，减少11.73亿元；专项债务新增172.23亿元，减少19.2亿元。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2.2021年全市新增债券资金173亿元均已拨付至项目单位，再融资债券中，28.46亿元用于偿还到期债券本金，40.74亿元用于置换存量隐性债务。新增债券资金主要用于铁路9亿元、公路3.658亿元、市政建设85.44亿元、保障性住房2亿元、生态建设和环境保护4.4577亿元、教育2.3亿元、文化17.7亿元、医疗卫生26.3亿元、社会保障0.7亿元、农林水利建设16.3443亿元、物流设施4.7亿元、自然灾害防治体系建设0.4亿元。新增债资金的投入使用，有力地支持我市筹办第三届亚青会、公共卫生补短板、打造教育高地、改善生态环境、棚户区改造项目等主要领域，带动有效投资，对冲疫情影响，稳定就业和经济发展，产生较大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黑体" w:cs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四、下一步工作措施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充分发挥新增债券资金的使用效益，推动我市经济社会发展，各区（县）、各相关部门要做好如下工作：一是加快新增债券资金支出进度，推动项目建设，确保资金按照上级要求在第一季度形成实物工作量。二是做好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项目储备工作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，积极谋划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新增债券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项目申报，提前做好重点项目前期准备工作，提前组织研究具体项目分阶段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资金使用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计划，避免资金安排与项目实际进度脱节。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是加强政府债务风险预警管理，做好新增专项债项目的风控可研，形成借、用、管、还良性机制，加强债券项目全链条管理。建立新增债券项目绩效评价体系，对项目进度慢、资金效益差、收益不达预期的项目及时采取整改措施。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完善新增债券资金后续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监督。人大、纪检监察机关及审计等部门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进一步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凝聚监督合力，增强刚性约束，多主体参与对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新增债券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资金的监管。</w:t>
      </w:r>
      <w:bookmarkStart w:id="1" w:name="_GoBack"/>
      <w:bookmarkEnd w:id="1"/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0" w:leftChars="0" w:firstLine="0" w:firstLineChars="0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2098" w:right="1587" w:bottom="2098" w:left="1587" w:header="720" w:footer="1418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B7146"/>
    <w:rsid w:val="0088658A"/>
    <w:rsid w:val="00944FF0"/>
    <w:rsid w:val="07E80DB5"/>
    <w:rsid w:val="07ED15BF"/>
    <w:rsid w:val="0B004F5E"/>
    <w:rsid w:val="0B466672"/>
    <w:rsid w:val="0BDD630A"/>
    <w:rsid w:val="12294167"/>
    <w:rsid w:val="16463506"/>
    <w:rsid w:val="16865A66"/>
    <w:rsid w:val="1A064C14"/>
    <w:rsid w:val="1B9B3894"/>
    <w:rsid w:val="1CCC780F"/>
    <w:rsid w:val="1CD01540"/>
    <w:rsid w:val="1DBE009C"/>
    <w:rsid w:val="1F7D0254"/>
    <w:rsid w:val="1FFA5AE2"/>
    <w:rsid w:val="232612F1"/>
    <w:rsid w:val="271D379A"/>
    <w:rsid w:val="287859EE"/>
    <w:rsid w:val="2D9C11A1"/>
    <w:rsid w:val="31420FFA"/>
    <w:rsid w:val="32195BC6"/>
    <w:rsid w:val="33E40EB4"/>
    <w:rsid w:val="35076E0C"/>
    <w:rsid w:val="36D55F0D"/>
    <w:rsid w:val="377A5C3F"/>
    <w:rsid w:val="38300113"/>
    <w:rsid w:val="3878770D"/>
    <w:rsid w:val="38B92786"/>
    <w:rsid w:val="39294301"/>
    <w:rsid w:val="39402466"/>
    <w:rsid w:val="3F195252"/>
    <w:rsid w:val="3F374706"/>
    <w:rsid w:val="3FBC2CF7"/>
    <w:rsid w:val="40D54446"/>
    <w:rsid w:val="42B724AD"/>
    <w:rsid w:val="43210BB3"/>
    <w:rsid w:val="43A031B3"/>
    <w:rsid w:val="45AB7617"/>
    <w:rsid w:val="45B25DCE"/>
    <w:rsid w:val="47E464AB"/>
    <w:rsid w:val="48D2406D"/>
    <w:rsid w:val="4A8D7487"/>
    <w:rsid w:val="4BFB7146"/>
    <w:rsid w:val="4FC77E10"/>
    <w:rsid w:val="517210F3"/>
    <w:rsid w:val="520351D0"/>
    <w:rsid w:val="53D924F6"/>
    <w:rsid w:val="53FF150F"/>
    <w:rsid w:val="54530CE9"/>
    <w:rsid w:val="564C44AA"/>
    <w:rsid w:val="57073738"/>
    <w:rsid w:val="58844990"/>
    <w:rsid w:val="5A524CF5"/>
    <w:rsid w:val="5BC0190C"/>
    <w:rsid w:val="5D255A8E"/>
    <w:rsid w:val="5E887F82"/>
    <w:rsid w:val="61282D6C"/>
    <w:rsid w:val="61FF30BC"/>
    <w:rsid w:val="637D16AA"/>
    <w:rsid w:val="63910251"/>
    <w:rsid w:val="6C3E6589"/>
    <w:rsid w:val="6D522BB5"/>
    <w:rsid w:val="6DC37B13"/>
    <w:rsid w:val="6F321381"/>
    <w:rsid w:val="778E099A"/>
    <w:rsid w:val="78605848"/>
    <w:rsid w:val="797F17C0"/>
    <w:rsid w:val="7BD523E2"/>
    <w:rsid w:val="7CDF4604"/>
    <w:rsid w:val="7E662A21"/>
    <w:rsid w:val="7E9054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Body Text Indent"/>
    <w:basedOn w:val="1"/>
    <w:qFormat/>
    <w:uiPriority w:val="0"/>
    <w:pPr>
      <w:adjustRightInd w:val="0"/>
      <w:spacing w:line="360" w:lineRule="auto"/>
      <w:ind w:firstLine="540" w:firstLineChars="180"/>
      <w:textAlignment w:val="baseline"/>
    </w:pPr>
    <w:rPr>
      <w:kern w:val="0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2</Pages>
  <Words>859</Words>
  <Characters>142</Characters>
  <Lines>1</Lines>
  <Paragraphs>1</Paragraphs>
  <TotalTime>16</TotalTime>
  <ScaleCrop>false</ScaleCrop>
  <LinksUpToDate>false</LinksUpToDate>
  <CharactersWithSpaces>1000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2021-01-05T08:46:00Z</dcterms:created>
  <dc:creator>Administrator</dc:creator>
  <cp:lastModifiedBy>未定义</cp:lastModifiedBy>
  <cp:lastPrinted>2022-03-11T00:39:00Z</cp:lastPrinted>
  <dcterms:modified xsi:type="dcterms:W3CDTF">2022-04-07T01:27:22Z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FDBF4DE36B204F8EB8BC658EDC026798</vt:lpwstr>
  </property>
  <property fmtid="{D5CDD505-2E9C-101B-9397-08002B2CF9AE}" pid="4" name="ribbonExt">
    <vt:lpwstr>{"WPSExtOfficeTab":{"OnGetEnabled":false,"OnGetVisible":false}}</vt:lpwstr>
  </property>
</Properties>
</file>