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 w:cs="宋体"/>
          <w:sz w:val="36"/>
          <w:szCs w:val="36"/>
        </w:rPr>
        <w:t>广东省房屋建筑工程竣工验收技术资料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统一用表修订意见表</w:t>
      </w:r>
      <w:bookmarkEnd w:id="1"/>
    </w:p>
    <w:p>
      <w:pPr>
        <w:adjustRightInd w:val="0"/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color w:val="auto"/>
          <w:sz w:val="36"/>
          <w:szCs w:val="36"/>
        </w:rPr>
      </w:pP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42"/>
        <w:gridCol w:w="1464"/>
        <w:gridCol w:w="1464"/>
        <w:gridCol w:w="1464"/>
        <w:gridCol w:w="15"/>
        <w:gridCol w:w="1449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732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auto"/>
                <w:sz w:val="28"/>
                <w:szCs w:val="28"/>
              </w:rPr>
              <w:t>一、综合意见与建议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444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291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1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建议删除</w:t>
            </w:r>
          </w:p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表格</w:t>
            </w:r>
          </w:p>
        </w:tc>
        <w:tc>
          <w:tcPr>
            <w:tcW w:w="4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2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建议增加表格</w:t>
            </w:r>
          </w:p>
        </w:tc>
        <w:tc>
          <w:tcPr>
            <w:tcW w:w="4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4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3</w:t>
            </w:r>
            <w:r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其它意见与建议</w:t>
            </w:r>
          </w:p>
        </w:tc>
        <w:tc>
          <w:tcPr>
            <w:tcW w:w="73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bCs/>
                <w:color w:val="auto"/>
                <w:sz w:val="28"/>
                <w:szCs w:val="28"/>
              </w:rPr>
              <w:t>二、修订具体意见与建议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表格编号</w:t>
            </w: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修改内容</w:t>
            </w: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auto"/>
                <w:sz w:val="24"/>
                <w:szCs w:val="24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4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  <w:tc>
          <w:tcPr>
            <w:tcW w:w="29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楷体" w:hAnsi="华文楷体" w:eastAsia="华文楷体" w:cs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rFonts w:hint="eastAsia" w:ascii="仿宋_GB2312" w:hAnsi="宋体" w:eastAsia="仿宋_GB2312" w:cs="宋体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</w:rPr>
        <w:t>备注：表格编号为</w:t>
      </w:r>
      <w:bookmarkStart w:id="0" w:name="_Hlk97404448"/>
      <w:r>
        <w:rPr>
          <w:rFonts w:hint="eastAsia" w:ascii="仿宋_GB2312" w:hAnsi="宋体" w:eastAsia="仿宋_GB2312" w:cs="宋体"/>
          <w:color w:val="auto"/>
          <w:sz w:val="28"/>
          <w:szCs w:val="28"/>
        </w:rPr>
        <w:t>省统表（2</w:t>
      </w:r>
      <w:r>
        <w:rPr>
          <w:rFonts w:ascii="仿宋_GB2312" w:hAnsi="宋体" w:eastAsia="仿宋_GB2312" w:cs="宋体"/>
          <w:color w:val="auto"/>
          <w:sz w:val="28"/>
          <w:szCs w:val="28"/>
        </w:rPr>
        <w:t>016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版）</w:t>
      </w:r>
      <w:bookmarkEnd w:id="0"/>
      <w:r>
        <w:rPr>
          <w:rFonts w:hint="eastAsia" w:ascii="仿宋_GB2312" w:hAnsi="宋体" w:eastAsia="仿宋_GB2312" w:cs="宋体"/>
          <w:color w:val="auto"/>
          <w:sz w:val="28"/>
          <w:szCs w:val="28"/>
        </w:rPr>
        <w:t>的编号，请按省统表（</w:t>
      </w:r>
      <w:r>
        <w:rPr>
          <w:rFonts w:ascii="仿宋_GB2312" w:hAnsi="宋体" w:eastAsia="仿宋_GB2312" w:cs="宋体"/>
          <w:color w:val="auto"/>
          <w:sz w:val="28"/>
          <w:szCs w:val="28"/>
        </w:rPr>
        <w:t>2016版）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先后顺序编排。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2022-04-01T03:34:45Z</dcterms:created>
  <dc:creator>Administrator</dc:creator>
  <cp:lastModifiedBy>崔</cp:lastModifiedBy>
  <dcterms:modified xsi:type="dcterms:W3CDTF">2022-04-01T03:44:04Z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73C5F496484E4F529DAA272E84DE370E</vt:lpwstr>
  </property>
</Properties>
</file>