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rPr>
          <w:rFonts w:ascii="宋体" w:hAnsi="宋体" w:eastAsia="宋体" w:cs="宋体"/>
          <w:color w:val="auto"/>
          <w:sz w:val="32"/>
          <w:szCs w:val="32"/>
        </w:rPr>
      </w:pPr>
    </w:p>
    <w:p>
      <w:pPr>
        <w:widowControl/>
        <w:spacing w:line="560" w:lineRule="atLeast"/>
        <w:jc w:val="center"/>
        <w:rPr>
          <w:rFonts w:ascii="方正小标宋简体" w:hAnsi="方正小标宋简体" w:eastAsia="方正小标宋简体" w:cs="方正小标宋简体"/>
          <w:color w:val="auto"/>
          <w:sz w:val="44"/>
          <w:szCs w:val="44"/>
        </w:rPr>
      </w:pPr>
    </w:p>
    <w:p>
      <w:pPr>
        <w:widowControl/>
        <w:spacing w:line="560" w:lineRule="atLeas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汕头市新型城镇化“十四五”规划</w:t>
      </w:r>
    </w:p>
    <w:p>
      <w:pPr>
        <w:widowControl/>
        <w:spacing w:line="560" w:lineRule="atLeas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（2021-2025年）</w:t>
      </w:r>
    </w:p>
    <w:p>
      <w:pPr>
        <w:widowControl/>
        <w:spacing w:line="590" w:lineRule="atLeast"/>
        <w:jc w:val="center"/>
        <w:rPr>
          <w:rFonts w:asciiTheme="majorEastAsia" w:hAnsiTheme="majorEastAsia" w:eastAsiaTheme="majorEastAsia" w:cstheme="majorEastAsia"/>
          <w:color w:val="auto"/>
          <w:kern w:val="0"/>
          <w:sz w:val="52"/>
          <w:szCs w:val="52"/>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line="590" w:lineRule="atLeast"/>
        <w:jc w:val="center"/>
        <w:rPr>
          <w:rFonts w:ascii="宋体" w:hAnsi="宋体" w:eastAsia="宋体" w:cs="宋体"/>
          <w:color w:val="auto"/>
          <w:kern w:val="0"/>
          <w:sz w:val="24"/>
          <w:szCs w:val="24"/>
        </w:rPr>
      </w:pPr>
    </w:p>
    <w:p>
      <w:pPr>
        <w:widowControl/>
        <w:spacing w:before="187" w:line="560" w:lineRule="atLeast"/>
        <w:jc w:val="center"/>
        <w:rPr>
          <w:rFonts w:ascii="华文细黑" w:hAnsi="华文细黑" w:eastAsia="华文细黑" w:cs="宋体"/>
          <w:b/>
          <w:bCs/>
          <w:color w:val="auto"/>
          <w:kern w:val="0"/>
          <w:sz w:val="32"/>
          <w:szCs w:val="32"/>
        </w:rPr>
      </w:pPr>
      <w:r>
        <w:rPr>
          <w:rFonts w:ascii="Times New Roman" w:hAnsi="Times New Roman" w:eastAsia="楷体_GB2312" w:cs="Times New Roman"/>
          <w:color w:val="auto"/>
          <w:spacing w:val="-6"/>
          <w:kern w:val="30"/>
          <w:sz w:val="32"/>
          <w:szCs w:val="32"/>
        </w:rPr>
        <w:t>202</w:t>
      </w:r>
      <w:r>
        <w:rPr>
          <w:rFonts w:hint="eastAsia" w:ascii="Times New Roman" w:hAnsi="Times New Roman" w:eastAsia="楷体_GB2312" w:cs="Times New Roman"/>
          <w:color w:val="auto"/>
          <w:spacing w:val="-6"/>
          <w:kern w:val="30"/>
          <w:sz w:val="32"/>
          <w:szCs w:val="32"/>
          <w:lang w:val="en-US" w:eastAsia="zh-CN"/>
        </w:rPr>
        <w:t>2</w:t>
      </w:r>
      <w:r>
        <w:rPr>
          <w:rFonts w:ascii="Times New Roman" w:hAnsi="Times New Roman" w:eastAsia="楷体_GB2312" w:cs="Times New Roman"/>
          <w:color w:val="auto"/>
          <w:spacing w:val="-6"/>
          <w:kern w:val="30"/>
          <w:sz w:val="32"/>
          <w:szCs w:val="32"/>
        </w:rPr>
        <w:t>年</w:t>
      </w:r>
      <w:r>
        <w:rPr>
          <w:rFonts w:hint="eastAsia" w:ascii="Times New Roman" w:hAnsi="Times New Roman" w:eastAsia="楷体_GB2312" w:cs="Times New Roman"/>
          <w:color w:val="auto"/>
          <w:spacing w:val="-6"/>
          <w:kern w:val="30"/>
          <w:sz w:val="32"/>
          <w:szCs w:val="32"/>
        </w:rPr>
        <w:t>1</w:t>
      </w:r>
      <w:r>
        <w:rPr>
          <w:rFonts w:ascii="Times New Roman" w:hAnsi="Times New Roman" w:eastAsia="楷体_GB2312" w:cs="Times New Roman"/>
          <w:color w:val="auto"/>
          <w:spacing w:val="-6"/>
          <w:kern w:val="30"/>
          <w:sz w:val="32"/>
          <w:szCs w:val="32"/>
        </w:rPr>
        <w:t>月</w:t>
      </w:r>
    </w:p>
    <w:p>
      <w:pPr>
        <w:rPr>
          <w:rFonts w:ascii="华文细黑" w:hAnsi="华文细黑" w:eastAsia="华文细黑" w:cs="宋体"/>
          <w:b/>
          <w:bCs/>
          <w:color w:val="auto"/>
          <w:kern w:val="0"/>
          <w:sz w:val="32"/>
          <w:szCs w:val="32"/>
        </w:rPr>
        <w:sectPr>
          <w:footerReference r:id="rId3" w:type="default"/>
          <w:pgSz w:w="11906" w:h="16838"/>
          <w:pgMar w:top="2268" w:right="1417" w:bottom="1701" w:left="1701" w:header="851" w:footer="992" w:gutter="0"/>
          <w:cols w:space="425" w:num="1"/>
          <w:docGrid w:type="lines" w:linePitch="312" w:charSpace="0"/>
        </w:sectPr>
      </w:pPr>
      <w:r>
        <w:rPr>
          <w:rFonts w:ascii="华文细黑" w:hAnsi="华文细黑" w:eastAsia="华文细黑" w:cs="宋体"/>
          <w:b/>
          <w:bCs/>
          <w:color w:val="auto"/>
          <w:kern w:val="0"/>
          <w:sz w:val="32"/>
          <w:szCs w:val="32"/>
        </w:rPr>
        <w:br w:type="page"/>
      </w:r>
    </w:p>
    <w:sdt>
      <w:sdtPr>
        <w:rPr>
          <w:rFonts w:asciiTheme="minorHAnsi" w:hAnsiTheme="minorHAnsi" w:eastAsiaTheme="minorEastAsia" w:cstheme="minorBidi"/>
          <w:color w:val="auto"/>
          <w:kern w:val="2"/>
          <w:sz w:val="21"/>
          <w:szCs w:val="22"/>
          <w:lang w:val="zh-CN"/>
        </w:rPr>
        <w:id w:val="68394431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5"/>
            <w:jc w:val="center"/>
            <w:rPr>
              <w:rFonts w:ascii="华文细黑" w:hAnsi="华文细黑" w:eastAsia="华文细黑"/>
              <w:b/>
              <w:color w:val="auto"/>
            </w:rPr>
          </w:pPr>
          <w:r>
            <w:rPr>
              <w:rFonts w:ascii="华文细黑" w:hAnsi="华文细黑" w:eastAsia="华文细黑"/>
              <w:b/>
              <w:color w:val="auto"/>
              <w:lang w:val="zh-CN"/>
            </w:rPr>
            <w:t>目</w:t>
          </w:r>
          <w:r>
            <w:rPr>
              <w:rFonts w:hint="eastAsia" w:ascii="华文细黑" w:hAnsi="华文细黑" w:eastAsia="华文细黑"/>
              <w:b/>
              <w:color w:val="auto"/>
              <w:lang w:val="zh-CN"/>
            </w:rPr>
            <w:t xml:space="preserve"> </w:t>
          </w:r>
          <w:r>
            <w:rPr>
              <w:rFonts w:ascii="华文细黑" w:hAnsi="华文细黑" w:eastAsia="华文细黑"/>
              <w:b/>
              <w:color w:val="auto"/>
              <w:lang w:val="zh-CN"/>
            </w:rPr>
            <w:t>录</w:t>
          </w:r>
        </w:p>
        <w:p>
          <w:pPr>
            <w:pStyle w:val="9"/>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"_Toc75424394" </w:instrText>
          </w:r>
          <w:r>
            <w:rPr>
              <w:color w:val="auto"/>
            </w:rPr>
            <w:fldChar w:fldCharType="separate"/>
          </w:r>
          <w:r>
            <w:rPr>
              <w:rStyle w:val="14"/>
              <w:color w:val="auto"/>
            </w:rPr>
            <w:t xml:space="preserve">第一篇 </w:t>
          </w:r>
          <w:r>
            <w:rPr>
              <w:rStyle w:val="14"/>
              <w:rFonts w:hint="eastAsia"/>
              <w:color w:val="auto"/>
            </w:rPr>
            <w:t>把握发展要求，明确发展方向</w:t>
          </w:r>
          <w:r>
            <w:rPr>
              <w:color w:val="auto"/>
            </w:rPr>
            <w:tab/>
          </w:r>
          <w:r>
            <w:rPr>
              <w:color w:val="auto"/>
            </w:rPr>
            <w:fldChar w:fldCharType="begin"/>
          </w:r>
          <w:r>
            <w:rPr>
              <w:color w:val="auto"/>
            </w:rPr>
            <w:instrText xml:space="preserve"> PAGEREF _Toc75424394 \h </w:instrText>
          </w:r>
          <w:r>
            <w:rPr>
              <w:color w:val="auto"/>
            </w:rPr>
            <w:fldChar w:fldCharType="separate"/>
          </w:r>
          <w:r>
            <w:rPr>
              <w:color w:val="auto"/>
            </w:rPr>
            <w:t>1</w:t>
          </w:r>
          <w:r>
            <w:rPr>
              <w:color w:val="auto"/>
            </w:rPr>
            <w:fldChar w:fldCharType="end"/>
          </w:r>
          <w:r>
            <w:rPr>
              <w:color w:val="auto"/>
            </w:rPr>
            <w:fldChar w:fldCharType="end"/>
          </w:r>
        </w:p>
        <w:p>
          <w:pPr>
            <w:pStyle w:val="10"/>
            <w:spacing w:line="360" w:lineRule="auto"/>
            <w:rPr>
              <w:rFonts w:cs="宋体"/>
              <w:b w:val="0"/>
              <w:color w:val="auto"/>
              <w:sz w:val="21"/>
              <w:szCs w:val="22"/>
            </w:rPr>
          </w:pPr>
          <w:r>
            <w:rPr>
              <w:color w:val="auto"/>
            </w:rPr>
            <w:fldChar w:fldCharType="begin"/>
          </w:r>
          <w:r>
            <w:rPr>
              <w:color w:val="auto"/>
            </w:rPr>
            <w:instrText xml:space="preserve"> HYPERLINK \l "_Toc75424395" </w:instrText>
          </w:r>
          <w:r>
            <w:rPr>
              <w:color w:val="auto"/>
            </w:rPr>
            <w:fldChar w:fldCharType="separate"/>
          </w:r>
          <w:r>
            <w:rPr>
              <w:rStyle w:val="14"/>
              <w:rFonts w:hint="eastAsia" w:cs="宋体"/>
              <w:color w:val="auto"/>
            </w:rPr>
            <w:t>第一章 时代要求与发展基础</w:t>
          </w:r>
          <w:r>
            <w:rPr>
              <w:rFonts w:hint="eastAsia" w:cs="宋体"/>
              <w:color w:val="auto"/>
            </w:rPr>
            <w:tab/>
          </w:r>
          <w:r>
            <w:rPr>
              <w:rFonts w:hint="eastAsia" w:cs="宋体"/>
              <w:color w:val="auto"/>
            </w:rPr>
            <w:fldChar w:fldCharType="begin"/>
          </w:r>
          <w:r>
            <w:rPr>
              <w:rFonts w:hint="eastAsia" w:cs="宋体"/>
              <w:color w:val="auto"/>
            </w:rPr>
            <w:instrText xml:space="preserve"> PAGEREF _Toc75424395 \h </w:instrText>
          </w:r>
          <w:r>
            <w:rPr>
              <w:rFonts w:hint="eastAsia" w:cs="宋体"/>
              <w:color w:val="auto"/>
            </w:rPr>
            <w:fldChar w:fldCharType="separate"/>
          </w:r>
          <w:r>
            <w:rPr>
              <w:rFonts w:hint="eastAsia" w:cs="宋体"/>
              <w:color w:val="auto"/>
            </w:rPr>
            <w:t>1</w:t>
          </w:r>
          <w:r>
            <w:rPr>
              <w:rFonts w:hint="eastAsia" w:cs="宋体"/>
              <w:color w:val="auto"/>
            </w:rPr>
            <w:fldChar w:fldCharType="end"/>
          </w:r>
          <w:r>
            <w:rPr>
              <w:rFonts w:hint="eastAsia" w:cs="宋体"/>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"_Toc75424396" </w:instrText>
          </w:r>
          <w:r>
            <w:rPr>
              <w:color w:val="auto"/>
            </w:rPr>
            <w:fldChar w:fldCharType="separate"/>
          </w:r>
          <w:r>
            <w:rPr>
              <w:rStyle w:val="14"/>
              <w:rFonts w:eastAsia="楷体"/>
              <w:bCs/>
              <w:color w:val="auto"/>
            </w:rPr>
            <w:t>第一节 时代要求</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_Toc75424396 \h </w:instrText>
          </w:r>
          <w:r>
            <w:rPr>
              <w:rStyle w:val="14"/>
              <w:rFonts w:eastAsia="楷体"/>
              <w:bCs/>
              <w:color w:val="auto"/>
            </w:rPr>
            <w:fldChar w:fldCharType="separate"/>
          </w:r>
          <w:r>
            <w:rPr>
              <w:rStyle w:val="14"/>
              <w:rFonts w:eastAsia="楷体"/>
              <w:bCs/>
              <w:color w:val="auto"/>
            </w:rPr>
            <w:t>1</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"_Toc75424397" </w:instrText>
          </w:r>
          <w:r>
            <w:rPr>
              <w:color w:val="auto"/>
            </w:rPr>
            <w:fldChar w:fldCharType="separate"/>
          </w:r>
          <w:r>
            <w:rPr>
              <w:rStyle w:val="14"/>
              <w:rFonts w:eastAsia="楷体"/>
              <w:bCs/>
              <w:color w:val="auto"/>
            </w:rPr>
            <w:t xml:space="preserve">第二节 </w:t>
          </w:r>
          <w:r>
            <w:rPr>
              <w:rStyle w:val="14"/>
              <w:rFonts w:hint="eastAsia" w:eastAsia="楷体"/>
              <w:bCs/>
              <w:color w:val="auto"/>
            </w:rPr>
            <w:t>发展基础</w:t>
          </w:r>
          <w:r>
            <w:rPr>
              <w:rStyle w:val="14"/>
              <w:rFonts w:eastAsia="楷体"/>
              <w:bCs/>
              <w:color w:val="auto"/>
            </w:rPr>
            <w:tab/>
          </w:r>
          <w:r>
            <w:rPr>
              <w:rStyle w:val="14"/>
              <w:rFonts w:hint="eastAsia" w:eastAsia="楷体"/>
              <w:bCs/>
              <w:color w:val="auto"/>
              <w:lang w:val="en-US" w:eastAsia="zh-CN"/>
            </w:rPr>
            <w:t>4</w:t>
          </w:r>
          <w:r>
            <w:rPr>
              <w:rStyle w:val="14"/>
              <w:rFonts w:eastAsia="楷体"/>
              <w:bCs/>
              <w:color w:val="auto"/>
            </w:rPr>
            <w:fldChar w:fldCharType="end"/>
          </w:r>
        </w:p>
        <w:p>
          <w:pPr>
            <w:pStyle w:val="10"/>
            <w:spacing w:line="360" w:lineRule="auto"/>
            <w:rPr>
              <w:rFonts w:asciiTheme="minorHAnsi" w:hAnsiTheme="minorHAnsi" w:eastAsiaTheme="minorEastAsia"/>
              <w:b w:val="0"/>
              <w:color w:val="auto"/>
              <w:sz w:val="21"/>
              <w:szCs w:val="22"/>
            </w:rPr>
          </w:pPr>
          <w:r>
            <w:rPr>
              <w:color w:val="auto"/>
            </w:rPr>
            <w:fldChar w:fldCharType="begin"/>
          </w:r>
          <w:r>
            <w:rPr>
              <w:color w:val="auto"/>
            </w:rPr>
            <w:instrText xml:space="preserve"> HYPERLINK \l "_Toc75424398" </w:instrText>
          </w:r>
          <w:r>
            <w:rPr>
              <w:color w:val="auto"/>
            </w:rPr>
            <w:fldChar w:fldCharType="separate"/>
          </w:r>
          <w:r>
            <w:rPr>
              <w:rStyle w:val="14"/>
              <w:rFonts w:hint="eastAsia" w:cs="宋体"/>
              <w:color w:val="auto"/>
            </w:rPr>
            <w:t>第二章 总体思路与行动方向</w:t>
          </w:r>
          <w:r>
            <w:rPr>
              <w:rFonts w:hint="eastAsia" w:cs="宋体"/>
              <w:color w:val="auto"/>
            </w:rPr>
            <w:tab/>
          </w:r>
          <w:r>
            <w:rPr>
              <w:rFonts w:hint="eastAsia" w:cs="宋体"/>
              <w:color w:val="auto"/>
              <w:lang w:val="en-US" w:eastAsia="zh-CN"/>
            </w:rPr>
            <w:t>7</w:t>
          </w:r>
          <w:r>
            <w:rPr>
              <w:rFonts w:hint="eastAsia" w:cs="宋体"/>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"_Toc75424399" </w:instrText>
          </w:r>
          <w:r>
            <w:rPr>
              <w:color w:val="auto"/>
            </w:rPr>
            <w:fldChar w:fldCharType="separate"/>
          </w:r>
          <w:r>
            <w:rPr>
              <w:rStyle w:val="14"/>
              <w:rFonts w:eastAsia="楷体"/>
              <w:bCs/>
              <w:color w:val="auto"/>
            </w:rPr>
            <w:t>第一节 总体思路</w:t>
          </w:r>
          <w:r>
            <w:rPr>
              <w:rStyle w:val="14"/>
              <w:rFonts w:eastAsia="楷体"/>
              <w:bCs/>
              <w:color w:val="auto"/>
            </w:rPr>
            <w:tab/>
          </w:r>
          <w:r>
            <w:rPr>
              <w:rStyle w:val="14"/>
              <w:rFonts w:hint="eastAsia" w:eastAsia="楷体"/>
              <w:bCs/>
              <w:color w:val="auto"/>
              <w:lang w:val="en-US" w:eastAsia="zh-CN"/>
            </w:rPr>
            <w:t>7</w:t>
          </w:r>
          <w:r>
            <w:rPr>
              <w:rStyle w:val="14"/>
              <w:rFonts w:eastAsia="楷体"/>
              <w:bCs/>
              <w:color w:val="auto"/>
            </w:rPr>
            <w:fldChar w:fldCharType="end"/>
          </w:r>
        </w:p>
        <w:p>
          <w:pPr>
            <w:pStyle w:val="5"/>
            <w:spacing w:line="360" w:lineRule="auto"/>
            <w:rPr>
              <w:rStyle w:val="14"/>
              <w:rFonts w:eastAsia="楷体"/>
              <w:bCs/>
              <w:color w:val="auto"/>
            </w:rPr>
          </w:pPr>
          <w:r>
            <w:rPr>
              <w:color w:val="auto"/>
            </w:rPr>
            <w:fldChar w:fldCharType="begin"/>
          </w:r>
          <w:r>
            <w:rPr>
              <w:color w:val="auto"/>
            </w:rPr>
            <w:instrText xml:space="preserve"> HYPERLINK \l "_Toc75424400" </w:instrText>
          </w:r>
          <w:r>
            <w:rPr>
              <w:color w:val="auto"/>
            </w:rPr>
            <w:fldChar w:fldCharType="separate"/>
          </w:r>
          <w:r>
            <w:rPr>
              <w:rStyle w:val="14"/>
              <w:rFonts w:eastAsia="楷体"/>
              <w:bCs/>
              <w:color w:val="auto"/>
            </w:rPr>
            <w:t>第二节 行动方向</w:t>
          </w:r>
          <w:r>
            <w:rPr>
              <w:rStyle w:val="14"/>
              <w:rFonts w:eastAsia="楷体"/>
              <w:bCs/>
              <w:color w:val="auto"/>
            </w:rPr>
            <w:tab/>
          </w:r>
          <w:r>
            <w:rPr>
              <w:rStyle w:val="14"/>
              <w:rFonts w:hint="eastAsia" w:eastAsia="楷体"/>
              <w:bCs/>
              <w:color w:val="auto"/>
              <w:lang w:val="en-US" w:eastAsia="zh-CN"/>
            </w:rPr>
            <w:t>7</w:t>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"_Toc75424401" </w:instrText>
          </w:r>
          <w:r>
            <w:rPr>
              <w:color w:val="auto"/>
            </w:rPr>
            <w:fldChar w:fldCharType="separate"/>
          </w:r>
          <w:r>
            <w:rPr>
              <w:rStyle w:val="14"/>
              <w:rFonts w:eastAsia="楷体"/>
              <w:bCs/>
              <w:color w:val="auto"/>
            </w:rPr>
            <w:t xml:space="preserve">第三节 </w:t>
          </w:r>
          <w:r>
            <w:rPr>
              <w:rStyle w:val="14"/>
              <w:rFonts w:hint="eastAsia" w:eastAsia="楷体"/>
              <w:bCs/>
              <w:color w:val="auto"/>
            </w:rPr>
            <w:t>人口现状与</w:t>
          </w:r>
          <w:r>
            <w:rPr>
              <w:rStyle w:val="14"/>
              <w:rFonts w:eastAsia="楷体"/>
              <w:bCs/>
              <w:color w:val="auto"/>
            </w:rPr>
            <w:t>规划依据</w:t>
          </w:r>
          <w:r>
            <w:rPr>
              <w:rStyle w:val="14"/>
              <w:rFonts w:eastAsia="楷体"/>
              <w:bCs/>
              <w:color w:val="auto"/>
            </w:rPr>
            <w:tab/>
          </w:r>
          <w:r>
            <w:rPr>
              <w:rStyle w:val="14"/>
              <w:rFonts w:hint="eastAsia" w:eastAsia="楷体"/>
              <w:bCs/>
              <w:color w:val="auto"/>
              <w:lang w:val="en-US" w:eastAsia="zh-CN"/>
            </w:rPr>
            <w:t>1</w:t>
          </w:r>
          <w:r>
            <w:rPr>
              <w:rStyle w:val="14"/>
              <w:rFonts w:hint="eastAsia" w:eastAsia="楷体"/>
              <w:bCs/>
              <w:color w:val="auto"/>
            </w:rPr>
            <w:fldChar w:fldCharType="end"/>
          </w:r>
          <w:r>
            <w:rPr>
              <w:rStyle w:val="14"/>
              <w:rFonts w:hint="eastAsia" w:eastAsia="楷体"/>
              <w:bCs/>
              <w:color w:val="auto"/>
              <w:lang w:val="en-US" w:eastAsia="zh-CN"/>
            </w:rPr>
            <w:t>2</w:t>
          </w:r>
        </w:p>
        <w:p>
          <w:pPr>
            <w:pStyle w:val="9"/>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"_Toc75424402" </w:instrText>
          </w:r>
          <w:r>
            <w:rPr>
              <w:color w:val="auto"/>
            </w:rPr>
            <w:fldChar w:fldCharType="separate"/>
          </w:r>
          <w:r>
            <w:rPr>
              <w:rStyle w:val="14"/>
              <w:color w:val="auto"/>
              <w:kern w:val="44"/>
            </w:rPr>
            <w:t xml:space="preserve">第二篇 </w:t>
          </w:r>
          <w:r>
            <w:rPr>
              <w:rStyle w:val="14"/>
              <w:rFonts w:hint="eastAsia"/>
              <w:color w:val="auto"/>
              <w:kern w:val="44"/>
            </w:rPr>
            <w:t>贯彻国家战略，实现区域联动</w:t>
          </w:r>
          <w:r>
            <w:rPr>
              <w:color w:val="auto"/>
            </w:rPr>
            <w:tab/>
          </w:r>
          <w:r>
            <w:rPr>
              <w:color w:val="auto"/>
            </w:rPr>
            <w:fldChar w:fldCharType="begin"/>
          </w:r>
          <w:r>
            <w:rPr>
              <w:color w:val="auto"/>
            </w:rPr>
            <w:instrText xml:space="preserve"> PAGEREF _Toc75424402 \h </w:instrText>
          </w:r>
          <w:r>
            <w:rPr>
              <w:color w:val="auto"/>
            </w:rPr>
            <w:fldChar w:fldCharType="separate"/>
          </w:r>
          <w:r>
            <w:rPr>
              <w:color w:val="auto"/>
            </w:rPr>
            <w:t>16</w:t>
          </w:r>
          <w:r>
            <w:rPr>
              <w:color w:val="auto"/>
            </w:rPr>
            <w:fldChar w:fldCharType="end"/>
          </w:r>
          <w:r>
            <w:rPr>
              <w:color w:val="auto"/>
            </w:rPr>
            <w:fldChar w:fldCharType="end"/>
          </w:r>
        </w:p>
        <w:p>
          <w:pPr>
            <w:pStyle w:val="10"/>
            <w:spacing w:line="360" w:lineRule="auto"/>
            <w:rPr>
              <w:rFonts w:hint="eastAsia" w:eastAsia="宋体" w:asciiTheme="minorHAnsi" w:hAnsiTheme="minorHAnsi"/>
              <w:b w:val="0"/>
              <w:color w:val="auto"/>
              <w:sz w:val="21"/>
              <w:szCs w:val="22"/>
              <w:lang w:eastAsia="zh-CN"/>
            </w:rPr>
          </w:pPr>
          <w:r>
            <w:rPr>
              <w:color w:val="auto"/>
            </w:rPr>
            <w:fldChar w:fldCharType="begin"/>
          </w:r>
          <w:r>
            <w:rPr>
              <w:color w:val="auto"/>
            </w:rPr>
            <w:instrText xml:space="preserve"> HYPERLINK \l "_Toc75424403" </w:instrText>
          </w:r>
          <w:r>
            <w:rPr>
              <w:color w:val="auto"/>
            </w:rPr>
            <w:fldChar w:fldCharType="separate"/>
          </w:r>
          <w:r>
            <w:rPr>
              <w:rStyle w:val="14"/>
              <w:rFonts w:hint="eastAsia" w:cs="宋体"/>
              <w:bCs/>
              <w:color w:val="auto"/>
            </w:rPr>
            <w:t>第三章 侨乡优势与平台建设</w:t>
          </w:r>
          <w:r>
            <w:rPr>
              <w:rFonts w:hint="eastAsia" w:cs="宋体"/>
              <w:color w:val="auto"/>
            </w:rPr>
            <w:tab/>
          </w:r>
          <w:r>
            <w:rPr>
              <w:rFonts w:hint="eastAsia" w:cs="宋体"/>
              <w:color w:val="auto"/>
            </w:rPr>
            <w:t>1</w:t>
          </w:r>
          <w:r>
            <w:rPr>
              <w:rFonts w:hint="eastAsia" w:cs="宋体"/>
              <w:color w:val="auto"/>
            </w:rPr>
            <w:fldChar w:fldCharType="end"/>
          </w:r>
          <w:r>
            <w:rPr>
              <w:rFonts w:hint="eastAsia" w:cs="宋体"/>
              <w:color w:val="auto"/>
              <w:lang w:val="en-US" w:eastAsia="zh-CN"/>
            </w:rPr>
            <w:t>6</w:t>
          </w:r>
        </w:p>
        <w:p>
          <w:pPr>
            <w:pStyle w:val="5"/>
            <w:spacing w:line="360" w:lineRule="auto"/>
            <w:rPr>
              <w:rFonts w:hint="default" w:eastAsia="宋体" w:asciiTheme="minorHAnsi" w:hAnsiTheme="minorHAnsi"/>
              <w:color w:val="auto"/>
              <w:sz w:val="21"/>
              <w:szCs w:val="22"/>
              <w:lang w:val="en-US" w:eastAsia="zh-CN"/>
            </w:rPr>
          </w:pPr>
          <w:r>
            <w:rPr>
              <w:color w:val="auto"/>
            </w:rPr>
            <w:fldChar w:fldCharType="begin"/>
          </w:r>
          <w:r>
            <w:rPr>
              <w:color w:val="auto"/>
            </w:rPr>
            <w:instrText xml:space="preserve"> HYPERLINK \l "_Toc75424404" </w:instrText>
          </w:r>
          <w:r>
            <w:rPr>
              <w:color w:val="auto"/>
            </w:rPr>
            <w:fldChar w:fldCharType="separate"/>
          </w:r>
          <w:r>
            <w:rPr>
              <w:rStyle w:val="14"/>
              <w:rFonts w:eastAsia="楷体"/>
              <w:bCs/>
              <w:color w:val="auto"/>
            </w:rPr>
            <w:t xml:space="preserve">第一节 </w:t>
          </w:r>
          <w:r>
            <w:rPr>
              <w:rStyle w:val="14"/>
              <w:rFonts w:hint="eastAsia" w:eastAsia="楷体"/>
              <w:bCs/>
              <w:color w:val="auto"/>
            </w:rPr>
            <w:t>参与“一带一路”和大湾区建设，推进华侨试验区扩能提质</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5"/>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"_Toc75424405" </w:instrText>
          </w:r>
          <w:r>
            <w:rPr>
              <w:color w:val="auto"/>
            </w:rPr>
            <w:fldChar w:fldCharType="separate"/>
          </w:r>
          <w:r>
            <w:rPr>
              <w:rStyle w:val="14"/>
              <w:rFonts w:eastAsia="楷体"/>
              <w:bCs/>
              <w:color w:val="auto"/>
            </w:rPr>
            <w:t xml:space="preserve">第二节 </w:t>
          </w:r>
          <w:r>
            <w:rPr>
              <w:rStyle w:val="14"/>
              <w:rFonts w:hint="eastAsia" w:eastAsia="楷体"/>
              <w:bCs/>
              <w:color w:val="auto"/>
            </w:rPr>
            <w:t>打造潮侨文化地标，联结侨胞家园情感</w:t>
          </w:r>
          <w:r>
            <w:rPr>
              <w:color w:val="auto"/>
            </w:rPr>
            <w:tab/>
          </w:r>
          <w:r>
            <w:rPr>
              <w:color w:val="auto"/>
            </w:rPr>
            <w:fldChar w:fldCharType="begin"/>
          </w:r>
          <w:r>
            <w:rPr>
              <w:color w:val="auto"/>
            </w:rPr>
            <w:instrText xml:space="preserve"> PAGEREF _Toc75424405 \h </w:instrText>
          </w:r>
          <w:r>
            <w:rPr>
              <w:color w:val="auto"/>
            </w:rPr>
            <w:fldChar w:fldCharType="separate"/>
          </w:r>
          <w:r>
            <w:rPr>
              <w:color w:val="auto"/>
            </w:rPr>
            <w:t>19</w:t>
          </w:r>
          <w:r>
            <w:rPr>
              <w:color w:val="auto"/>
            </w:rPr>
            <w:fldChar w:fldCharType="end"/>
          </w:r>
          <w:r>
            <w:rPr>
              <w:color w:val="auto"/>
            </w:rPr>
            <w:fldChar w:fldCharType="end"/>
          </w:r>
        </w:p>
        <w:p>
          <w:pPr>
            <w:pStyle w:val="10"/>
            <w:spacing w:line="360" w:lineRule="auto"/>
            <w:ind w:left="902" w:hanging="482" w:hangingChars="200"/>
            <w:rPr>
              <w:rFonts w:hint="eastAsia"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"_Toc75424406" </w:instrText>
          </w:r>
          <w:r>
            <w:rPr>
              <w:color w:val="auto"/>
            </w:rPr>
            <w:fldChar w:fldCharType="separate"/>
          </w:r>
          <w:r>
            <w:rPr>
              <w:rStyle w:val="14"/>
              <w:rFonts w:hint="eastAsia" w:cs="宋体"/>
              <w:bCs/>
              <w:color w:val="auto"/>
            </w:rPr>
            <w:t>第四章 科创引领与产业强市</w:t>
          </w:r>
          <w:r>
            <w:rPr>
              <w:rFonts w:hint="eastAsia" w:cs="宋体"/>
              <w:color w:val="auto"/>
            </w:rPr>
            <w:tab/>
          </w:r>
          <w:r>
            <w:rPr>
              <w:rFonts w:hint="eastAsia" w:cs="宋体"/>
              <w:color w:val="auto"/>
              <w:lang w:val="en-US" w:eastAsia="zh-CN"/>
            </w:rPr>
            <w:t>2</w:t>
          </w:r>
          <w:r>
            <w:rPr>
              <w:rFonts w:hint="eastAsia" w:cs="宋体"/>
              <w:color w:val="auto"/>
            </w:rPr>
            <w:fldChar w:fldCharType="end"/>
          </w:r>
          <w:r>
            <w:rPr>
              <w:rFonts w:hint="eastAsia" w:cs="宋体"/>
              <w:color w:val="auto"/>
              <w:lang w:val="en-US" w:eastAsia="zh-CN"/>
            </w:rPr>
            <w:t>2</w:t>
          </w:r>
        </w:p>
        <w:p>
          <w:pPr>
            <w:pStyle w:val="5"/>
            <w:spacing w:line="360" w:lineRule="auto"/>
            <w:rPr>
              <w:rFonts w:hint="eastAsia" w:eastAsia="宋体" w:asciiTheme="minorHAnsi" w:hAnsiTheme="minorHAnsi"/>
              <w:color w:val="auto"/>
              <w:sz w:val="21"/>
              <w:szCs w:val="22"/>
              <w:lang w:val="en-US" w:eastAsia="zh-CN"/>
            </w:rPr>
          </w:pPr>
          <w:r>
            <w:rPr>
              <w:color w:val="auto"/>
            </w:rPr>
            <w:fldChar w:fldCharType="begin"/>
          </w:r>
          <w:r>
            <w:rPr>
              <w:color w:val="auto"/>
            </w:rPr>
            <w:instrText xml:space="preserve"> HYPERLINK \l "_Toc75424407" </w:instrText>
          </w:r>
          <w:r>
            <w:rPr>
              <w:color w:val="auto"/>
            </w:rPr>
            <w:fldChar w:fldCharType="separate"/>
          </w:r>
          <w:r>
            <w:rPr>
              <w:rStyle w:val="14"/>
              <w:rFonts w:eastAsia="楷体"/>
              <w:bCs/>
              <w:color w:val="auto"/>
            </w:rPr>
            <w:t xml:space="preserve">第一节 </w:t>
          </w:r>
          <w:r>
            <w:rPr>
              <w:rStyle w:val="14"/>
              <w:rFonts w:hint="eastAsia" w:eastAsia="楷体"/>
              <w:bCs/>
              <w:color w:val="auto"/>
            </w:rPr>
            <w:t>扩大国际科创合作，打造区域创新中心</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5"/>
            <w:spacing w:line="360" w:lineRule="auto"/>
            <w:rPr>
              <w:rFonts w:asciiTheme="minorHAnsi" w:hAnsiTheme="minorHAnsi" w:eastAsiaTheme="minorEastAsia"/>
              <w:color w:val="auto"/>
              <w:sz w:val="21"/>
              <w:szCs w:val="22"/>
            </w:rPr>
          </w:pPr>
          <w:r>
            <w:rPr>
              <w:color w:val="auto"/>
            </w:rPr>
            <w:fldChar w:fldCharType="begin"/>
          </w:r>
          <w:r>
            <w:rPr>
              <w:color w:val="auto"/>
            </w:rPr>
            <w:instrText xml:space="preserve"> HYPERLINK \l "_Toc75424408" </w:instrText>
          </w:r>
          <w:r>
            <w:rPr>
              <w:color w:val="auto"/>
            </w:rPr>
            <w:fldChar w:fldCharType="separate"/>
          </w:r>
          <w:r>
            <w:rPr>
              <w:rStyle w:val="14"/>
              <w:rFonts w:eastAsia="楷体"/>
              <w:bCs/>
              <w:color w:val="auto"/>
            </w:rPr>
            <w:t xml:space="preserve">第二节 </w:t>
          </w:r>
          <w:r>
            <w:rPr>
              <w:rStyle w:val="14"/>
              <w:rFonts w:hint="eastAsia" w:eastAsia="楷体"/>
              <w:bCs/>
              <w:color w:val="auto"/>
            </w:rPr>
            <w:t>优化产业空间布局，构建现代产业体系</w:t>
          </w:r>
          <w:r>
            <w:rPr>
              <w:color w:val="auto"/>
            </w:rPr>
            <w:tab/>
          </w:r>
          <w:r>
            <w:rPr>
              <w:color w:val="auto"/>
            </w:rPr>
            <w:fldChar w:fldCharType="begin"/>
          </w:r>
          <w:r>
            <w:rPr>
              <w:color w:val="auto"/>
            </w:rPr>
            <w:instrText xml:space="preserve"> PAGEREF _Toc75424408 \h </w:instrText>
          </w:r>
          <w:r>
            <w:rPr>
              <w:color w:val="auto"/>
            </w:rPr>
            <w:fldChar w:fldCharType="separate"/>
          </w:r>
          <w:r>
            <w:rPr>
              <w:color w:val="auto"/>
            </w:rPr>
            <w:t>26</w:t>
          </w:r>
          <w:r>
            <w:rPr>
              <w:color w:val="auto"/>
            </w:rPr>
            <w:fldChar w:fldCharType="end"/>
          </w:r>
          <w:r>
            <w:rPr>
              <w:color w:val="auto"/>
            </w:rPr>
            <w:fldChar w:fldCharType="end"/>
          </w:r>
        </w:p>
        <w:p>
          <w:pPr>
            <w:pStyle w:val="10"/>
            <w:spacing w:line="360" w:lineRule="auto"/>
            <w:rPr>
              <w:rFonts w:hint="eastAsia"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"_Toc75424409" </w:instrText>
          </w:r>
          <w:r>
            <w:rPr>
              <w:color w:val="auto"/>
            </w:rPr>
            <w:fldChar w:fldCharType="separate"/>
          </w:r>
          <w:r>
            <w:rPr>
              <w:rStyle w:val="14"/>
              <w:rFonts w:hint="eastAsia" w:cs="宋体"/>
              <w:bCs/>
              <w:color w:val="auto"/>
            </w:rPr>
            <w:t>第五章 基础设施与区域协同</w:t>
          </w:r>
          <w:r>
            <w:rPr>
              <w:rFonts w:hint="eastAsia" w:cs="宋体"/>
              <w:color w:val="auto"/>
            </w:rPr>
            <w:tab/>
          </w:r>
          <w:r>
            <w:rPr>
              <w:rFonts w:hint="eastAsia" w:cs="宋体"/>
              <w:color w:val="auto"/>
              <w:lang w:val="en-US" w:eastAsia="zh-CN"/>
            </w:rPr>
            <w:t>3</w:t>
          </w:r>
          <w:r>
            <w:rPr>
              <w:rFonts w:hint="eastAsia" w:cs="宋体"/>
              <w:color w:val="auto"/>
            </w:rPr>
            <w:fldChar w:fldCharType="end"/>
          </w:r>
          <w:r>
            <w:rPr>
              <w:rFonts w:hint="eastAsia" w:cs="宋体"/>
              <w:color w:val="auto"/>
              <w:lang w:val="en-US" w:eastAsia="zh-CN"/>
            </w:rPr>
            <w:t>1</w:t>
          </w:r>
        </w:p>
        <w:p>
          <w:pPr>
            <w:pStyle w:val="5"/>
            <w:spacing w:line="360" w:lineRule="auto"/>
            <w:rPr>
              <w:rFonts w:hint="eastAsia" w:eastAsia="宋体" w:asciiTheme="minorHAnsi" w:hAnsiTheme="minorHAnsi"/>
              <w:color w:val="auto"/>
              <w:sz w:val="21"/>
              <w:szCs w:val="22"/>
              <w:lang w:val="en-US" w:eastAsia="zh-CN"/>
            </w:rPr>
          </w:pPr>
          <w:r>
            <w:rPr>
              <w:color w:val="auto"/>
            </w:rPr>
            <w:fldChar w:fldCharType="begin"/>
          </w:r>
          <w:r>
            <w:rPr>
              <w:color w:val="auto"/>
            </w:rPr>
            <w:instrText xml:space="preserve"> HYPERLINK \l "_Toc75424410" </w:instrText>
          </w:r>
          <w:r>
            <w:rPr>
              <w:color w:val="auto"/>
            </w:rPr>
            <w:fldChar w:fldCharType="separate"/>
          </w:r>
          <w:r>
            <w:rPr>
              <w:rStyle w:val="14"/>
              <w:rFonts w:eastAsia="楷体"/>
              <w:bCs/>
              <w:color w:val="auto"/>
            </w:rPr>
            <w:t xml:space="preserve">第一节 </w:t>
          </w:r>
          <w:r>
            <w:rPr>
              <w:rStyle w:val="14"/>
              <w:rFonts w:hint="eastAsia" w:eastAsia="楷体"/>
              <w:bCs/>
              <w:color w:val="auto"/>
            </w:rPr>
            <w:t>加快区域交通一体化建设，推进汕潮揭同城化发展</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5"/>
            <w:spacing w:line="360" w:lineRule="auto"/>
            <w:rPr>
              <w:rFonts w:hint="default" w:eastAsia="宋体" w:asciiTheme="minorHAnsi" w:hAnsiTheme="minorHAnsi"/>
              <w:color w:val="auto"/>
              <w:sz w:val="21"/>
              <w:szCs w:val="22"/>
              <w:lang w:val="en-US" w:eastAsia="zh-CN"/>
            </w:rPr>
          </w:pPr>
          <w:r>
            <w:rPr>
              <w:color w:val="auto"/>
            </w:rPr>
            <w:fldChar w:fldCharType="begin"/>
          </w:r>
          <w:r>
            <w:rPr>
              <w:color w:val="auto"/>
            </w:rPr>
            <w:instrText xml:space="preserve"> HYPERLINK \l "_Toc75424411" </w:instrText>
          </w:r>
          <w:r>
            <w:rPr>
              <w:color w:val="auto"/>
            </w:rPr>
            <w:fldChar w:fldCharType="separate"/>
          </w:r>
          <w:r>
            <w:rPr>
              <w:rStyle w:val="14"/>
              <w:rFonts w:eastAsia="楷体"/>
              <w:bCs/>
              <w:color w:val="auto"/>
            </w:rPr>
            <w:t xml:space="preserve">第二节 </w:t>
          </w:r>
          <w:r>
            <w:rPr>
              <w:rStyle w:val="14"/>
              <w:rFonts w:hint="eastAsia" w:eastAsia="楷体"/>
              <w:bCs/>
              <w:color w:val="auto"/>
            </w:rPr>
            <w:t>建设智慧城市示范片区，引领粤东智慧城市发展</w:t>
          </w:r>
          <w:r>
            <w:rPr>
              <w:color w:val="auto"/>
            </w:rPr>
            <w:tab/>
          </w:r>
          <w:r>
            <w:rPr>
              <w:rFonts w:hint="eastAsia"/>
              <w:color w:val="auto"/>
            </w:rPr>
            <w:fldChar w:fldCharType="end"/>
          </w:r>
          <w:r>
            <w:rPr>
              <w:rFonts w:hint="eastAsia"/>
              <w:color w:val="auto"/>
              <w:lang w:val="en-US" w:eastAsia="zh-CN"/>
            </w:rPr>
            <w:t>35</w:t>
          </w:r>
        </w:p>
        <w:p>
          <w:pPr>
            <w:pStyle w:val="9"/>
            <w:spacing w:line="360" w:lineRule="auto"/>
            <w:rPr>
              <w:rFonts w:hint="eastAsia" w:eastAsia="黑体" w:asciiTheme="minorHAnsi" w:hAnsiTheme="minorHAnsi"/>
              <w:color w:val="auto"/>
              <w:sz w:val="21"/>
              <w:szCs w:val="22"/>
              <w:lang w:val="en-US" w:eastAsia="zh-CN"/>
            </w:rPr>
          </w:pPr>
          <w:r>
            <w:rPr>
              <w:color w:val="auto"/>
            </w:rPr>
            <w:fldChar w:fldCharType="begin"/>
          </w:r>
          <w:r>
            <w:rPr>
              <w:color w:val="auto"/>
            </w:rPr>
            <w:instrText xml:space="preserve"> HYPERLINK \l "_Toc75424412" </w:instrText>
          </w:r>
          <w:r>
            <w:rPr>
              <w:color w:val="auto"/>
            </w:rPr>
            <w:fldChar w:fldCharType="separate"/>
          </w:r>
          <w:r>
            <w:rPr>
              <w:rStyle w:val="14"/>
              <w:color w:val="auto"/>
              <w:kern w:val="44"/>
            </w:rPr>
            <w:t>第三篇</w:t>
          </w:r>
          <w:r>
            <w:rPr>
              <w:rStyle w:val="14"/>
              <w:rFonts w:ascii="等线" w:hAnsi="等线" w:eastAsia="等线"/>
              <w:color w:val="auto"/>
              <w:kern w:val="44"/>
            </w:rPr>
            <w:t xml:space="preserve"> </w:t>
          </w:r>
          <w:r>
            <w:rPr>
              <w:rStyle w:val="14"/>
              <w:rFonts w:hint="eastAsia"/>
              <w:color w:val="auto"/>
              <w:kern w:val="44"/>
            </w:rPr>
            <w:t>优化功能布局，建设一体都市</w:t>
          </w:r>
          <w:r>
            <w:rPr>
              <w:color w:val="auto"/>
            </w:rPr>
            <w:tab/>
          </w:r>
          <w:r>
            <w:rPr>
              <w:rFonts w:hint="eastAsia"/>
              <w:color w:val="auto"/>
              <w:lang w:val="en-US" w:eastAsia="zh-CN"/>
            </w:rPr>
            <w:t>3</w:t>
          </w:r>
          <w:r>
            <w:rPr>
              <w:color w:val="auto"/>
            </w:rPr>
            <w:fldChar w:fldCharType="end"/>
          </w:r>
          <w:r>
            <w:rPr>
              <w:rFonts w:hint="eastAsia"/>
              <w:color w:val="auto"/>
              <w:lang w:val="en-US" w:eastAsia="zh-CN"/>
            </w:rPr>
            <w:t>8</w:t>
          </w:r>
        </w:p>
        <w:p>
          <w:pPr>
            <w:pStyle w:val="10"/>
            <w:spacing w:line="360" w:lineRule="auto"/>
            <w:rPr>
              <w:rFonts w:hint="eastAsia" w:eastAsia="宋体" w:cs="宋体"/>
              <w:b w:val="0"/>
              <w:color w:val="auto"/>
              <w:sz w:val="21"/>
              <w:szCs w:val="22"/>
              <w:lang w:val="en-US" w:eastAsia="zh-CN"/>
            </w:rPr>
          </w:pPr>
          <w:r>
            <w:rPr>
              <w:color w:val="auto"/>
            </w:rPr>
            <w:fldChar w:fldCharType="begin"/>
          </w:r>
          <w:r>
            <w:rPr>
              <w:color w:val="auto"/>
            </w:rPr>
            <w:instrText xml:space="preserve"> HYPERLINK \l "_Toc75424413" </w:instrText>
          </w:r>
          <w:r>
            <w:rPr>
              <w:color w:val="auto"/>
            </w:rPr>
            <w:fldChar w:fldCharType="separate"/>
          </w:r>
          <w:r>
            <w:rPr>
              <w:rStyle w:val="14"/>
              <w:rFonts w:hint="eastAsia" w:cs="宋体"/>
              <w:bCs/>
              <w:color w:val="auto"/>
            </w:rPr>
            <w:t>第六章 功能布局与城乡融合</w:t>
          </w:r>
          <w:r>
            <w:rPr>
              <w:rFonts w:hint="eastAsia" w:cs="宋体"/>
              <w:color w:val="auto"/>
            </w:rPr>
            <w:tab/>
          </w:r>
          <w:r>
            <w:rPr>
              <w:rFonts w:hint="eastAsia" w:cs="宋体"/>
              <w:color w:val="auto"/>
              <w:lang w:val="en-US" w:eastAsia="zh-CN"/>
            </w:rPr>
            <w:t>3</w:t>
          </w:r>
          <w:r>
            <w:rPr>
              <w:rFonts w:hint="eastAsia" w:cs="宋体"/>
              <w:color w:val="auto"/>
            </w:rPr>
            <w:fldChar w:fldCharType="end"/>
          </w:r>
          <w:r>
            <w:rPr>
              <w:rFonts w:hint="eastAsia" w:cs="宋体"/>
              <w:color w:val="auto"/>
              <w:lang w:val="en-US" w:eastAsia="zh-CN"/>
            </w:rPr>
            <w:t>8</w:t>
          </w:r>
        </w:p>
        <w:p>
          <w:pPr>
            <w:pStyle w:val="5"/>
            <w:spacing w:line="360" w:lineRule="auto"/>
            <w:rPr>
              <w:rStyle w:val="14"/>
              <w:rFonts w:eastAsia="楷体"/>
              <w:bCs/>
              <w:color w:val="auto"/>
            </w:rPr>
          </w:pPr>
          <w:r>
            <w:rPr>
              <w:color w:val="auto"/>
            </w:rPr>
            <w:fldChar w:fldCharType="begin"/>
          </w:r>
          <w:r>
            <w:rPr>
              <w:color w:val="auto"/>
            </w:rPr>
            <w:instrText xml:space="preserve"> HYPERLINK \l "_Toc75424414" </w:instrText>
          </w:r>
          <w:r>
            <w:rPr>
              <w:color w:val="auto"/>
            </w:rPr>
            <w:fldChar w:fldCharType="separate"/>
          </w:r>
          <w:r>
            <w:rPr>
              <w:rStyle w:val="14"/>
              <w:rFonts w:eastAsia="楷体"/>
              <w:bCs/>
              <w:color w:val="auto"/>
            </w:rPr>
            <w:t xml:space="preserve">第一节 </w:t>
          </w:r>
          <w:r>
            <w:rPr>
              <w:rStyle w:val="14"/>
              <w:rFonts w:hint="eastAsia" w:eastAsia="楷体"/>
              <w:bCs/>
              <w:color w:val="auto"/>
            </w:rPr>
            <w:t>把握区位和资源禀赋，统筹功能和空间布局</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_Toc75424414 \h </w:instrText>
          </w:r>
          <w:r>
            <w:rPr>
              <w:rStyle w:val="14"/>
              <w:rFonts w:eastAsia="楷体"/>
              <w:bCs/>
              <w:color w:val="auto"/>
            </w:rPr>
            <w:fldChar w:fldCharType="separate"/>
          </w:r>
          <w:r>
            <w:rPr>
              <w:rStyle w:val="14"/>
              <w:rFonts w:eastAsia="楷体"/>
              <w:bCs/>
              <w:color w:val="auto"/>
            </w:rPr>
            <w:t>42</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"_Toc75424415" </w:instrText>
          </w:r>
          <w:r>
            <w:rPr>
              <w:color w:val="auto"/>
            </w:rPr>
            <w:fldChar w:fldCharType="separate"/>
          </w:r>
          <w:r>
            <w:rPr>
              <w:rStyle w:val="14"/>
              <w:rFonts w:eastAsia="楷体"/>
              <w:bCs/>
              <w:color w:val="auto"/>
            </w:rPr>
            <w:t xml:space="preserve">第二节 </w:t>
          </w:r>
          <w:r>
            <w:rPr>
              <w:rStyle w:val="14"/>
              <w:rFonts w:hint="eastAsia" w:eastAsia="楷体"/>
              <w:bCs/>
              <w:color w:val="auto"/>
            </w:rPr>
            <w:t>统筹一体化交通建设，构建生态带形都市框架</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_Toc75424415 \h </w:instrText>
          </w:r>
          <w:r>
            <w:rPr>
              <w:rStyle w:val="14"/>
              <w:rFonts w:eastAsia="楷体"/>
              <w:bCs/>
              <w:color w:val="auto"/>
            </w:rPr>
            <w:fldChar w:fldCharType="separate"/>
          </w:r>
          <w:r>
            <w:rPr>
              <w:rStyle w:val="14"/>
              <w:rFonts w:eastAsia="楷体"/>
              <w:bCs/>
              <w:color w:val="auto"/>
            </w:rPr>
            <w:t>38</w:t>
          </w:r>
          <w:r>
            <w:rPr>
              <w:rStyle w:val="14"/>
              <w:rFonts w:eastAsia="楷体"/>
              <w:bCs/>
              <w:color w:val="auto"/>
            </w:rPr>
            <w:fldChar w:fldCharType="end"/>
          </w:r>
          <w:r>
            <w:rPr>
              <w:rStyle w:val="14"/>
              <w:rFonts w:eastAsia="楷体"/>
              <w:bCs/>
              <w:color w:val="auto"/>
            </w:rPr>
            <w:fldChar w:fldCharType="end"/>
          </w:r>
          <w:r>
            <w:rPr>
              <w:rStyle w:val="14"/>
              <w:rFonts w:hint="eastAsia" w:eastAsia="楷体"/>
              <w:bCs/>
              <w:color w:val="auto"/>
              <w:lang w:val="en-US" w:eastAsia="zh-CN"/>
            </w:rPr>
            <w:t>2</w:t>
          </w:r>
        </w:p>
        <w:p>
          <w:pPr>
            <w:pStyle w:val="10"/>
            <w:spacing w:line="360" w:lineRule="auto"/>
            <w:rPr>
              <w:rFonts w:hint="default"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"_Toc75424417" </w:instrText>
          </w:r>
          <w:r>
            <w:rPr>
              <w:color w:val="auto"/>
            </w:rPr>
            <w:fldChar w:fldCharType="separate"/>
          </w:r>
          <w:r>
            <w:rPr>
              <w:rStyle w:val="14"/>
              <w:color w:val="auto"/>
            </w:rPr>
            <w:t xml:space="preserve">第七章 </w:t>
          </w:r>
          <w:r>
            <w:rPr>
              <w:rStyle w:val="14"/>
              <w:rFonts w:hint="eastAsia"/>
              <w:color w:val="auto"/>
            </w:rPr>
            <w:t>资源配置与品质提升</w:t>
          </w:r>
          <w:r>
            <w:rPr>
              <w:color w:val="auto"/>
            </w:rPr>
            <w:tab/>
          </w:r>
          <w:r>
            <w:rPr>
              <w:rFonts w:hint="eastAsia"/>
              <w:color w:val="auto"/>
            </w:rPr>
            <w:fldChar w:fldCharType="end"/>
          </w:r>
          <w:r>
            <w:rPr>
              <w:rFonts w:hint="eastAsia"/>
              <w:color w:val="auto"/>
              <w:lang w:val="en-US" w:eastAsia="zh-CN"/>
            </w:rPr>
            <w:t>46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"_Toc75424418" </w:instrText>
          </w:r>
          <w:r>
            <w:rPr>
              <w:color w:val="auto"/>
            </w:rPr>
            <w:fldChar w:fldCharType="separate"/>
          </w:r>
          <w:r>
            <w:rPr>
              <w:rStyle w:val="14"/>
              <w:rFonts w:eastAsia="楷体"/>
              <w:bCs/>
              <w:color w:val="auto"/>
            </w:rPr>
            <w:t xml:space="preserve">第一节 </w:t>
          </w:r>
          <w:r>
            <w:rPr>
              <w:rStyle w:val="14"/>
              <w:rFonts w:hint="eastAsia" w:eastAsia="楷体"/>
              <w:bCs/>
              <w:color w:val="auto"/>
            </w:rPr>
            <w:t>鼓励侨胞侨资办学，提高教育供给能力</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46</w:t>
          </w:r>
        </w:p>
        <w:p>
          <w:pPr>
            <w:pStyle w:val="5"/>
            <w:spacing w:line="360" w:lineRule="auto"/>
            <w:rPr>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5"/>
            <w:spacing w:line="360" w:lineRule="auto"/>
            <w:rPr>
              <w:rStyle w:val="14"/>
              <w:rFonts w:eastAsia="楷体"/>
              <w:bCs/>
              <w:color w:val="auto"/>
            </w:rPr>
          </w:pPr>
          <w:r>
            <w:rPr>
              <w:color w:val="auto"/>
            </w:rPr>
            <w:fldChar w:fldCharType="begin"/>
          </w:r>
          <w:r>
            <w:rPr>
              <w:color w:val="auto"/>
            </w:rPr>
            <w:instrText xml:space="preserve"> HYPERLINK \l "_Toc75424419" </w:instrText>
          </w:r>
          <w:r>
            <w:rPr>
              <w:color w:val="auto"/>
            </w:rPr>
            <w:fldChar w:fldCharType="separate"/>
          </w:r>
          <w:r>
            <w:rPr>
              <w:rStyle w:val="14"/>
              <w:rFonts w:eastAsia="楷体"/>
              <w:bCs/>
              <w:color w:val="auto"/>
            </w:rPr>
            <w:t xml:space="preserve">第二节 </w:t>
          </w:r>
          <w:r>
            <w:rPr>
              <w:rStyle w:val="14"/>
              <w:rFonts w:hint="eastAsia" w:eastAsia="楷体"/>
              <w:bCs/>
              <w:color w:val="auto"/>
            </w:rPr>
            <w:t>优化医疗卫生资源分布，提升市域人民生活品质</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_Toc75424419 \h </w:instrText>
          </w:r>
          <w:r>
            <w:rPr>
              <w:rStyle w:val="14"/>
              <w:rFonts w:eastAsia="楷体"/>
              <w:bCs/>
              <w:color w:val="auto"/>
            </w:rPr>
            <w:fldChar w:fldCharType="separate"/>
          </w:r>
          <w:r>
            <w:rPr>
              <w:rStyle w:val="14"/>
              <w:rFonts w:eastAsia="楷体"/>
              <w:bCs/>
              <w:color w:val="auto"/>
            </w:rPr>
            <w:t>49</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"_Toc75424420" </w:instrText>
          </w:r>
          <w:r>
            <w:rPr>
              <w:color w:val="auto"/>
            </w:rPr>
            <w:fldChar w:fldCharType="separate"/>
          </w:r>
          <w:r>
            <w:rPr>
              <w:rStyle w:val="14"/>
              <w:rFonts w:eastAsia="楷体"/>
              <w:bCs/>
              <w:color w:val="auto"/>
            </w:rPr>
            <w:t xml:space="preserve">第三节 </w:t>
          </w:r>
          <w:r>
            <w:rPr>
              <w:rStyle w:val="14"/>
              <w:rFonts w:hint="eastAsia" w:eastAsia="楷体"/>
              <w:bCs/>
              <w:color w:val="auto"/>
            </w:rPr>
            <w:t>加快城乡市政设施建设，促进城乡一体化发展</w:t>
          </w:r>
          <w:r>
            <w:rPr>
              <w:rStyle w:val="14"/>
              <w:rFonts w:eastAsia="楷体"/>
              <w:bCs/>
              <w:color w:val="auto"/>
            </w:rPr>
            <w:tab/>
          </w:r>
          <w:r>
            <w:rPr>
              <w:rStyle w:val="14"/>
              <w:rFonts w:hint="eastAsia" w:eastAsia="楷体"/>
              <w:bCs/>
              <w:color w:val="auto"/>
              <w:lang w:val="en-US" w:eastAsia="zh-CN"/>
            </w:rPr>
            <w:t>5</w:t>
          </w:r>
          <w:r>
            <w:rPr>
              <w:rStyle w:val="14"/>
              <w:rFonts w:eastAsia="楷体"/>
              <w:bCs/>
              <w:color w:val="auto"/>
            </w:rPr>
            <w:fldChar w:fldCharType="end"/>
          </w:r>
          <w:r>
            <w:rPr>
              <w:rStyle w:val="14"/>
              <w:rFonts w:hint="eastAsia" w:eastAsia="楷体"/>
              <w:bCs/>
              <w:color w:val="auto"/>
              <w:lang w:val="en-US" w:eastAsia="zh-CN"/>
            </w:rPr>
            <w:t>2</w:t>
          </w:r>
        </w:p>
        <w:p>
          <w:pPr>
            <w:pStyle w:val="9"/>
            <w:spacing w:line="360" w:lineRule="auto"/>
            <w:rPr>
              <w:rFonts w:hint="default" w:eastAsia="黑体" w:asciiTheme="minorHAnsi" w:hAnsiTheme="minorHAnsi"/>
              <w:color w:val="auto"/>
              <w:sz w:val="21"/>
              <w:szCs w:val="22"/>
              <w:lang w:val="en-US" w:eastAsia="zh-CN"/>
            </w:rPr>
          </w:pPr>
          <w:r>
            <w:rPr>
              <w:color w:val="auto"/>
            </w:rPr>
            <w:fldChar w:fldCharType="begin"/>
          </w:r>
          <w:r>
            <w:rPr>
              <w:color w:val="auto"/>
            </w:rPr>
            <w:instrText xml:space="preserve"> HYPERLINK \l "_Toc75424421" </w:instrText>
          </w:r>
          <w:r>
            <w:rPr>
              <w:color w:val="auto"/>
            </w:rPr>
            <w:fldChar w:fldCharType="separate"/>
          </w:r>
          <w:r>
            <w:rPr>
              <w:rStyle w:val="14"/>
              <w:color w:val="auto"/>
            </w:rPr>
            <w:t>第四篇</w:t>
          </w:r>
          <w:r>
            <w:rPr>
              <w:rStyle w:val="14"/>
              <w:rFonts w:ascii="Times New Roman" w:hAnsi="Times New Roman" w:eastAsia="宋体" w:cs="Times New Roman"/>
              <w:color w:val="auto"/>
            </w:rPr>
            <w:t xml:space="preserve"> </w:t>
          </w:r>
          <w:r>
            <w:rPr>
              <w:rStyle w:val="14"/>
              <w:rFonts w:hint="eastAsia"/>
              <w:color w:val="auto"/>
            </w:rPr>
            <w:t>突出文化引领，打造精致汕头</w:t>
          </w:r>
          <w:r>
            <w:rPr>
              <w:color w:val="auto"/>
            </w:rPr>
            <w:tab/>
          </w:r>
          <w:r>
            <w:rPr>
              <w:rFonts w:hint="eastAsia"/>
              <w:color w:val="auto"/>
            </w:rPr>
            <w:fldChar w:fldCharType="end"/>
          </w:r>
          <w:r>
            <w:rPr>
              <w:rFonts w:hint="eastAsia"/>
              <w:color w:val="auto"/>
              <w:lang w:val="en-US" w:eastAsia="zh-CN"/>
            </w:rPr>
            <w:t>55</w:t>
          </w:r>
        </w:p>
        <w:p>
          <w:pPr>
            <w:pStyle w:val="10"/>
            <w:spacing w:line="360" w:lineRule="auto"/>
            <w:ind w:left="902" w:hanging="482" w:hangingChars="200"/>
            <w:rPr>
              <w:rFonts w:hint="default" w:eastAsia="宋体" w:asciiTheme="minorHAnsi" w:hAnsiTheme="minorHAnsi"/>
              <w:b w:val="0"/>
              <w:color w:val="auto"/>
              <w:sz w:val="21"/>
              <w:szCs w:val="22"/>
              <w:lang w:val="en-US" w:eastAsia="zh-CN"/>
            </w:rPr>
          </w:pPr>
          <w:r>
            <w:rPr>
              <w:color w:val="auto"/>
            </w:rPr>
            <w:fldChar w:fldCharType="begin"/>
          </w:r>
          <w:r>
            <w:rPr>
              <w:color w:val="auto"/>
            </w:rPr>
            <w:instrText xml:space="preserve"> HYPERLINK \l "_Toc75424422" </w:instrText>
          </w:r>
          <w:r>
            <w:rPr>
              <w:color w:val="auto"/>
            </w:rPr>
            <w:fldChar w:fldCharType="separate"/>
          </w:r>
          <w:r>
            <w:rPr>
              <w:rStyle w:val="14"/>
              <w:color w:val="auto"/>
            </w:rPr>
            <w:t xml:space="preserve">第八章 </w:t>
          </w:r>
          <w:r>
            <w:rPr>
              <w:rStyle w:val="14"/>
              <w:rFonts w:hint="eastAsia"/>
              <w:color w:val="auto"/>
            </w:rPr>
            <w:t>潮汕文化与宜居城乡</w:t>
          </w:r>
          <w:r>
            <w:rPr>
              <w:color w:val="auto"/>
            </w:rPr>
            <w:tab/>
          </w:r>
          <w:r>
            <w:rPr>
              <w:rFonts w:hint="eastAsia"/>
              <w:color w:val="auto"/>
            </w:rPr>
            <w:fldChar w:fldCharType="end"/>
          </w:r>
          <w:r>
            <w:rPr>
              <w:rFonts w:hint="eastAsia"/>
              <w:color w:val="auto"/>
              <w:lang w:val="en-US" w:eastAsia="zh-CN"/>
            </w:rPr>
            <w:t>55</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"_Toc75424423" </w:instrText>
          </w:r>
          <w:r>
            <w:rPr>
              <w:color w:val="auto"/>
            </w:rPr>
            <w:fldChar w:fldCharType="separate"/>
          </w:r>
          <w:r>
            <w:rPr>
              <w:rStyle w:val="14"/>
              <w:rFonts w:eastAsia="楷体"/>
              <w:bCs/>
              <w:color w:val="auto"/>
            </w:rPr>
            <w:t xml:space="preserve">第一节 </w:t>
          </w:r>
          <w:r>
            <w:rPr>
              <w:rStyle w:val="14"/>
              <w:rFonts w:hint="eastAsia" w:eastAsia="楷体"/>
              <w:bCs/>
              <w:color w:val="auto"/>
            </w:rPr>
            <w:t>改善城乡人居环境，提升城乡生活品质</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55</w:t>
          </w:r>
        </w:p>
        <w:p>
          <w:pPr>
            <w:pStyle w:val="5"/>
            <w:spacing w:line="360" w:lineRule="auto"/>
            <w:rPr>
              <w:rStyle w:val="14"/>
              <w:rFonts w:hint="eastAsia" w:eastAsia="楷体"/>
              <w:bCs/>
              <w:color w:val="auto"/>
              <w:lang w:eastAsia="zh-CN"/>
            </w:rPr>
          </w:pPr>
          <w:r>
            <w:rPr>
              <w:color w:val="auto"/>
            </w:rPr>
            <w:fldChar w:fldCharType="begin"/>
          </w:r>
          <w:r>
            <w:rPr>
              <w:color w:val="auto"/>
            </w:rPr>
            <w:instrText xml:space="preserve"> HYPERLINK \l "_Toc75424424" </w:instrText>
          </w:r>
          <w:r>
            <w:rPr>
              <w:color w:val="auto"/>
            </w:rPr>
            <w:fldChar w:fldCharType="separate"/>
          </w:r>
          <w:r>
            <w:rPr>
              <w:rStyle w:val="14"/>
              <w:rFonts w:eastAsia="楷体"/>
              <w:bCs/>
              <w:color w:val="auto"/>
            </w:rPr>
            <w:t xml:space="preserve">第二节 </w:t>
          </w:r>
          <w:r>
            <w:rPr>
              <w:rStyle w:val="14"/>
              <w:rFonts w:hint="eastAsia" w:eastAsia="楷体"/>
              <w:bCs/>
              <w:color w:val="auto"/>
            </w:rPr>
            <w:t>多措并举多元共促，优化住房供给结构</w:t>
          </w:r>
          <w:r>
            <w:rPr>
              <w:rStyle w:val="14"/>
              <w:rFonts w:eastAsia="楷体"/>
              <w:bCs/>
              <w:color w:val="auto"/>
            </w:rPr>
            <w:tab/>
          </w:r>
          <w:r>
            <w:rPr>
              <w:rStyle w:val="14"/>
              <w:rFonts w:hint="eastAsia" w:eastAsia="楷体"/>
              <w:bCs/>
              <w:color w:val="auto"/>
            </w:rPr>
            <w:t>5</w:t>
          </w:r>
          <w:r>
            <w:rPr>
              <w:rStyle w:val="14"/>
              <w:rFonts w:hint="eastAsia" w:eastAsia="楷体"/>
              <w:bCs/>
              <w:color w:val="auto"/>
            </w:rPr>
            <w:fldChar w:fldCharType="end"/>
          </w:r>
          <w:r>
            <w:rPr>
              <w:rStyle w:val="14"/>
              <w:rFonts w:hint="eastAsia" w:eastAsia="楷体"/>
              <w:bCs/>
              <w:color w:val="auto"/>
              <w:lang w:val="en-US" w:eastAsia="zh-CN"/>
            </w:rPr>
            <w:t>9</w:t>
          </w:r>
        </w:p>
        <w:p>
          <w:pPr>
            <w:pStyle w:val="5"/>
            <w:spacing w:line="360" w:lineRule="auto"/>
            <w:rPr>
              <w:rStyle w:val="14"/>
              <w:rFonts w:hint="eastAsia" w:eastAsia="楷体"/>
              <w:bCs/>
              <w:color w:val="auto"/>
              <w:lang w:val="en-US" w:eastAsia="zh-CN"/>
            </w:rPr>
          </w:pPr>
          <w:r>
            <w:rPr>
              <w:color w:val="auto"/>
            </w:rPr>
            <w:fldChar w:fldCharType="begin"/>
          </w:r>
          <w:r>
            <w:rPr>
              <w:color w:val="auto"/>
            </w:rPr>
            <w:instrText xml:space="preserve"> HYPERLINK \l "_Toc75424425" </w:instrText>
          </w:r>
          <w:r>
            <w:rPr>
              <w:color w:val="auto"/>
            </w:rPr>
            <w:fldChar w:fldCharType="separate"/>
          </w:r>
          <w:r>
            <w:rPr>
              <w:rStyle w:val="14"/>
              <w:rFonts w:eastAsia="楷体"/>
              <w:bCs/>
              <w:color w:val="auto"/>
            </w:rPr>
            <w:t xml:space="preserve">第三节 </w:t>
          </w:r>
          <w:r>
            <w:rPr>
              <w:rStyle w:val="14"/>
              <w:rFonts w:hint="eastAsia" w:eastAsia="楷体"/>
              <w:bCs/>
              <w:color w:val="auto"/>
            </w:rPr>
            <w:t>保育活化城乡历史文化，打造汕头文化魅力空间</w:t>
          </w:r>
          <w:r>
            <w:rPr>
              <w:rStyle w:val="14"/>
              <w:rFonts w:eastAsia="楷体"/>
              <w:bCs/>
              <w:color w:val="auto"/>
            </w:rPr>
            <w:tab/>
          </w:r>
          <w:r>
            <w:rPr>
              <w:rStyle w:val="14"/>
              <w:rFonts w:hint="eastAsia" w:eastAsia="楷体"/>
              <w:bCs/>
              <w:color w:val="auto"/>
              <w:lang w:val="en-US" w:eastAsia="zh-CN"/>
            </w:rPr>
            <w:t>6</w:t>
          </w:r>
          <w:r>
            <w:rPr>
              <w:rStyle w:val="14"/>
              <w:rFonts w:eastAsia="楷体"/>
              <w:bCs/>
              <w:color w:val="auto"/>
            </w:rPr>
            <w:fldChar w:fldCharType="end"/>
          </w:r>
          <w:r>
            <w:rPr>
              <w:rStyle w:val="14"/>
              <w:rFonts w:hint="eastAsia" w:eastAsia="楷体"/>
              <w:bCs/>
              <w:color w:val="auto"/>
              <w:lang w:val="en-US" w:eastAsia="zh-CN"/>
            </w:rPr>
            <w:t>1</w:t>
          </w:r>
        </w:p>
        <w:p>
          <w:pPr>
            <w:pStyle w:val="5"/>
            <w:spacing w:line="360" w:lineRule="auto"/>
            <w:rPr>
              <w:rStyle w:val="14"/>
              <w:rFonts w:eastAsia="楷体"/>
              <w:bCs/>
              <w:color w:val="auto"/>
            </w:rPr>
          </w:pPr>
          <w:r>
            <w:rPr>
              <w:color w:val="auto"/>
            </w:rPr>
            <w:fldChar w:fldCharType="begin"/>
          </w:r>
          <w:r>
            <w:rPr>
              <w:color w:val="auto"/>
            </w:rPr>
            <w:instrText xml:space="preserve"> HYPERLINK \l "_Toc75424426" </w:instrText>
          </w:r>
          <w:r>
            <w:rPr>
              <w:color w:val="auto"/>
            </w:rPr>
            <w:fldChar w:fldCharType="separate"/>
          </w:r>
          <w:r>
            <w:rPr>
              <w:rStyle w:val="14"/>
              <w:rFonts w:eastAsia="楷体"/>
              <w:bCs/>
              <w:color w:val="auto"/>
            </w:rPr>
            <w:t xml:space="preserve">第四节 </w:t>
          </w:r>
          <w:r>
            <w:rPr>
              <w:rStyle w:val="14"/>
              <w:rFonts w:hint="eastAsia" w:eastAsia="楷体"/>
              <w:bCs/>
              <w:color w:val="auto"/>
            </w:rPr>
            <w:t>微易更新城市空间，打造精致友好汕头</w:t>
          </w:r>
          <w:r>
            <w:rPr>
              <w:rStyle w:val="14"/>
              <w:rFonts w:eastAsia="楷体"/>
              <w:bCs/>
              <w:color w:val="auto"/>
            </w:rPr>
            <w:tab/>
          </w:r>
          <w:r>
            <w:rPr>
              <w:rStyle w:val="14"/>
              <w:rFonts w:eastAsia="楷体"/>
              <w:bCs/>
              <w:color w:val="auto"/>
            </w:rPr>
            <w:fldChar w:fldCharType="begin"/>
          </w:r>
          <w:r>
            <w:rPr>
              <w:rStyle w:val="14"/>
              <w:rFonts w:eastAsia="楷体"/>
              <w:bCs/>
              <w:color w:val="auto"/>
            </w:rPr>
            <w:instrText xml:space="preserve"> PAGEREF _Toc75424426 \h </w:instrText>
          </w:r>
          <w:r>
            <w:rPr>
              <w:rStyle w:val="14"/>
              <w:rFonts w:eastAsia="楷体"/>
              <w:bCs/>
              <w:color w:val="auto"/>
            </w:rPr>
            <w:fldChar w:fldCharType="separate"/>
          </w:r>
          <w:r>
            <w:rPr>
              <w:rStyle w:val="14"/>
              <w:rFonts w:eastAsia="楷体"/>
              <w:bCs/>
              <w:color w:val="auto"/>
            </w:rPr>
            <w:t>63</w:t>
          </w:r>
          <w:r>
            <w:rPr>
              <w:rStyle w:val="14"/>
              <w:rFonts w:eastAsia="楷体"/>
              <w:bCs/>
              <w:color w:val="auto"/>
            </w:rPr>
            <w:fldChar w:fldCharType="end"/>
          </w:r>
          <w:r>
            <w:rPr>
              <w:rStyle w:val="14"/>
              <w:rFonts w:eastAsia="楷体"/>
              <w:bCs/>
              <w:color w:val="auto"/>
            </w:rPr>
            <w:fldChar w:fldCharType="end"/>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"_Toc75424427" </w:instrText>
          </w:r>
          <w:r>
            <w:rPr>
              <w:color w:val="auto"/>
            </w:rPr>
            <w:fldChar w:fldCharType="separate"/>
          </w:r>
          <w:r>
            <w:rPr>
              <w:rStyle w:val="14"/>
              <w:rFonts w:eastAsia="楷体"/>
              <w:bCs/>
              <w:color w:val="auto"/>
            </w:rPr>
            <w:t xml:space="preserve">第五节 </w:t>
          </w:r>
          <w:r>
            <w:rPr>
              <w:rStyle w:val="14"/>
              <w:rFonts w:hint="eastAsia" w:eastAsia="楷体"/>
              <w:bCs/>
              <w:color w:val="auto"/>
            </w:rPr>
            <w:t>因地制宜建设特色示范村，塑造潮韵悠扬乡村风貌</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64</w:t>
          </w:r>
        </w:p>
        <w:p>
          <w:pPr>
            <w:pStyle w:val="10"/>
            <w:spacing w:line="360" w:lineRule="auto"/>
            <w:rPr>
              <w:rStyle w:val="14"/>
              <w:rFonts w:hint="default" w:eastAsia="宋体" w:cs="宋体"/>
              <w:bCs/>
              <w:color w:val="auto"/>
              <w:szCs w:val="24"/>
              <w:lang w:val="en-US" w:eastAsia="zh-CN"/>
            </w:rPr>
          </w:pPr>
          <w:r>
            <w:rPr>
              <w:color w:val="auto"/>
            </w:rPr>
            <w:fldChar w:fldCharType="begin"/>
          </w:r>
          <w:r>
            <w:rPr>
              <w:color w:val="auto"/>
            </w:rPr>
            <w:instrText xml:space="preserve"> HYPERLINK \l "_Toc75424428" </w:instrText>
          </w:r>
          <w:r>
            <w:rPr>
              <w:color w:val="auto"/>
            </w:rPr>
            <w:fldChar w:fldCharType="separate"/>
          </w:r>
          <w:r>
            <w:rPr>
              <w:rStyle w:val="14"/>
              <w:rFonts w:hint="eastAsia" w:cs="宋体"/>
              <w:bCs/>
              <w:color w:val="auto"/>
              <w:szCs w:val="24"/>
            </w:rPr>
            <w:t>第九章 生态环境与绿色汕头</w:t>
          </w:r>
          <w:r>
            <w:rPr>
              <w:rStyle w:val="14"/>
              <w:rFonts w:hint="eastAsia" w:cs="宋体"/>
              <w:bCs/>
              <w:color w:val="auto"/>
              <w:szCs w:val="24"/>
            </w:rPr>
            <w:tab/>
          </w:r>
          <w:r>
            <w:rPr>
              <w:rStyle w:val="14"/>
              <w:rFonts w:hint="eastAsia" w:cs="宋体"/>
              <w:bCs/>
              <w:color w:val="auto"/>
              <w:szCs w:val="24"/>
            </w:rPr>
            <w:fldChar w:fldCharType="end"/>
          </w:r>
          <w:r>
            <w:rPr>
              <w:rStyle w:val="14"/>
              <w:rFonts w:hint="eastAsia" w:cs="宋体"/>
              <w:bCs/>
              <w:color w:val="auto"/>
              <w:szCs w:val="24"/>
              <w:lang w:val="en-US" w:eastAsia="zh-CN"/>
            </w:rPr>
            <w:t>65</w:t>
          </w:r>
        </w:p>
        <w:p>
          <w:pPr>
            <w:pStyle w:val="5"/>
            <w:spacing w:line="360" w:lineRule="auto"/>
            <w:rPr>
              <w:rStyle w:val="14"/>
              <w:rFonts w:eastAsia="楷体"/>
              <w:bCs/>
              <w:color w:val="auto"/>
            </w:rPr>
          </w:pPr>
          <w:r>
            <w:rPr>
              <w:color w:val="auto"/>
            </w:rPr>
            <w:fldChar w:fldCharType="begin"/>
          </w:r>
          <w:r>
            <w:rPr>
              <w:color w:val="auto"/>
            </w:rPr>
            <w:instrText xml:space="preserve"> HYPERLINK \l "_Toc75424429" </w:instrText>
          </w:r>
          <w:r>
            <w:rPr>
              <w:color w:val="auto"/>
            </w:rPr>
            <w:fldChar w:fldCharType="separate"/>
          </w:r>
          <w:r>
            <w:rPr>
              <w:rStyle w:val="14"/>
              <w:rFonts w:eastAsia="楷体"/>
              <w:bCs/>
              <w:color w:val="auto"/>
            </w:rPr>
            <w:t xml:space="preserve">第一节 </w:t>
          </w:r>
          <w:r>
            <w:rPr>
              <w:rStyle w:val="14"/>
              <w:rFonts w:hint="eastAsia" w:eastAsia="楷体"/>
              <w:bCs/>
              <w:color w:val="auto"/>
            </w:rPr>
            <w:t>加大环境整治力度，提升生态保护水平</w:t>
          </w:r>
          <w:r>
            <w:rPr>
              <w:rStyle w:val="14"/>
              <w:rFonts w:eastAsia="楷体"/>
              <w:bCs/>
              <w:color w:val="auto"/>
            </w:rPr>
            <w:tab/>
          </w:r>
          <w:r>
            <w:rPr>
              <w:rStyle w:val="14"/>
              <w:rFonts w:hint="eastAsia" w:eastAsia="楷体"/>
              <w:bCs/>
              <w:color w:val="auto"/>
              <w:lang w:val="en-US" w:eastAsia="zh-CN"/>
            </w:rPr>
            <w:t>6</w:t>
          </w:r>
          <w:r>
            <w:rPr>
              <w:rStyle w:val="14"/>
              <w:rFonts w:hint="eastAsia" w:eastAsia="楷体"/>
              <w:bCs/>
              <w:color w:val="auto"/>
            </w:rPr>
            <w:fldChar w:fldCharType="end"/>
          </w:r>
          <w:r>
            <w:rPr>
              <w:rStyle w:val="14"/>
              <w:rFonts w:hint="eastAsia" w:eastAsia="楷体"/>
              <w:bCs/>
              <w:color w:val="auto"/>
            </w:rPr>
            <w:t>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"_Toc75424430" </w:instrText>
          </w:r>
          <w:r>
            <w:rPr>
              <w:color w:val="auto"/>
            </w:rPr>
            <w:fldChar w:fldCharType="separate"/>
          </w:r>
          <w:r>
            <w:rPr>
              <w:rStyle w:val="14"/>
              <w:rFonts w:eastAsia="楷体"/>
              <w:bCs/>
              <w:color w:val="auto"/>
            </w:rPr>
            <w:t xml:space="preserve">第二节 </w:t>
          </w:r>
          <w:r>
            <w:rPr>
              <w:rStyle w:val="14"/>
              <w:rFonts w:hint="eastAsia" w:eastAsia="楷体"/>
              <w:bCs/>
              <w:color w:val="auto"/>
            </w:rPr>
            <w:t>加快推进生态惠民工程，倡导绿色生产生活方式</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67</w:t>
          </w:r>
        </w:p>
        <w:p>
          <w:pPr>
            <w:pStyle w:val="9"/>
            <w:spacing w:line="360" w:lineRule="auto"/>
            <w:rPr>
              <w:rStyle w:val="14"/>
              <w:rFonts w:cs="黑体"/>
              <w:color w:val="auto"/>
              <w:szCs w:val="28"/>
            </w:rPr>
          </w:pPr>
          <w:r>
            <w:rPr>
              <w:color w:val="auto"/>
            </w:rPr>
            <w:fldChar w:fldCharType="begin"/>
          </w:r>
          <w:r>
            <w:rPr>
              <w:color w:val="auto"/>
            </w:rPr>
            <w:instrText xml:space="preserve"> HYPERLINK \l "_Toc75424431" </w:instrText>
          </w:r>
          <w:r>
            <w:rPr>
              <w:color w:val="auto"/>
            </w:rPr>
            <w:fldChar w:fldCharType="separate"/>
          </w:r>
          <w:r>
            <w:rPr>
              <w:rStyle w:val="14"/>
              <w:rFonts w:hint="eastAsia" w:cs="黑体"/>
              <w:color w:val="auto"/>
              <w:szCs w:val="28"/>
            </w:rPr>
            <w:t>第五篇 创新机制体制，提供实施保障</w:t>
          </w:r>
          <w:r>
            <w:rPr>
              <w:rStyle w:val="14"/>
              <w:rFonts w:hint="eastAsia" w:cs="黑体"/>
              <w:color w:val="auto"/>
              <w:szCs w:val="28"/>
            </w:rPr>
            <w:tab/>
          </w:r>
          <w:r>
            <w:rPr>
              <w:rStyle w:val="14"/>
              <w:rFonts w:hint="eastAsia" w:cs="黑体"/>
              <w:color w:val="auto"/>
              <w:szCs w:val="28"/>
              <w:lang w:val="en-US" w:eastAsia="zh-CN"/>
            </w:rPr>
            <w:t>6</w:t>
          </w:r>
          <w:r>
            <w:rPr>
              <w:rStyle w:val="14"/>
              <w:rFonts w:hint="eastAsia" w:cs="黑体"/>
              <w:color w:val="auto"/>
              <w:szCs w:val="28"/>
            </w:rPr>
            <w:fldChar w:fldCharType="end"/>
          </w:r>
          <w:r>
            <w:rPr>
              <w:rStyle w:val="14"/>
              <w:rFonts w:hint="eastAsia" w:cs="黑体"/>
              <w:color w:val="auto"/>
              <w:szCs w:val="28"/>
            </w:rPr>
            <w:t>9</w:t>
          </w:r>
        </w:p>
        <w:p>
          <w:pPr>
            <w:pStyle w:val="10"/>
            <w:spacing w:line="360" w:lineRule="auto"/>
            <w:rPr>
              <w:color w:val="auto"/>
            </w:rPr>
          </w:pPr>
          <w:r>
            <w:rPr>
              <w:color w:val="auto"/>
            </w:rPr>
            <w:fldChar w:fldCharType="begin"/>
          </w:r>
          <w:r>
            <w:rPr>
              <w:color w:val="auto"/>
            </w:rPr>
            <w:instrText xml:space="preserve"> HYPERLINK \l "_Toc75424428" </w:instrText>
          </w:r>
          <w:r>
            <w:rPr>
              <w:color w:val="auto"/>
            </w:rPr>
            <w:fldChar w:fldCharType="separate"/>
          </w:r>
          <w:r>
            <w:rPr>
              <w:rStyle w:val="14"/>
              <w:rFonts w:hint="eastAsia" w:cs="宋体"/>
              <w:bCs/>
              <w:color w:val="auto"/>
              <w:szCs w:val="24"/>
            </w:rPr>
            <w:t>第十章 社会治理与政策保障</w:t>
          </w:r>
          <w:r>
            <w:rPr>
              <w:rStyle w:val="14"/>
              <w:rFonts w:hint="eastAsia" w:cs="宋体"/>
              <w:bCs/>
              <w:color w:val="auto"/>
              <w:szCs w:val="24"/>
            </w:rPr>
            <w:tab/>
          </w:r>
          <w:r>
            <w:rPr>
              <w:rStyle w:val="14"/>
              <w:rFonts w:hint="eastAsia" w:cs="宋体"/>
              <w:bCs/>
              <w:color w:val="auto"/>
              <w:szCs w:val="24"/>
              <w:lang w:val="en-US" w:eastAsia="zh-CN"/>
            </w:rPr>
            <w:t>6</w:t>
          </w:r>
          <w:r>
            <w:rPr>
              <w:rStyle w:val="14"/>
              <w:rFonts w:hint="eastAsia" w:cs="宋体"/>
              <w:bCs/>
              <w:color w:val="auto"/>
              <w:szCs w:val="24"/>
            </w:rPr>
            <w:fldChar w:fldCharType="end"/>
          </w:r>
          <w:r>
            <w:rPr>
              <w:rStyle w:val="14"/>
              <w:rFonts w:hint="eastAsia" w:cs="宋体"/>
              <w:bCs/>
              <w:color w:val="auto"/>
              <w:szCs w:val="24"/>
            </w:rPr>
            <w:t>9</w:t>
          </w:r>
        </w:p>
        <w:p>
          <w:pPr>
            <w:pStyle w:val="5"/>
            <w:spacing w:line="360" w:lineRule="auto"/>
            <w:rPr>
              <w:rStyle w:val="14"/>
              <w:rFonts w:eastAsia="楷体"/>
              <w:bCs/>
              <w:color w:val="auto"/>
            </w:rPr>
          </w:pPr>
          <w:r>
            <w:rPr>
              <w:color w:val="auto"/>
            </w:rPr>
            <w:fldChar w:fldCharType="begin"/>
          </w:r>
          <w:r>
            <w:rPr>
              <w:color w:val="auto"/>
            </w:rPr>
            <w:instrText xml:space="preserve"> HYPERLINK \l "_Toc75424432" </w:instrText>
          </w:r>
          <w:r>
            <w:rPr>
              <w:color w:val="auto"/>
            </w:rPr>
            <w:fldChar w:fldCharType="separate"/>
          </w:r>
          <w:r>
            <w:rPr>
              <w:rStyle w:val="14"/>
              <w:rFonts w:eastAsia="楷体"/>
              <w:bCs/>
              <w:color w:val="auto"/>
            </w:rPr>
            <w:t xml:space="preserve">第一节 </w:t>
          </w:r>
          <w:r>
            <w:rPr>
              <w:rStyle w:val="14"/>
              <w:rFonts w:hint="eastAsia" w:eastAsia="楷体"/>
              <w:bCs/>
              <w:color w:val="auto"/>
            </w:rPr>
            <w:t>创新社会治理方式，激发政府市场叠加效应</w:t>
          </w:r>
          <w:r>
            <w:rPr>
              <w:rStyle w:val="14"/>
              <w:rFonts w:eastAsia="楷体"/>
              <w:bCs/>
              <w:color w:val="auto"/>
            </w:rPr>
            <w:tab/>
          </w:r>
          <w:r>
            <w:rPr>
              <w:rStyle w:val="14"/>
              <w:rFonts w:hint="eastAsia" w:eastAsia="楷体"/>
              <w:bCs/>
              <w:color w:val="auto"/>
              <w:lang w:val="en-US" w:eastAsia="zh-CN"/>
            </w:rPr>
            <w:t>6</w:t>
          </w:r>
          <w:r>
            <w:rPr>
              <w:rStyle w:val="14"/>
              <w:rFonts w:hint="eastAsia" w:eastAsia="楷体"/>
              <w:bCs/>
              <w:color w:val="auto"/>
            </w:rPr>
            <w:fldChar w:fldCharType="end"/>
          </w:r>
          <w:r>
            <w:rPr>
              <w:rStyle w:val="14"/>
              <w:rFonts w:hint="eastAsia" w:eastAsia="楷体"/>
              <w:bCs/>
              <w:color w:val="auto"/>
            </w:rPr>
            <w:t>9</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"_Toc75424433" </w:instrText>
          </w:r>
          <w:r>
            <w:rPr>
              <w:color w:val="auto"/>
            </w:rPr>
            <w:fldChar w:fldCharType="separate"/>
          </w:r>
          <w:r>
            <w:rPr>
              <w:rStyle w:val="14"/>
              <w:rFonts w:eastAsia="楷体"/>
              <w:bCs/>
              <w:color w:val="auto"/>
            </w:rPr>
            <w:t xml:space="preserve">第二节 </w:t>
          </w:r>
          <w:r>
            <w:rPr>
              <w:rStyle w:val="14"/>
              <w:rFonts w:hint="eastAsia" w:eastAsia="楷体"/>
              <w:bCs/>
              <w:color w:val="auto"/>
            </w:rPr>
            <w:t>创新引侨聚侨机制，做大做强发展平台</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71</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"_Toc75424434" </w:instrText>
          </w:r>
          <w:r>
            <w:rPr>
              <w:color w:val="auto"/>
            </w:rPr>
            <w:fldChar w:fldCharType="separate"/>
          </w:r>
          <w:r>
            <w:rPr>
              <w:rStyle w:val="14"/>
              <w:rFonts w:eastAsia="楷体"/>
              <w:bCs/>
              <w:color w:val="auto"/>
            </w:rPr>
            <w:t xml:space="preserve">第三节 </w:t>
          </w:r>
          <w:r>
            <w:rPr>
              <w:rStyle w:val="14"/>
              <w:rFonts w:hint="eastAsia" w:eastAsia="楷体"/>
              <w:bCs/>
              <w:color w:val="auto"/>
            </w:rPr>
            <w:t>创新城乡融合机制体制，促进大汕头一体化发展</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74</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"_Toc75424435" </w:instrText>
          </w:r>
          <w:r>
            <w:rPr>
              <w:color w:val="auto"/>
            </w:rPr>
            <w:fldChar w:fldCharType="separate"/>
          </w:r>
          <w:r>
            <w:rPr>
              <w:rStyle w:val="14"/>
              <w:rFonts w:eastAsia="楷体"/>
              <w:bCs/>
              <w:color w:val="auto"/>
            </w:rPr>
            <w:t xml:space="preserve">第四节 </w:t>
          </w:r>
          <w:r>
            <w:rPr>
              <w:rStyle w:val="14"/>
              <w:rFonts w:hint="eastAsia" w:eastAsia="楷体"/>
              <w:bCs/>
              <w:color w:val="auto"/>
            </w:rPr>
            <w:t>创新生态和文化保护机制，建设绿色人文魅力家园</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76</w:t>
          </w:r>
        </w:p>
        <w:p>
          <w:pPr>
            <w:pStyle w:val="5"/>
            <w:spacing w:line="360" w:lineRule="auto"/>
            <w:rPr>
              <w:rStyle w:val="14"/>
              <w:rFonts w:hint="default" w:eastAsia="楷体"/>
              <w:bCs/>
              <w:color w:val="auto"/>
              <w:lang w:val="en-US" w:eastAsia="zh-CN"/>
            </w:rPr>
          </w:pPr>
          <w:r>
            <w:rPr>
              <w:color w:val="auto"/>
            </w:rPr>
            <w:fldChar w:fldCharType="begin"/>
          </w:r>
          <w:r>
            <w:rPr>
              <w:color w:val="auto"/>
            </w:rPr>
            <w:instrText xml:space="preserve"> HYPERLINK \l "_Toc75424436" </w:instrText>
          </w:r>
          <w:r>
            <w:rPr>
              <w:color w:val="auto"/>
            </w:rPr>
            <w:fldChar w:fldCharType="separate"/>
          </w:r>
          <w:r>
            <w:rPr>
              <w:rStyle w:val="14"/>
              <w:rFonts w:eastAsia="楷体"/>
              <w:bCs/>
              <w:color w:val="auto"/>
            </w:rPr>
            <w:t xml:space="preserve">第五节 </w:t>
          </w:r>
          <w:r>
            <w:rPr>
              <w:rStyle w:val="14"/>
              <w:rFonts w:hint="eastAsia" w:eastAsia="楷体"/>
              <w:bCs/>
              <w:color w:val="auto"/>
            </w:rPr>
            <w:t>创新社会治理方式，推进城市智慧管理</w:t>
          </w:r>
          <w:r>
            <w:rPr>
              <w:rStyle w:val="14"/>
              <w:rFonts w:eastAsia="楷体"/>
              <w:bCs/>
              <w:color w:val="auto"/>
            </w:rPr>
            <w:tab/>
          </w:r>
          <w:r>
            <w:rPr>
              <w:rStyle w:val="14"/>
              <w:rFonts w:hint="eastAsia" w:eastAsia="楷体"/>
              <w:bCs/>
              <w:color w:val="auto"/>
            </w:rPr>
            <w:fldChar w:fldCharType="end"/>
          </w:r>
          <w:r>
            <w:rPr>
              <w:rStyle w:val="14"/>
              <w:rFonts w:hint="eastAsia" w:eastAsia="楷体"/>
              <w:bCs/>
              <w:color w:val="auto"/>
              <w:lang w:val="en-US" w:eastAsia="zh-CN"/>
            </w:rPr>
            <w:t>78</w:t>
          </w:r>
        </w:p>
        <w:p>
          <w:pPr>
            <w:pStyle w:val="9"/>
            <w:spacing w:line="360" w:lineRule="auto"/>
            <w:rPr>
              <w:rStyle w:val="14"/>
              <w:rFonts w:hint="default" w:eastAsia="黑体" w:cs="黑体"/>
              <w:color w:val="auto"/>
              <w:szCs w:val="28"/>
              <w:lang w:val="en-US" w:eastAsia="zh-CN"/>
            </w:rPr>
          </w:pPr>
          <w:r>
            <w:rPr>
              <w:color w:val="auto"/>
            </w:rPr>
            <w:fldChar w:fldCharType="begin"/>
          </w:r>
          <w:r>
            <w:rPr>
              <w:color w:val="auto"/>
            </w:rPr>
            <w:instrText xml:space="preserve"> HYPERLINK \l "_Toc75424431" </w:instrText>
          </w:r>
          <w:r>
            <w:rPr>
              <w:color w:val="auto"/>
            </w:rPr>
            <w:fldChar w:fldCharType="separate"/>
          </w:r>
          <w:r>
            <w:rPr>
              <w:rStyle w:val="14"/>
              <w:rFonts w:hint="eastAsia" w:cs="黑体"/>
              <w:color w:val="auto"/>
              <w:szCs w:val="28"/>
            </w:rPr>
            <w:t>附表：具体行动计划与项目清单表</w:t>
          </w:r>
          <w:r>
            <w:rPr>
              <w:rStyle w:val="14"/>
              <w:rFonts w:hint="eastAsia" w:cs="黑体"/>
              <w:color w:val="auto"/>
              <w:szCs w:val="28"/>
            </w:rPr>
            <w:tab/>
          </w:r>
          <w:r>
            <w:rPr>
              <w:rStyle w:val="14"/>
              <w:rFonts w:hint="eastAsia" w:cs="黑体"/>
              <w:color w:val="auto"/>
              <w:szCs w:val="28"/>
            </w:rPr>
            <w:fldChar w:fldCharType="end"/>
          </w:r>
          <w:r>
            <w:rPr>
              <w:rStyle w:val="14"/>
              <w:rFonts w:hint="eastAsia" w:cs="黑体"/>
              <w:color w:val="auto"/>
              <w:szCs w:val="28"/>
              <w:lang w:val="en-US" w:eastAsia="zh-CN"/>
            </w:rPr>
            <w:t>80</w:t>
          </w:r>
        </w:p>
        <w:p>
          <w:pPr>
            <w:rPr>
              <w:color w:val="auto"/>
            </w:rPr>
          </w:pPr>
        </w:p>
        <w:p>
          <w:pPr>
            <w:rPr>
              <w:color w:val="auto"/>
            </w:rPr>
          </w:pPr>
          <w:r>
            <w:rPr>
              <w:b/>
              <w:bCs/>
              <w:color w:val="auto"/>
              <w:lang w:val="zh-CN"/>
            </w:rPr>
            <w:fldChar w:fldCharType="end"/>
          </w:r>
        </w:p>
      </w:sdtContent>
    </w:sdt>
    <w:p>
      <w:pPr>
        <w:widowControl/>
        <w:spacing w:line="600" w:lineRule="exact"/>
        <w:jc w:val="center"/>
        <w:rPr>
          <w:rFonts w:ascii="黑体" w:hAnsi="黑体" w:eastAsia="黑体" w:cs="黑体"/>
          <w:color w:val="auto"/>
          <w:spacing w:val="-6"/>
          <w:kern w:val="0"/>
          <w:sz w:val="36"/>
          <w:szCs w:val="36"/>
        </w:rPr>
        <w:sectPr>
          <w:footerReference r:id="rId5" w:type="default"/>
          <w:pgSz w:w="11906" w:h="16838"/>
          <w:pgMar w:top="1440" w:right="1800" w:bottom="1440" w:left="1800" w:header="851" w:footer="992" w:gutter="0"/>
          <w:pgNumType w:start="1"/>
          <w:cols w:space="425" w:num="1"/>
          <w:docGrid w:type="lines" w:linePitch="312" w:charSpace="0"/>
        </w:sectPr>
      </w:pPr>
    </w:p>
    <w:p>
      <w:pPr>
        <w:widowControl/>
        <w:spacing w:line="600" w:lineRule="exact"/>
        <w:jc w:val="center"/>
        <w:rPr>
          <w:rFonts w:ascii="方正舒体" w:hAnsi="方正舒体" w:eastAsia="方正舒体" w:cs="方正舒体"/>
          <w:b/>
          <w:bCs/>
          <w:color w:val="auto"/>
          <w:spacing w:val="-6"/>
          <w:kern w:val="0"/>
          <w:sz w:val="44"/>
          <w:szCs w:val="44"/>
        </w:rPr>
      </w:pPr>
      <w:r>
        <w:rPr>
          <w:rFonts w:hint="eastAsia" w:ascii="方正舒体" w:hAnsi="方正舒体" w:eastAsia="方正舒体" w:cs="方正舒体"/>
          <w:color w:val="auto"/>
          <w:spacing w:val="-6"/>
          <w:kern w:val="0"/>
          <w:sz w:val="44"/>
          <w:szCs w:val="44"/>
        </w:rPr>
        <w:t>前  言</w:t>
      </w:r>
    </w:p>
    <w:p>
      <w:pPr>
        <w:widowControl/>
        <w:spacing w:line="600" w:lineRule="exact"/>
        <w:jc w:val="center"/>
        <w:rPr>
          <w:rFonts w:ascii="黑体" w:hAnsi="黑体" w:eastAsia="黑体" w:cs="黑体"/>
          <w:b/>
          <w:bCs/>
          <w:color w:val="auto"/>
          <w:spacing w:val="-6"/>
          <w:kern w:val="0"/>
          <w:sz w:val="32"/>
          <w:szCs w:val="32"/>
        </w:rPr>
      </w:pP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“十四五”时期（2021-202</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年）是我国“两个一百年”奋斗目标的历史交汇期，是开启全面建设社会主义现代化新征程的重要机遇期，也是我市全面贯彻习近平总书记出席深圳经济特区建立40周年庆祝大会和视察广东、视察汕头重要讲话、重要指示精神，落实汕头市第十二次党代会战略部署，在全面建成小康社会的基础上以特区之为谋特区之变，奋力把经济特区办得更好、办得水平更高，努力实现迎头赶上的关键时期。</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在上述历史背景条件下，《汕头市新型城镇化“十四五”规划(2021-202</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年）》（以下简称“本规划”）的编制坚持以习近平新时代中国特色社会主义思想为指导，全面贯彻党的十九大和十九届二中、三中、四中、五中、六中全会和习近平总书记出席深圳经济特区建立40周年庆祝大会、视察广东、汕头重要讲话、重要指示精神，围绕落实汕头市第十二次党代会战略部署，以全局视野审视发展形势，统筹推进“五位一体”总体布局和协调推进“四个全面”战略布局，全面践行以人民为中心的发展思想，立足新发展阶段，贯彻新发展理念，构建新发展格局，坚定不移走“工业立市、产业强市”之路，完善新型城镇化方法路径，推动城乡协调发展，实现根植性发展、精致型开发、包容性增长。</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本规划以国家、广东省和汕头市国民经济和社会发展笫十四个五年规划和2035年远景目标纲要为依据，主要阐明汕头“十四五”时期城镇化的发展路径、目标和战略任务，统筹相关领域制度和政策创新，是指导全市新型城镇化发展的宏观性、战略性、基础性规划。</w:t>
      </w:r>
    </w:p>
    <w:p>
      <w:pPr>
        <w:widowControl/>
        <w:spacing w:line="560" w:lineRule="exact"/>
        <w:ind w:firstLine="616" w:firstLineChars="200"/>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本规划期限为2021至2025年。</w:t>
      </w:r>
    </w:p>
    <w:p>
      <w:pPr>
        <w:widowControl/>
        <w:spacing w:line="560" w:lineRule="exact"/>
        <w:ind w:firstLine="880" w:firstLineChars="200"/>
        <w:rPr>
          <w:color w:val="auto"/>
          <w:sz w:val="44"/>
          <w:szCs w:val="44"/>
        </w:rPr>
        <w:sectPr>
          <w:footerReference r:id="rId6" w:type="default"/>
          <w:pgSz w:w="11906" w:h="16838"/>
          <w:pgMar w:top="2268" w:right="1417" w:bottom="1701" w:left="1701" w:header="720" w:footer="1417" w:gutter="0"/>
          <w:pgNumType w:start="1"/>
          <w:cols w:space="0" w:num="1"/>
          <w:rtlGutter w:val="0"/>
          <w:docGrid w:type="lines" w:linePitch="312" w:charSpace="0"/>
        </w:sectPr>
      </w:pPr>
    </w:p>
    <w:p>
      <w:pPr>
        <w:pStyle w:val="2"/>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44"/>
        </w:rPr>
      </w:pPr>
      <w:bookmarkStart w:id="0" w:name="_Toc75424394"/>
      <w:r>
        <w:rPr>
          <w:rFonts w:hint="eastAsia"/>
          <w:b w:val="0"/>
          <w:bCs w:val="0"/>
          <w:color w:val="auto"/>
          <w:sz w:val="44"/>
        </w:rPr>
        <w:t>第一篇 把握发展要求，明确发展方向</w:t>
      </w:r>
      <w:bookmarkEnd w:id="0"/>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22"/>
          <w:szCs w:val="22"/>
        </w:rPr>
      </w:pPr>
      <w:bookmarkStart w:id="1" w:name="_Toc75424395"/>
      <w:r>
        <w:rPr>
          <w:rFonts w:hint="eastAsia"/>
          <w:b w:val="0"/>
          <w:bCs w:val="0"/>
          <w:color w:val="auto"/>
          <w:sz w:val="32"/>
          <w:szCs w:val="28"/>
        </w:rPr>
        <w:t xml:space="preserve">第一章 </w:t>
      </w:r>
      <w:r>
        <w:rPr>
          <w:b w:val="0"/>
          <w:bCs w:val="0"/>
          <w:color w:val="auto"/>
          <w:sz w:val="32"/>
          <w:szCs w:val="28"/>
        </w:rPr>
        <w:t>时代</w:t>
      </w:r>
      <w:r>
        <w:rPr>
          <w:rFonts w:hint="eastAsia"/>
          <w:b w:val="0"/>
          <w:bCs w:val="0"/>
          <w:color w:val="auto"/>
          <w:sz w:val="32"/>
          <w:szCs w:val="28"/>
        </w:rPr>
        <w:t>要求与</w:t>
      </w:r>
      <w:bookmarkEnd w:id="1"/>
      <w:r>
        <w:rPr>
          <w:rFonts w:hint="eastAsia"/>
          <w:b w:val="0"/>
          <w:bCs w:val="0"/>
          <w:color w:val="auto"/>
          <w:sz w:val="32"/>
          <w:szCs w:val="28"/>
        </w:rPr>
        <w:t>发展基础</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 w:name="_Toc75424396"/>
      <w:r>
        <w:rPr>
          <w:rFonts w:hint="eastAsia"/>
          <w:color w:val="auto"/>
        </w:rPr>
        <w:t>第一节 时代要求</w:t>
      </w:r>
      <w:bookmarkEnd w:id="2"/>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宏观层面看，“十四五”是我国全面建成小康社会、向笫二个百年奋斗目标进军的第一个五年，是开启中国特色社会主义建设新征程的第一个五年，中央、省委赋予汕头打造现代化沿海经济带重要发展极、建设省域副中心城市和新时代中国特色社会主义现代化活力经济特区的新目标、新定位、新使命，汕头迎来重大发展机遇，也面临艰巨的挑战。必须深入贯彻习近平总书记重要讲话、重要指示精神，以人民为中心，以改革为龙头，更加积极主动服务国家战略，落实省委部署，自觉在“两个一百年”、国内国际“双循环”的大背景下找准历史方位，以特色为抓手，做好“侨”文章，接轨宏观发展要求和区域发展机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中观层面看，作为粤东中心城市，汕头必须在“一核一带一区”区域发展格局中找准角色定位，抓住建设粤港澳大湾区和共建“一带一路”等重大机遇，根据新的发展要求并结合实际找准定位，扬长避短，以更大魄力、更高起点推进改革开放，主动担当区域发展职能，积极融入区域发展，在推进区域发展中实现自身的超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微观层面看，必须贯彻落实汕头市第十二次党代会战略部署，围绕今后五年打造高质量发展的活力特区、治理高效的法治城市、开放包容的文明窗口、绿色宜居的智慧都市、共同富裕的粤东明珠的奋斗目标，找准制约市域城乡发展的短板和突破口，实施工业立市、产业强市战略，全力以赴补齐工业发展短板，科学统筹和合理配置市域城乡发展资源，精准干预，有计划、有重点地推进新型城镇化发展，从系统和长远着眼解决市域城乡发展的热点难点问题，努力实现城乡品质的整体提升，促进汕头经济社会发展迈上新台阶。</w:t>
      </w:r>
    </w:p>
    <w:p>
      <w:pPr>
        <w:pageBreakBefore w:val="0"/>
        <w:kinsoku/>
        <w:wordWrap/>
        <w:overflowPunct/>
        <w:topLinePunct w:val="0"/>
        <w:autoSpaceDE/>
        <w:autoSpaceDN/>
        <w:bidi w:val="0"/>
        <w:adjustRightInd/>
        <w:snapToGrid/>
        <w:spacing w:line="600" w:lineRule="exact"/>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br w:type="page"/>
      </w:r>
    </w:p>
    <w:tbl>
      <w:tblPr>
        <w:tblStyle w:val="12"/>
        <w:tblW w:w="8893"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93" w:type="dxa"/>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24"/>
                <w:szCs w:val="32"/>
              </w:rPr>
              <w:t>政策解读专栏：“国家-省-市对新型城镇化的政策要求”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3" w:type="dxa"/>
          </w:tcPr>
          <w:p>
            <w:pPr>
              <w:widowControl/>
              <w:ind w:firstLine="480" w:firstLineChars="200"/>
              <w:rPr>
                <w:rFonts w:ascii="楷体" w:hAnsi="楷体" w:eastAsia="楷体" w:cs="楷体"/>
                <w:color w:val="auto"/>
                <w:kern w:val="0"/>
                <w:sz w:val="24"/>
                <w:szCs w:val="24"/>
              </w:rPr>
            </w:pPr>
            <w:r>
              <w:rPr>
                <w:rFonts w:hint="eastAsia" w:ascii="楷体" w:hAnsi="楷体" w:eastAsia="楷体" w:cs="楷体"/>
                <w:color w:val="auto"/>
                <w:kern w:val="0"/>
                <w:sz w:val="24"/>
                <w:szCs w:val="24"/>
              </w:rPr>
              <w:t>国家在《中共中央关于制定国民经济和社会发展第十四个五年规划和二〇三五年远景目标的建议》（下简称《建议》）中指出要推进以人为核心的新型城镇化，需重点从提升城市品质，保障住房健康供给，实现高质量市民化，建设推进现代化都市圈，推进以县城为重要载体的城镇化建设。《建议》中还指出要布局建设综合性国家科学中心和区域性创新高地，统筹推进现代化基础设施建设，繁荣发展文化事业和文化产业。发展县域经济，强化县城综合服务能力，统筹乡村发展，推进区域协调发展，共建“一带一路”高质量发展。</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国家发改委在《2020年新型城镇化建设和城乡融合发展重点任务》的通知指出，加快实施以促进人的城镇化为核心、提高质量为导向的新型城镇化战略，提高农业转移人口市民化质量，增强中心城市和城市群综合承载、资源优化配置能力，推进以县城为重要载体的新型城镇化建设，促进大中小城市和小城镇协调发展，提升城市治理水平，推进城乡融合发展，为全面建成小康社会提供有力支撑。</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广东省国民经济和社会发展第十四个五年规划和2035远景目标纲要》中指出：至规划期末，以人为核心的新型城镇化质量明显提高；城乡融合发展的体制机制和发展格局基本形成；城乡区域发展协调性明显增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广东创新城市建设行动（2021）中指出，要在汕头建设国家级新区和功能平台（汕头华侨经济文化合作试验区），省级新区和功能平台（汕头海湾新区），国家级高新技术产业开发区（汕头高新区）和省级合作区（汕潮揭临港空铁经济合作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汕头市国民经济和社会发展笫十四个五年规划和二〇三五年远景目标纲要》中指出汕头要建设高质量发展的新型活力特区，成为现代化沿海经济带重要发展极。高质量深度融入全省“一核一带一区”发展格局，高水平建设华侨试验区、汕头国家级高新区、汕头综合保税区、临港经济区，强化基础设施建设和临港产业布局，对接珠三角核心区和粤闽浙沿海城市群，带动汕潮揭都市圈加快发展，打造粤港澳大湾区辐射延伸区，支撑沿海经济带快速崛起，助推沿海经济带与大湾区高水平互动发展。加快转变经济发展方式，构建高能级现代化产业体系，提升全国性综合交通枢纽地位，强化教育、科技、医疗、文化、商贸功能，增强对汕潮揭都市圈的牵引带动能力，凸显现代化沿海经济带粤东明珠魅力，打造活力迸发、环境友好、文化交融、社会和美的省域副中心城市。对外发挥华侨资源在新一轮扩大对外开放的积极作用和独特优势。瞄准海上丝绸之路对后方服务基地的建设需求和海内外潮汕人发展需要，以爱国爱家的桑梓情怀为纽带，创新通侨联侨、聚侨惠侨服务机制，推进侨资侨智合作、华侨文化交流和侨团联谊融合，成为海上丝绸之路惠侨联侨重要门户，在引导新一代华侨参与现代化建设和在祖国统一及中外文化交流中发挥重要作用。</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汕头市提出贯彻新发展理念，紧扣高质量发展，以更大魄力、在更高起点上推进改革开放，积极融入国内大循环为主体、国内国际双循环相互促进的新发展格局，主动服务“一带一路”建设和粤港澳大湾区建设，推进与深圳的深度协作，推动汕头在新时代经济特区建设中迎头赶上，加快打造现代化沿海经济带重要发展极，把经济特区办得更好、办的水平更高，为实现广东在全面建设社会主义现代化国家新征程中走在全国前列，创造新的辉煌的总目标总定位作出新的更大贡献。</w:t>
            </w:r>
          </w:p>
          <w:p>
            <w:pPr>
              <w:widowControl/>
              <w:ind w:firstLine="480" w:firstLineChars="200"/>
              <w:rPr>
                <w:rFonts w:ascii="楷体" w:hAnsi="楷体" w:eastAsia="楷体" w:cs="楷体"/>
                <w:color w:val="auto"/>
                <w:kern w:val="0"/>
                <w:sz w:val="24"/>
                <w:szCs w:val="24"/>
              </w:rPr>
            </w:pPr>
            <w:r>
              <w:rPr>
                <w:rFonts w:hint="eastAsia" w:ascii="楷体" w:hAnsi="楷体" w:eastAsia="楷体" w:cs="楷体"/>
                <w:color w:val="auto"/>
                <w:kern w:val="0"/>
                <w:sz w:val="24"/>
                <w:szCs w:val="24"/>
              </w:rPr>
              <w:t>《汕头市第十二次党代会报告》明确今后五年工作的指导思想：全面落实“1+1+9”工作部署，深化实施“1146”工程，坚定不移走“工业立市、产业强市”之路，加快建设现代化活力经济特区，在新时代经济特区建设中迎头赶上，在广东新征程中走在全国前列，创造新的辉煌作出汕头应有的贡献。</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今后五年的奋斗目标：</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——打造高质量发展的活力特区；</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——打造治理高效的法治城市；</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——打造开放包容的文明窗口；</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——打造绿色宜居的智慧都市；</w:t>
            </w:r>
          </w:p>
          <w:p>
            <w:pPr>
              <w:widowControl/>
              <w:ind w:firstLine="480"/>
              <w:rPr>
                <w:rFonts w:ascii="楷体" w:hAnsi="楷体" w:eastAsia="楷体" w:cs="楷体"/>
                <w:color w:val="auto"/>
                <w:kern w:val="0"/>
                <w:sz w:val="24"/>
                <w:szCs w:val="24"/>
              </w:rPr>
            </w:pPr>
            <w:r>
              <w:rPr>
                <w:rFonts w:hint="eastAsia" w:ascii="楷体" w:hAnsi="楷体" w:eastAsia="楷体" w:cs="楷体"/>
                <w:color w:val="auto"/>
                <w:kern w:val="0"/>
                <w:sz w:val="24"/>
                <w:szCs w:val="24"/>
              </w:rPr>
              <w:t>——打造共同富裕的粤东明珠。</w:t>
            </w:r>
          </w:p>
        </w:tc>
      </w:tr>
    </w:tbl>
    <w:p>
      <w:pPr>
        <w:pStyle w:val="4"/>
        <w:pageBreakBefore w:val="0"/>
        <w:kinsoku/>
        <w:wordWrap/>
        <w:overflowPunct/>
        <w:topLinePunct w:val="0"/>
        <w:autoSpaceDE/>
        <w:autoSpaceDN/>
        <w:bidi w:val="0"/>
        <w:adjustRightInd/>
        <w:snapToGrid/>
        <w:spacing w:line="600" w:lineRule="exact"/>
        <w:textAlignment w:val="auto"/>
        <w:rPr>
          <w:color w:val="auto"/>
        </w:rPr>
      </w:pPr>
      <w:bookmarkStart w:id="3" w:name="_Toc75424397"/>
      <w:r>
        <w:rPr>
          <w:rFonts w:hint="eastAsia"/>
          <w:color w:val="auto"/>
        </w:rPr>
        <w:t>第二节</w:t>
      </w:r>
      <w:bookmarkEnd w:id="3"/>
      <w:r>
        <w:rPr>
          <w:rFonts w:hint="eastAsia"/>
          <w:color w:val="auto"/>
        </w:rPr>
        <w:t xml:space="preserve"> 发展基础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三五”时期，面对错综复杂的国内外发展环境，汕头市在省委省政府、市委市政府的坚强领导下，城镇化建设紧紧围绕服务经济社会发展转型升级的主题，经济发展支撑更加有效，产业结构进一步优化，总体经济发展态势良好；区域统筹取得新成效，汕潮揭都市圈社会经济合作稳步推进，区域重大基础设施加快完善，跨区域共建共享合作机制逐步形成；市域城乡一体化发展质量进一步提高，“百村示范、千村整治”行动取得成效，1156个自然村完成“三清三拆三整治”；快速便捷的交通基础设施网络初步形成，公共服务设施配套水平、城乡面貌和人居环境质量显著改善；旧城更新与美丽乡村、最美侨村、红色侨乡建设同步推进，生态文明建设和历史文化保护成果丰硕，为“十四五”时期高质量发展打下良好基础。</w:t>
      </w:r>
    </w:p>
    <w:p>
      <w:pPr>
        <w:pageBreakBefore w:val="0"/>
        <w:widowControl/>
        <w:kinsoku/>
        <w:wordWrap/>
        <w:overflowPunct/>
        <w:topLinePunct w:val="0"/>
        <w:autoSpaceDE/>
        <w:autoSpaceDN/>
        <w:bidi w:val="0"/>
        <w:adjustRightInd/>
        <w:snapToGrid/>
        <w:spacing w:line="56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然而，必须清醒认识到汕头目前依然存在经济总量不大、产业质量不高、创新能力不强、人地矛盾突出、区域中心功能弱化、基层治理有待提高等问题。</w:t>
      </w:r>
      <w:r>
        <w:rPr>
          <w:rFonts w:hint="eastAsia" w:ascii="仿宋_GB2312" w:hAnsi="宋体" w:eastAsia="仿宋_GB2312" w:cs="宋体"/>
          <w:color w:val="auto"/>
          <w:spacing w:val="-6"/>
          <w:kern w:val="0"/>
          <w:sz w:val="32"/>
          <w:szCs w:val="32"/>
          <w:lang w:val="en-US" w:eastAsia="zh-CN"/>
        </w:rPr>
        <w:t>至</w:t>
      </w:r>
      <w:r>
        <w:rPr>
          <w:rFonts w:hint="eastAsia" w:ascii="仿宋_GB2312" w:hAnsi="宋体" w:eastAsia="仿宋_GB2312" w:cs="宋体"/>
          <w:color w:val="auto"/>
          <w:spacing w:val="-6"/>
          <w:kern w:val="0"/>
          <w:sz w:val="32"/>
          <w:szCs w:val="32"/>
        </w:rPr>
        <w:t>“十三五”期</w:t>
      </w:r>
      <w:r>
        <w:rPr>
          <w:rFonts w:hint="eastAsia" w:ascii="仿宋_GB2312" w:hAnsi="宋体" w:eastAsia="仿宋_GB2312" w:cs="宋体"/>
          <w:color w:val="auto"/>
          <w:spacing w:val="-6"/>
          <w:kern w:val="0"/>
          <w:sz w:val="32"/>
          <w:szCs w:val="32"/>
          <w:lang w:val="en-US" w:eastAsia="zh-CN"/>
        </w:rPr>
        <w:t>末，汕头常住人口城镇化率为70.70%未能达到常住人口城镇化率75.00%的预期目标，虽高于全国平均水平（63.89%），但低于全省平均水平（74.15%），发展质量和经济水平偏低、资源要素</w:t>
      </w:r>
      <w:r>
        <w:rPr>
          <w:rFonts w:hint="eastAsia" w:ascii="仿宋_GB2312" w:hAnsi="宋体" w:eastAsia="仿宋_GB2312" w:cs="宋体"/>
          <w:color w:val="auto"/>
          <w:spacing w:val="-6"/>
          <w:kern w:val="0"/>
          <w:sz w:val="32"/>
          <w:szCs w:val="32"/>
        </w:rPr>
        <w:t>统筹力</w:t>
      </w:r>
      <w:r>
        <w:rPr>
          <w:rFonts w:hint="eastAsia" w:ascii="仿宋_GB2312" w:hAnsi="宋体" w:eastAsia="仿宋_GB2312" w:cs="宋体"/>
          <w:color w:val="auto"/>
          <w:spacing w:val="-6"/>
          <w:kern w:val="0"/>
          <w:sz w:val="32"/>
          <w:szCs w:val="32"/>
          <w:lang w:val="en-US" w:eastAsia="zh-CN"/>
        </w:rPr>
        <w:t>度</w:t>
      </w:r>
      <w:r>
        <w:rPr>
          <w:rFonts w:hint="eastAsia" w:ascii="仿宋_GB2312" w:hAnsi="宋体" w:eastAsia="仿宋_GB2312" w:cs="宋体"/>
          <w:color w:val="auto"/>
          <w:spacing w:val="-6"/>
          <w:kern w:val="0"/>
          <w:sz w:val="32"/>
          <w:szCs w:val="32"/>
        </w:rPr>
        <w:t>不足</w:t>
      </w:r>
      <w:r>
        <w:rPr>
          <w:rFonts w:hint="eastAsia" w:ascii="仿宋_GB2312" w:hAnsi="宋体" w:eastAsia="仿宋_GB2312" w:cs="宋体"/>
          <w:color w:val="auto"/>
          <w:spacing w:val="-6"/>
          <w:kern w:val="0"/>
          <w:sz w:val="32"/>
          <w:szCs w:val="32"/>
          <w:lang w:eastAsia="zh-CN"/>
        </w:rPr>
        <w:t>、</w:t>
      </w:r>
      <w:r>
        <w:rPr>
          <w:rFonts w:hint="eastAsia" w:ascii="仿宋_GB2312" w:hAnsi="宋体" w:eastAsia="仿宋_GB2312" w:cs="宋体"/>
          <w:color w:val="auto"/>
          <w:spacing w:val="-6"/>
          <w:kern w:val="0"/>
          <w:sz w:val="32"/>
          <w:szCs w:val="32"/>
          <w:lang w:val="en-US" w:eastAsia="zh-CN"/>
        </w:rPr>
        <w:t>突破重点难点缺乏精准发力和城乡</w:t>
      </w:r>
      <w:r>
        <w:rPr>
          <w:rFonts w:hint="eastAsia" w:ascii="仿宋_GB2312" w:hAnsi="宋体" w:eastAsia="仿宋_GB2312" w:cs="宋体"/>
          <w:color w:val="auto"/>
          <w:spacing w:val="-6"/>
          <w:kern w:val="0"/>
          <w:sz w:val="32"/>
          <w:szCs w:val="32"/>
        </w:rPr>
        <w:t>民</w:t>
      </w:r>
      <w:r>
        <w:rPr>
          <w:rFonts w:hint="eastAsia" w:ascii="仿宋_GB2312" w:hAnsi="宋体" w:eastAsia="仿宋_GB2312" w:cs="宋体"/>
          <w:color w:val="auto"/>
          <w:spacing w:val="-6"/>
          <w:kern w:val="0"/>
          <w:sz w:val="32"/>
          <w:szCs w:val="32"/>
          <w:lang w:val="en-US" w:eastAsia="zh-CN"/>
        </w:rPr>
        <w:t>众</w:t>
      </w:r>
      <w:r>
        <w:rPr>
          <w:rFonts w:hint="eastAsia" w:ascii="仿宋_GB2312" w:hAnsi="宋体" w:eastAsia="仿宋_GB2312" w:cs="宋体"/>
          <w:color w:val="auto"/>
          <w:spacing w:val="-6"/>
          <w:kern w:val="0"/>
          <w:sz w:val="32"/>
          <w:szCs w:val="32"/>
        </w:rPr>
        <w:t>获得</w:t>
      </w:r>
      <w:r>
        <w:rPr>
          <w:rFonts w:hint="eastAsia" w:ascii="仿宋_GB2312" w:hAnsi="宋体" w:eastAsia="仿宋_GB2312" w:cs="宋体"/>
          <w:color w:val="auto"/>
          <w:spacing w:val="-6"/>
          <w:kern w:val="0"/>
          <w:sz w:val="32"/>
          <w:szCs w:val="32"/>
          <w:lang w:val="en-US" w:eastAsia="zh-CN"/>
        </w:rPr>
        <w:t>感不强等问题仍比较突出</w:t>
      </w:r>
      <w:r>
        <w:rPr>
          <w:rFonts w:hint="eastAsia" w:ascii="仿宋_GB2312" w:hAnsi="宋体" w:eastAsia="仿宋_GB2312" w:cs="宋体"/>
          <w:color w:val="auto"/>
          <w:spacing w:val="-6"/>
          <w:kern w:val="0"/>
          <w:sz w:val="32"/>
          <w:szCs w:val="32"/>
        </w:rPr>
        <w:t>。</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1.发展质量和经济水平偏低</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“大扩张机遇期”过后，汕头城镇化建设未能与时俱进实现整体最优，粗放发展、低质量城镇化和发展不平衡不充分问题仍然突出。</w:t>
      </w:r>
      <w:r>
        <w:rPr>
          <w:rFonts w:ascii="仿宋_GB2312" w:hAnsi="宋体" w:eastAsia="仿宋_GB2312" w:cs="宋体"/>
          <w:color w:val="auto"/>
          <w:spacing w:val="-6"/>
          <w:kern w:val="0"/>
          <w:sz w:val="32"/>
          <w:szCs w:val="32"/>
        </w:rPr>
        <w:t>20</w:t>
      </w:r>
      <w:r>
        <w:rPr>
          <w:rFonts w:hint="eastAsia" w:ascii="仿宋_GB2312" w:hAnsi="宋体" w:eastAsia="仿宋_GB2312" w:cs="宋体"/>
          <w:color w:val="auto"/>
          <w:spacing w:val="-6"/>
          <w:kern w:val="0"/>
          <w:sz w:val="32"/>
          <w:szCs w:val="32"/>
        </w:rPr>
        <w:t>20</w:t>
      </w:r>
      <w:r>
        <w:rPr>
          <w:rFonts w:ascii="仿宋_GB2312" w:hAnsi="宋体" w:eastAsia="仿宋_GB2312" w:cs="宋体"/>
          <w:color w:val="auto"/>
          <w:spacing w:val="-6"/>
          <w:kern w:val="0"/>
          <w:sz w:val="32"/>
          <w:szCs w:val="32"/>
        </w:rPr>
        <w:t>年汕头人均地区生产总值为</w:t>
      </w:r>
      <w:r>
        <w:rPr>
          <w:rFonts w:hint="eastAsia" w:ascii="仿宋_GB2312" w:hAnsi="宋体" w:eastAsia="仿宋_GB2312" w:cs="宋体"/>
          <w:color w:val="auto"/>
          <w:spacing w:val="-6"/>
          <w:kern w:val="0"/>
          <w:sz w:val="32"/>
          <w:szCs w:val="32"/>
        </w:rPr>
        <w:t>49661</w:t>
      </w:r>
      <w:r>
        <w:rPr>
          <w:rFonts w:ascii="仿宋_GB2312" w:hAnsi="宋体" w:eastAsia="仿宋_GB2312" w:cs="宋体"/>
          <w:color w:val="auto"/>
          <w:spacing w:val="-6"/>
          <w:kern w:val="0"/>
          <w:sz w:val="32"/>
          <w:szCs w:val="32"/>
        </w:rPr>
        <w:t>元，仅为全国平均水平的三分之二，相比于广东省其他城市尤其是珠三角地区差距还比较明显。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spacing w:val="-6"/>
          <w:kern w:val="0"/>
          <w:sz w:val="32"/>
          <w:szCs w:val="32"/>
        </w:rPr>
        <w:t>汕头新型城镇化建设正面临“要求更高、竞争更激烈”的新时代背景，高质量发展仍需要打好坚实的经济基础。</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2.资源要素统筹力度不足</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城乡生产要素流动仍然存在障碍，城乡二元的户籍、土地、金融等制度使要素更多流向城市，乡村发展缺乏有力的要素支撑。汕头市现状公共管理和公共服务设施用地占全部建设用地的</w:t>
      </w:r>
      <w:r>
        <w:rPr>
          <w:rFonts w:ascii="仿宋_GB2312" w:hAnsi="宋体" w:eastAsia="仿宋_GB2312" w:cs="宋体"/>
          <w:color w:val="auto"/>
          <w:spacing w:val="-6"/>
          <w:kern w:val="0"/>
          <w:sz w:val="32"/>
          <w:szCs w:val="32"/>
        </w:rPr>
        <w:t>7.2%，满足国家5-8%的标准，但人均拥有公共管理和公共服务设施用地面积3.84平方米低于国家标准5.5平方米的要求</w:t>
      </w:r>
      <w:r>
        <w:rPr>
          <w:rFonts w:hint="eastAsia" w:ascii="仿宋_GB2312" w:hAnsi="宋体" w:eastAsia="仿宋_GB2312" w:cs="宋体"/>
          <w:color w:val="auto"/>
          <w:spacing w:val="-6"/>
          <w:kern w:val="0"/>
          <w:sz w:val="32"/>
          <w:szCs w:val="32"/>
        </w:rPr>
        <w:t>，且</w:t>
      </w:r>
      <w:r>
        <w:rPr>
          <w:rFonts w:ascii="仿宋_GB2312" w:hAnsi="宋体" w:eastAsia="仿宋_GB2312" w:cs="宋体"/>
          <w:color w:val="auto"/>
          <w:spacing w:val="-6"/>
          <w:kern w:val="0"/>
          <w:sz w:val="32"/>
          <w:szCs w:val="32"/>
        </w:rPr>
        <w:t>优质公共服务和基础设施配套资源</w:t>
      </w:r>
      <w:r>
        <w:rPr>
          <w:rFonts w:hint="eastAsia" w:ascii="仿宋_GB2312" w:hAnsi="宋体" w:eastAsia="仿宋_GB2312" w:cs="宋体"/>
          <w:color w:val="auto"/>
          <w:spacing w:val="-6"/>
          <w:kern w:val="0"/>
          <w:sz w:val="32"/>
          <w:szCs w:val="32"/>
        </w:rPr>
        <w:t>相对</w:t>
      </w:r>
      <w:r>
        <w:rPr>
          <w:rFonts w:ascii="仿宋_GB2312" w:hAnsi="宋体" w:eastAsia="仿宋_GB2312" w:cs="宋体"/>
          <w:color w:val="auto"/>
          <w:spacing w:val="-6"/>
          <w:kern w:val="0"/>
          <w:sz w:val="32"/>
          <w:szCs w:val="32"/>
        </w:rPr>
        <w:t>集中在城市</w:t>
      </w:r>
      <w:r>
        <w:rPr>
          <w:rFonts w:hint="eastAsia" w:ascii="仿宋_GB2312" w:hAnsi="宋体" w:eastAsia="仿宋_GB2312" w:cs="宋体"/>
          <w:color w:val="auto"/>
          <w:spacing w:val="-6"/>
          <w:kern w:val="0"/>
          <w:sz w:val="32"/>
          <w:szCs w:val="32"/>
        </w:rPr>
        <w:t>，缺乏合理统筹和配置。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spacing w:val="-6"/>
          <w:kern w:val="0"/>
          <w:sz w:val="32"/>
          <w:szCs w:val="32"/>
        </w:rPr>
        <w:t>城镇化建设有待进一步加大力度统筹好稳定增长与改革转型、重点突破与均衡发展、城市发展与城乡一体化发展、新区发展与城市更新等方面的问题。</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 w:hAnsi="仿宋" w:eastAsia="仿宋" w:cs="仿宋"/>
          <w:b/>
          <w:bCs/>
          <w:color w:val="auto"/>
          <w:spacing w:val="-6"/>
          <w:kern w:val="0"/>
          <w:sz w:val="32"/>
          <w:szCs w:val="32"/>
        </w:rPr>
      </w:pPr>
      <w:r>
        <w:rPr>
          <w:rFonts w:hint="eastAsia" w:ascii="仿宋" w:hAnsi="仿宋" w:eastAsia="仿宋" w:cs="仿宋"/>
          <w:b/>
          <w:bCs/>
          <w:color w:val="auto"/>
          <w:spacing w:val="-6"/>
          <w:kern w:val="0"/>
          <w:sz w:val="32"/>
          <w:szCs w:val="32"/>
        </w:rPr>
        <w:t>3.重点难点缺乏精准发力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 w:hAnsi="仿宋" w:eastAsia="仿宋" w:cs="仿宋"/>
          <w:color w:val="auto"/>
          <w:spacing w:val="-6"/>
          <w:kern w:val="0"/>
          <w:sz w:val="32"/>
          <w:szCs w:val="32"/>
        </w:rPr>
      </w:pPr>
      <w:r>
        <w:rPr>
          <w:rFonts w:hint="eastAsia" w:ascii="仿宋" w:hAnsi="仿宋" w:eastAsia="仿宋" w:cs="仿宋"/>
          <w:color w:val="auto"/>
          <w:spacing w:val="-6"/>
          <w:kern w:val="0"/>
          <w:sz w:val="32"/>
          <w:szCs w:val="32"/>
        </w:rPr>
        <w:t>城乡一体化功能布局有待整合提升；城乡土地集约化程度有待提高；城镇化质量不高、动力不足；以推进新型城镇化为导向的机制体制创新力度有待增强；华侨经济文化试验区、高新区等功能区动力引擎作用有待发挥；“侨”牌主攻方向需要精准把握，围绕“侨”创新、聚焦和整合需要进一步加强；政府、市场、社会治理边界需要进一步厘清，统筹权利机制，精准施策水平有待提高。</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4.民众获得感有待提升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城市的公共服务基础设施有待完善，保障体系尚不健全。传统的管理服务模式和机制与新时代民众多元化的需求还存在不相适应的地方；各类服务设施的1</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分钟可达覆盖率较低；环境污染问题的历史欠账较多，部分流经城市河段的水质污染仍为V</w:t>
      </w:r>
      <w:r>
        <w:rPr>
          <w:rFonts w:ascii="仿宋_GB2312" w:hAnsi="宋体" w:eastAsia="仿宋_GB2312" w:cs="宋体"/>
          <w:color w:val="auto"/>
          <w:spacing w:val="-6"/>
          <w:kern w:val="0"/>
          <w:sz w:val="32"/>
          <w:szCs w:val="32"/>
        </w:rPr>
        <w:t>类和劣</w:t>
      </w:r>
      <w:r>
        <w:rPr>
          <w:rFonts w:hint="eastAsia" w:ascii="仿宋_GB2312" w:hAnsi="宋体" w:eastAsia="仿宋_GB2312" w:cs="宋体"/>
          <w:color w:val="auto"/>
          <w:spacing w:val="-6"/>
          <w:kern w:val="0"/>
          <w:sz w:val="32"/>
          <w:szCs w:val="32"/>
        </w:rPr>
        <w:t>V</w:t>
      </w:r>
      <w:r>
        <w:rPr>
          <w:rFonts w:ascii="仿宋_GB2312" w:hAnsi="宋体" w:eastAsia="仿宋_GB2312" w:cs="宋体"/>
          <w:color w:val="auto"/>
          <w:spacing w:val="-6"/>
          <w:kern w:val="0"/>
          <w:sz w:val="32"/>
          <w:szCs w:val="32"/>
        </w:rPr>
        <w:t>类，污染治理</w:t>
      </w:r>
      <w:r>
        <w:rPr>
          <w:rFonts w:hint="eastAsia" w:ascii="仿宋_GB2312" w:hAnsi="宋体" w:eastAsia="仿宋_GB2312" w:cs="宋体"/>
          <w:color w:val="auto"/>
          <w:spacing w:val="-6"/>
          <w:kern w:val="0"/>
          <w:sz w:val="32"/>
          <w:szCs w:val="32"/>
        </w:rPr>
        <w:t>任务依然艰巨</w:t>
      </w:r>
      <w:r>
        <w:rPr>
          <w:rFonts w:ascii="仿宋_GB2312" w:hAnsi="宋体" w:eastAsia="仿宋_GB2312" w:cs="宋体"/>
          <w:color w:val="auto"/>
          <w:spacing w:val="-6"/>
          <w:kern w:val="0"/>
          <w:sz w:val="32"/>
          <w:szCs w:val="32"/>
        </w:rPr>
        <w:t>，距离“推窗见绿、出门见园”的目标</w:t>
      </w:r>
      <w:r>
        <w:rPr>
          <w:rFonts w:hint="eastAsia" w:ascii="仿宋_GB2312" w:hAnsi="宋体" w:eastAsia="仿宋_GB2312" w:cs="宋体"/>
          <w:color w:val="auto"/>
          <w:spacing w:val="-6"/>
          <w:kern w:val="0"/>
          <w:sz w:val="32"/>
          <w:szCs w:val="32"/>
        </w:rPr>
        <w:t>还有一定距离；通过城市发展的理性前瞻、创新突破、特色展现，提振民众对城市的自信心、自豪感和归属感方面有待加强。</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22"/>
          <w:szCs w:val="22"/>
        </w:rPr>
      </w:pPr>
      <w:bookmarkStart w:id="4" w:name="_Toc75424398"/>
      <w:r>
        <w:rPr>
          <w:rFonts w:hint="eastAsia"/>
          <w:b w:val="0"/>
          <w:bCs w:val="0"/>
          <w:color w:val="auto"/>
          <w:sz w:val="32"/>
          <w:szCs w:val="28"/>
        </w:rPr>
        <w:t>第二章 总体思路与行动方向</w:t>
      </w:r>
      <w:bookmarkEnd w:id="4"/>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5" w:name="_Toc75424399"/>
      <w:r>
        <w:rPr>
          <w:rFonts w:hint="eastAsia"/>
          <w:color w:val="auto"/>
        </w:rPr>
        <w:t>第一节 总体思路</w:t>
      </w:r>
      <w:bookmarkEnd w:id="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推动汕头新型城镇化发展应立足新发展阶段，贯彻新发展理念，系统思维、精准发力，在省委省政府的大力支持下，充分利用好“一带一路”建设和“双区”、“两个合作区”等国家政策利好叠加，抓住区域发展机遇，积极参与“双循环”并借力深圳支持，深入实施以人为核心的新型城镇化战略，在建设城乡一体“都市汕头”的同时，突出“侨”的特色，建设全球潮人之都，努力实现汕头在新时代特区建设中迎头赶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要坚定不移走工业立市、产业强市之路，以工业化促城镇化；以产业发展和结构调整促城镇化；以提高城乡市政基础设施和公共服务设施的均等化水平促城镇化；以提高社会治理和户籍管理水平促城镇化。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bookmarkStart w:id="6" w:name="_Toc75424400"/>
      <w:r>
        <w:rPr>
          <w:rFonts w:hint="eastAsia" w:ascii="仿宋_GB2312" w:hAnsi="宋体" w:eastAsia="仿宋_GB2312" w:cs="宋体"/>
          <w:color w:val="auto"/>
          <w:spacing w:val="-6"/>
          <w:kern w:val="0"/>
          <w:sz w:val="32"/>
          <w:szCs w:val="32"/>
          <w:lang w:val="en-US" w:eastAsia="zh-CN"/>
        </w:rPr>
        <w:t>至2025年，实现常住人口城镇化率达到73.0%，超过全国65.5%的目标，增幅接近全省的目标水平。</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r>
        <w:rPr>
          <w:rFonts w:hint="eastAsia"/>
          <w:color w:val="auto"/>
        </w:rPr>
        <w:t>第二节 行动方向</w:t>
      </w:r>
      <w:bookmarkEnd w:id="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汕头新型城镇化第十四个五年规划着力聚焦以下五个行动方向：</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1.构筑重大平台载体，打造高端产业集群</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坚定不移走“工业立市、产业强市”之路。以国家高新区、综合保税区、华侨试验区和大型产业集聚区为依托，着力构建支撑产业高质量发展的新动能，围绕“三新两特一大”产业格局，制定重大产业链式发展行动计划和扶持政策，做大做强各区工业园区，力争全市工业园区产值占工业总产值比重翻一番。</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2.做好“侨”“潮”文章，打造全球潮人之都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贯彻习近平总书记视察汕头时的重要讲话、重要指示精神，发挥21世纪海上丝绸之路重要门户作用，精准聚焦高水平国际化平台建设，大力推进海外华文教育创新发展中心、侨情资源库、数字虚拟潮汕家园平台“三大工程”，开展文化引侨、平台联侨、政策惠侨、经济聚侨“四项行动”，构筑凝侨心聚侨力汇侨智的“侨”头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推进“最美侨村”建设，开展“潮剧播种计划”等交流活动，加大力度优化“侨”、“潮”特色城市风貌和完善区域基础设施，打造国际化汕头、潮人家园汕头和新时代“侨”文章先行示范市。</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3.打破城乡二元结构，以城带乡同步发展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汕头山海交织、城乡融合，带形的城乡空间适宜建设城乡一体化的“生态带形都市”。结合自然地理条件和城乡发展格局，把新时代乡村振兴和打破城乡二元结构有机结合起来，按照一个城市全域统筹、有机分工、基础设施和公共服务一体化配置，打造城乡一体、品质均优、家园处处美好的“都市汕头”。其中，都市汕头建设的核心是贯彻以人民为中心理念的全市域一体化基础设施体系的建设。</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4.实施精致建设策略，彰显文化生态理念</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不求规模，但求精致。要整治、整合生态资源，持续高质量推进城乡居住环境有机微易更新、公共空间精致化生产；要珍惜、保护和传承潮汕传统文化和潮侨特色文化，活化潮侨特色文化与生态环境改善，打造人文人性的人居汕头、绿色人性的生态汕头。</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5.建构现代治理体系，不断提升治理能力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治理现代化是实现国际化汕头、都市汕头、精致汕头的重要保障。要以全局、系统、精准、辩证的思维推进治理体系与治理能力现代化，立足以法治为基础的“市场、社会自组织+政府有限、正确、高效干预引导”编制行动性规划。</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1"/>
        <w:tblW w:w="8845" w:type="dxa"/>
        <w:tblInd w:w="0" w:type="dxa"/>
        <w:tblLayout w:type="fixed"/>
        <w:tblCellMar>
          <w:top w:w="15" w:type="dxa"/>
          <w:left w:w="15" w:type="dxa"/>
          <w:bottom w:w="15" w:type="dxa"/>
          <w:right w:w="15" w:type="dxa"/>
        </w:tblCellMar>
      </w:tblPr>
      <w:tblGrid>
        <w:gridCol w:w="701"/>
        <w:gridCol w:w="389"/>
        <w:gridCol w:w="3390"/>
        <w:gridCol w:w="979"/>
        <w:gridCol w:w="943"/>
        <w:gridCol w:w="922"/>
        <w:gridCol w:w="1521"/>
      </w:tblGrid>
      <w:tr>
        <w:tblPrEx>
          <w:tblCellMar>
            <w:top w:w="15" w:type="dxa"/>
            <w:left w:w="15" w:type="dxa"/>
            <w:bottom w:w="15" w:type="dxa"/>
            <w:right w:w="15" w:type="dxa"/>
          </w:tblCellMar>
        </w:tblPrEx>
        <w:trPr>
          <w:trHeight w:val="574" w:hRule="atLeast"/>
        </w:trPr>
        <w:tc>
          <w:tcPr>
            <w:tcW w:w="8845" w:type="dxa"/>
            <w:gridSpan w:val="7"/>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b/>
                <w:bCs/>
                <w:color w:val="auto"/>
                <w:kern w:val="0"/>
                <w:sz w:val="24"/>
                <w:szCs w:val="24"/>
              </w:rPr>
            </w:pPr>
            <w:r>
              <w:rPr>
                <w:rFonts w:hint="eastAsia" w:ascii="Helvetica" w:hAnsi="Helvetica" w:eastAsia="宋体" w:cs="Helvetica"/>
                <w:b/>
                <w:bCs/>
                <w:color w:val="auto"/>
                <w:kern w:val="0"/>
                <w:sz w:val="24"/>
                <w:szCs w:val="24"/>
              </w:rPr>
              <w:t>指标体系专栏：汕头市新型城镇化“十四五”规划发展质量指标</w:t>
            </w:r>
          </w:p>
        </w:tc>
      </w:tr>
      <w:tr>
        <w:tblPrEx>
          <w:tblCellMar>
            <w:top w:w="15" w:type="dxa"/>
            <w:left w:w="15" w:type="dxa"/>
            <w:bottom w:w="15" w:type="dxa"/>
            <w:right w:w="15" w:type="dxa"/>
          </w:tblCellMar>
        </w:tblPrEx>
        <w:trPr>
          <w:trHeight w:val="689" w:hRule="atLeast"/>
        </w:trPr>
        <w:tc>
          <w:tcPr>
            <w:tcW w:w="70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339" w:hRule="atLeast"/>
        </w:trPr>
        <w:tc>
          <w:tcPr>
            <w:tcW w:w="70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全球潮人之都</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华侨经济文化合作试验区总注册资本（亿元）</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457.44</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≥757.6</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华侨试验区管委会</w:t>
            </w:r>
          </w:p>
        </w:tc>
      </w:tr>
      <w:tr>
        <w:tblPrEx>
          <w:tblCellMar>
            <w:top w:w="15" w:type="dxa"/>
            <w:left w:w="15" w:type="dxa"/>
            <w:bottom w:w="15" w:type="dxa"/>
            <w:right w:w="15" w:type="dxa"/>
          </w:tblCellMar>
        </w:tblPrEx>
        <w:trPr>
          <w:trHeight w:val="533"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侨胞直接投资项目（个）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5522</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≥7600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市侨务局</w:t>
            </w:r>
          </w:p>
        </w:tc>
      </w:tr>
      <w:tr>
        <w:tblPrEx>
          <w:tblCellMar>
            <w:top w:w="15" w:type="dxa"/>
            <w:left w:w="15" w:type="dxa"/>
            <w:bottom w:w="15" w:type="dxa"/>
            <w:right w:w="15" w:type="dxa"/>
          </w:tblCellMar>
        </w:tblPrEx>
        <w:trPr>
          <w:trHeight w:val="542"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华侨公益性投资项目（个）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6000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市侨务局</w:t>
            </w:r>
          </w:p>
        </w:tc>
      </w:tr>
      <w:tr>
        <w:tblPrEx>
          <w:tblCellMar>
            <w:top w:w="15" w:type="dxa"/>
            <w:left w:w="15" w:type="dxa"/>
            <w:bottom w:w="15" w:type="dxa"/>
            <w:right w:w="15" w:type="dxa"/>
          </w:tblCellMar>
        </w:tblPrEx>
        <w:trPr>
          <w:trHeight w:val="532"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p>
        </w:tc>
        <w:tc>
          <w:tcPr>
            <w:tcW w:w="3390"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年国际游客数（万人）</w:t>
            </w:r>
          </w:p>
        </w:tc>
        <w:tc>
          <w:tcPr>
            <w:tcW w:w="979"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37.65</w:t>
            </w:r>
          </w:p>
        </w:tc>
        <w:tc>
          <w:tcPr>
            <w:tcW w:w="943"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≥40</w:t>
            </w:r>
          </w:p>
        </w:tc>
        <w:tc>
          <w:tcPr>
            <w:tcW w:w="922"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p>
        </w:tc>
      </w:tr>
      <w:tr>
        <w:tblPrEx>
          <w:tblCellMar>
            <w:top w:w="15" w:type="dxa"/>
            <w:left w:w="15" w:type="dxa"/>
            <w:bottom w:w="15" w:type="dxa"/>
            <w:right w:w="15" w:type="dxa"/>
          </w:tblCellMar>
        </w:tblPrEx>
        <w:trPr>
          <w:trHeight w:val="514"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常设型国际会议、论坛数（个）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w:t>
            </w:r>
            <w:r>
              <w:rPr>
                <w:rFonts w:ascii="Helvetica" w:hAnsi="Helvetica" w:eastAsia="宋体" w:cs="Helvetica"/>
                <w:color w:val="auto"/>
                <w:kern w:val="0"/>
                <w:sz w:val="18"/>
                <w:szCs w:val="18"/>
              </w:rPr>
              <w:t>住建局</w:t>
            </w:r>
          </w:p>
        </w:tc>
      </w:tr>
      <w:tr>
        <w:tblPrEx>
          <w:tblCellMar>
            <w:top w:w="15" w:type="dxa"/>
            <w:left w:w="15" w:type="dxa"/>
            <w:bottom w:w="15" w:type="dxa"/>
            <w:right w:w="15" w:type="dxa"/>
          </w:tblCellMar>
        </w:tblPrEx>
        <w:trPr>
          <w:trHeight w:val="661" w:hRule="atLeast"/>
        </w:trPr>
        <w:tc>
          <w:tcPr>
            <w:tcW w:w="70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汕头</w:t>
            </w:r>
            <w:r>
              <w:rPr>
                <w:rFonts w:hint="eastAsia" w:ascii="Helvetica" w:hAnsi="Helvetica" w:eastAsia="宋体" w:cs="Helvetica"/>
                <w:color w:val="auto"/>
                <w:kern w:val="0"/>
                <w:sz w:val="18"/>
                <w:szCs w:val="18"/>
              </w:rPr>
              <w:t>市</w:t>
            </w:r>
            <w:r>
              <w:rPr>
                <w:rFonts w:ascii="Helvetica" w:hAnsi="Helvetica" w:eastAsia="宋体" w:cs="Helvetica"/>
                <w:color w:val="auto"/>
                <w:kern w:val="0"/>
                <w:sz w:val="18"/>
                <w:szCs w:val="18"/>
              </w:rPr>
              <w:t>高新技术企业数（个）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75</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≥110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市工信局</w:t>
            </w:r>
          </w:p>
        </w:tc>
      </w:tr>
      <w:tr>
        <w:trPr>
          <w:trHeight w:val="532" w:hRule="atLeast"/>
        </w:trPr>
        <w:tc>
          <w:tcPr>
            <w:tcW w:w="701"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7</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研究与试验发展（R&amp;D）投入强度（%）</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1.05</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（2019）</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w:t>
            </w:r>
            <w:r>
              <w:rPr>
                <w:rFonts w:hint="eastAsia" w:ascii="Helvetica" w:hAnsi="Helvetica" w:eastAsia="宋体" w:cs="Helvetica"/>
                <w:color w:val="auto"/>
                <w:kern w:val="0"/>
                <w:sz w:val="18"/>
                <w:szCs w:val="18"/>
              </w:rPr>
              <w:t>5</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市统计局</w:t>
            </w:r>
          </w:p>
        </w:tc>
      </w:tr>
      <w:tr>
        <w:tblPrEx>
          <w:tblCellMar>
            <w:top w:w="15" w:type="dxa"/>
            <w:left w:w="15" w:type="dxa"/>
            <w:bottom w:w="15" w:type="dxa"/>
            <w:right w:w="15" w:type="dxa"/>
          </w:tblCellMar>
        </w:tblPrEx>
        <w:trPr>
          <w:trHeight w:val="779" w:hRule="atLeast"/>
        </w:trPr>
        <w:tc>
          <w:tcPr>
            <w:tcW w:w="701" w:type="dxa"/>
            <w:vMerge w:val="restart"/>
            <w:tcBorders>
              <w:top w:val="single" w:color="auto" w:sz="4"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城乡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一体</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都市</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汕头</w:t>
            </w:r>
          </w:p>
        </w:tc>
        <w:tc>
          <w:tcPr>
            <w:tcW w:w="389" w:type="dxa"/>
            <w:tcBorders>
              <w:top w:val="single" w:color="auto" w:sz="4" w:space="0"/>
              <w:left w:val="single" w:color="000000" w:sz="6" w:space="0"/>
              <w:bottom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8</w:t>
            </w:r>
          </w:p>
        </w:tc>
        <w:tc>
          <w:tcPr>
            <w:tcW w:w="3390" w:type="dxa"/>
            <w:tcBorders>
              <w:top w:val="single" w:color="auto" w:sz="4"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常住人口城镇化率（%）</w:t>
            </w:r>
          </w:p>
        </w:tc>
        <w:tc>
          <w:tcPr>
            <w:tcW w:w="97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70.7</w:t>
            </w:r>
          </w:p>
        </w:tc>
        <w:tc>
          <w:tcPr>
            <w:tcW w:w="943"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hint="default" w:ascii="Helvetica" w:hAnsi="Helvetica" w:eastAsia="宋体" w:cs="Helvetica"/>
                <w:color w:val="auto"/>
                <w:kern w:val="0"/>
                <w:sz w:val="18"/>
                <w:szCs w:val="18"/>
                <w:lang w:val="en-US" w:eastAsia="zh-CN"/>
              </w:rPr>
            </w:pPr>
            <w:r>
              <w:rPr>
                <w:rFonts w:hint="eastAsia" w:ascii="Helvetica" w:hAnsi="Helvetica" w:eastAsia="宋体" w:cs="Helvetica"/>
                <w:color w:val="auto"/>
                <w:kern w:val="0"/>
                <w:sz w:val="18"/>
                <w:szCs w:val="18"/>
                <w:lang w:val="en-US" w:eastAsia="zh-CN"/>
              </w:rPr>
              <w:t>73.0</w:t>
            </w:r>
          </w:p>
        </w:tc>
        <w:tc>
          <w:tcPr>
            <w:tcW w:w="922"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市统计局</w:t>
            </w:r>
          </w:p>
        </w:tc>
      </w:tr>
      <w:tr>
        <w:tblPrEx>
          <w:tblCellMar>
            <w:top w:w="15" w:type="dxa"/>
            <w:left w:w="15" w:type="dxa"/>
            <w:bottom w:w="15" w:type="dxa"/>
            <w:right w:w="15" w:type="dxa"/>
          </w:tblCellMar>
        </w:tblPrEx>
        <w:trPr>
          <w:trHeight w:val="729" w:hRule="atLeast"/>
        </w:trPr>
        <w:tc>
          <w:tcPr>
            <w:tcW w:w="701" w:type="dxa"/>
            <w:vMerge w:val="continue"/>
            <w:tcBorders>
              <w:top w:val="single" w:color="auto" w:sz="4" w:space="0"/>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9</w:t>
            </w:r>
          </w:p>
        </w:tc>
        <w:tc>
          <w:tcPr>
            <w:tcW w:w="3390" w:type="dxa"/>
            <w:tcBorders>
              <w:top w:val="single" w:color="auto" w:sz="4"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人均城镇建设用地面积（</w:t>
            </w:r>
            <w:r>
              <w:rPr>
                <w:rFonts w:ascii="Segoe UI Symbol" w:hAnsi="Segoe UI Symbol" w:eastAsia="宋体" w:cs="宋体"/>
                <w:color w:val="auto"/>
                <w:kern w:val="0"/>
                <w:sz w:val="18"/>
                <w:szCs w:val="18"/>
              </w:rPr>
              <w:t>㎡</w:t>
            </w:r>
            <w:r>
              <w:rPr>
                <w:rFonts w:ascii="Helvetica" w:hAnsi="Helvetica" w:eastAsia="宋体" w:cs="Helvetica"/>
                <w:color w:val="auto"/>
                <w:kern w:val="0"/>
                <w:sz w:val="18"/>
                <w:szCs w:val="18"/>
              </w:rPr>
              <w:t>/人）</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82.43</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519"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0</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人均城乡建设用地面积（</w:t>
            </w:r>
            <w:r>
              <w:rPr>
                <w:rFonts w:ascii="Segoe UI Symbol" w:hAnsi="Segoe UI Symbol" w:eastAsia="宋体" w:cs="宋体"/>
                <w:color w:val="auto"/>
                <w:kern w:val="0"/>
                <w:sz w:val="18"/>
                <w:szCs w:val="18"/>
              </w:rPr>
              <w:t>㎡</w:t>
            </w:r>
            <w:r>
              <w:rPr>
                <w:rFonts w:ascii="Helvetica" w:hAnsi="Helvetica" w:eastAsia="宋体" w:cs="Helvetica"/>
                <w:color w:val="auto"/>
                <w:kern w:val="0"/>
                <w:sz w:val="18"/>
                <w:szCs w:val="18"/>
              </w:rPr>
              <w:t>/人）</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93.80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956"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1</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中心城区30min交通可达人口覆盖率（%）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562" w:hRule="atLeast"/>
        </w:trPr>
        <w:tc>
          <w:tcPr>
            <w:tcW w:w="701" w:type="dxa"/>
            <w:vMerge w:val="continue"/>
            <w:tcBorders>
              <w:left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2</w:t>
            </w:r>
          </w:p>
        </w:tc>
        <w:tc>
          <w:tcPr>
            <w:tcW w:w="3390"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中心城区1h交通可达人口覆盖率（%）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777" w:hRule="atLeast"/>
        </w:trPr>
        <w:tc>
          <w:tcPr>
            <w:tcW w:w="701" w:type="dxa"/>
            <w:vMerge w:val="continue"/>
            <w:tcBorders>
              <w:left w:val="single" w:color="auto" w:sz="4" w:space="0"/>
              <w:right w:val="single" w:color="000000" w:sz="6" w:space="0"/>
            </w:tcBorders>
            <w:vAlign w:val="center"/>
          </w:tcPr>
          <w:p>
            <w:pPr>
              <w:widowControl/>
              <w:jc w:val="center"/>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幼托配建千人指标（位/千人）</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40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50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866" w:hRule="atLeast"/>
        </w:trPr>
        <w:tc>
          <w:tcPr>
            <w:tcW w:w="701" w:type="dxa"/>
            <w:vMerge w:val="continue"/>
            <w:tcBorders>
              <w:left w:val="single" w:color="auto" w:sz="4"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4</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小学配建千人指标（位/千人）</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457" w:hRule="atLeast"/>
        </w:trPr>
        <w:tc>
          <w:tcPr>
            <w:tcW w:w="701"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381" w:hRule="atLeast"/>
        </w:trPr>
        <w:tc>
          <w:tcPr>
            <w:tcW w:w="701" w:type="dxa"/>
            <w:vMerge w:val="restart"/>
            <w:tcBorders>
              <w:top w:val="single" w:color="auto" w:sz="4" w:space="0"/>
              <w:left w:val="single" w:color="000000" w:sz="6" w:space="0"/>
              <w:right w:val="single" w:color="000000" w:sz="6" w:space="0"/>
            </w:tcBorders>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城乡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一体</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都市</w:t>
            </w:r>
          </w:p>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汕头</w:t>
            </w: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5</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中学配建千人指标（位/千人）</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70</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市教育局</w:t>
            </w:r>
          </w:p>
        </w:tc>
      </w:tr>
      <w:tr>
        <w:tblPrEx>
          <w:tblCellMar>
            <w:top w:w="15" w:type="dxa"/>
            <w:left w:w="15" w:type="dxa"/>
            <w:bottom w:w="15" w:type="dxa"/>
            <w:right w:w="15" w:type="dxa"/>
          </w:tblCellMar>
        </w:tblPrEx>
        <w:trPr>
          <w:trHeight w:val="391"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6</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医疗千人床位数（位/千人）</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3.47</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5.1</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市卫建局</w:t>
            </w:r>
          </w:p>
        </w:tc>
      </w:tr>
      <w:tr>
        <w:tblPrEx>
          <w:tblCellMar>
            <w:top w:w="15" w:type="dxa"/>
            <w:left w:w="15" w:type="dxa"/>
            <w:bottom w:w="15" w:type="dxa"/>
            <w:right w:w="15" w:type="dxa"/>
          </w:tblCellMar>
        </w:tblPrEx>
        <w:trPr>
          <w:trHeight w:val="411" w:hRule="atLeast"/>
        </w:trPr>
        <w:tc>
          <w:tcPr>
            <w:tcW w:w="701" w:type="dxa"/>
            <w:vMerge w:val="continue"/>
            <w:tcBorders>
              <w:left w:val="single" w:color="000000" w:sz="6" w:space="0"/>
              <w:right w:val="single" w:color="000000" w:sz="6" w:space="0"/>
            </w:tcBorders>
            <w:vAlign w:val="center"/>
          </w:tcPr>
          <w:p>
            <w:pPr>
              <w:widowControl/>
              <w:jc w:val="center"/>
              <w:rPr>
                <w:rFonts w:ascii="宋体" w:hAnsi="宋体" w:eastAsia="宋体" w:cs="宋体"/>
                <w:color w:val="auto"/>
                <w:kern w:val="0"/>
                <w:sz w:val="24"/>
                <w:szCs w:val="24"/>
              </w:rPr>
            </w:pPr>
          </w:p>
        </w:tc>
        <w:tc>
          <w:tcPr>
            <w:tcW w:w="38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1</w:t>
            </w:r>
            <w:r>
              <w:rPr>
                <w:rFonts w:hint="eastAsia" w:ascii="宋体" w:hAnsi="宋体" w:eastAsia="宋体" w:cs="Helvetica"/>
                <w:color w:val="auto"/>
                <w:kern w:val="0"/>
                <w:sz w:val="18"/>
                <w:szCs w:val="18"/>
              </w:rPr>
              <w:t>7</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城市生活污水处理率（%）</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98.08</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98.6</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294"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城乡统筹供水覆盖率（%）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95以上</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市水务局</w:t>
            </w:r>
          </w:p>
        </w:tc>
      </w:tr>
      <w:tr>
        <w:tblPrEx>
          <w:tblCellMar>
            <w:top w:w="15" w:type="dxa"/>
            <w:left w:w="15" w:type="dxa"/>
            <w:bottom w:w="15" w:type="dxa"/>
            <w:right w:w="15" w:type="dxa"/>
          </w:tblCellMar>
        </w:tblPrEx>
        <w:trPr>
          <w:trHeight w:val="439"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strike/>
                <w:color w:val="auto"/>
                <w:kern w:val="0"/>
                <w:sz w:val="18"/>
                <w:szCs w:val="18"/>
              </w:rPr>
            </w:pPr>
            <w:r>
              <w:rPr>
                <w:rFonts w:ascii="Helvetica" w:hAnsi="Helvetica" w:eastAsia="宋体" w:cs="Helvetica"/>
                <w:color w:val="auto"/>
                <w:kern w:val="0"/>
                <w:sz w:val="18"/>
                <w:szCs w:val="18"/>
              </w:rPr>
              <w:t>城镇生</w:t>
            </w:r>
            <w:r>
              <w:rPr>
                <w:rFonts w:hint="eastAsia" w:ascii="Helvetica" w:hAnsi="Helvetica" w:eastAsia="宋体" w:cs="Helvetica"/>
                <w:color w:val="auto"/>
                <w:kern w:val="0"/>
                <w:sz w:val="18"/>
                <w:szCs w:val="18"/>
              </w:rPr>
              <w:t>活污水处理率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94.4</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95</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89"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0</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城乡生活垃圾无害化处理率（%）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98以上</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99以上</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54" w:hRule="atLeast"/>
        </w:trPr>
        <w:tc>
          <w:tcPr>
            <w:tcW w:w="701" w:type="dxa"/>
            <w:vMerge w:val="continue"/>
            <w:tcBorders>
              <w:left w:val="single" w:color="000000" w:sz="6"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城乡统筹电网覆盖率（%）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市工信局</w:t>
            </w:r>
          </w:p>
        </w:tc>
      </w:tr>
      <w:tr>
        <w:tblPrEx>
          <w:tblCellMar>
            <w:top w:w="15" w:type="dxa"/>
            <w:left w:w="15" w:type="dxa"/>
            <w:bottom w:w="15" w:type="dxa"/>
            <w:right w:w="15" w:type="dxa"/>
          </w:tblCellMar>
        </w:tblPrEx>
        <w:trPr>
          <w:trHeight w:val="361" w:hRule="atLeast"/>
        </w:trPr>
        <w:tc>
          <w:tcPr>
            <w:tcW w:w="701" w:type="dxa"/>
            <w:vMerge w:val="continue"/>
            <w:tcBorders>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城市现存易涝点消除率（%）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50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485" w:hRule="atLeast"/>
        </w:trPr>
        <w:tc>
          <w:tcPr>
            <w:tcW w:w="701" w:type="dxa"/>
            <w:vMerge w:val="restart"/>
            <w:tcBorders>
              <w:top w:val="single" w:color="auto" w:sz="4" w:space="0"/>
              <w:left w:val="single" w:color="auto" w:sz="4" w:space="0"/>
              <w:right w:val="single" w:color="auto" w:sz="4"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侨乡特色精致汕头</w:t>
            </w: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23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城区老旧小区改造完成率（%）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294"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住宅小区物业管理覆盖率（%）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45</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536"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2</w:t>
            </w: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村庄环境整治达标率（%）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77</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市农业农村局</w:t>
            </w:r>
          </w:p>
        </w:tc>
      </w:tr>
      <w:tr>
        <w:tblPrEx>
          <w:tblCellMar>
            <w:top w:w="15" w:type="dxa"/>
            <w:left w:w="15" w:type="dxa"/>
            <w:bottom w:w="15" w:type="dxa"/>
            <w:right w:w="15" w:type="dxa"/>
          </w:tblCellMar>
        </w:tblPrEx>
        <w:trPr>
          <w:trHeight w:val="668"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城乡存量用地挖潜改造项目（个）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市自然资源局</w:t>
            </w:r>
          </w:p>
        </w:tc>
      </w:tr>
      <w:tr>
        <w:tblPrEx>
          <w:tblCellMar>
            <w:top w:w="15" w:type="dxa"/>
            <w:left w:w="15" w:type="dxa"/>
            <w:bottom w:w="15" w:type="dxa"/>
            <w:right w:w="15" w:type="dxa"/>
          </w:tblCellMar>
        </w:tblPrEx>
        <w:trPr>
          <w:trHeight w:val="90" w:hRule="atLeast"/>
        </w:trPr>
        <w:tc>
          <w:tcPr>
            <w:tcW w:w="701" w:type="dxa"/>
            <w:vMerge w:val="continue"/>
            <w:tcBorders>
              <w:left w:val="single" w:color="auto" w:sz="4" w:space="0"/>
              <w:right w:val="single" w:color="auto" w:sz="4" w:space="0"/>
            </w:tcBorders>
            <w:vAlign w:val="center"/>
          </w:tcPr>
          <w:p>
            <w:pPr>
              <w:widowControl/>
              <w:ind w:firstLine="480"/>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hint="eastAsia" w:ascii="宋体" w:hAnsi="宋体" w:eastAsia="宋体" w:cs="Helvetica"/>
                <w:color w:val="auto"/>
                <w:kern w:val="0"/>
                <w:sz w:val="18"/>
                <w:szCs w:val="18"/>
              </w:rPr>
              <w:t>27</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公租房租赁补贴家庭数量（户）</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2431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2931</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1485" w:hRule="atLeast"/>
        </w:trPr>
        <w:tc>
          <w:tcPr>
            <w:tcW w:w="701" w:type="dxa"/>
            <w:vMerge w:val="continue"/>
            <w:tcBorders>
              <w:left w:val="single" w:color="auto" w:sz="4" w:space="0"/>
              <w:right w:val="single" w:color="auto" w:sz="4" w:space="0"/>
            </w:tcBorders>
            <w:vAlign w:val="center"/>
          </w:tcPr>
          <w:p>
            <w:pPr>
              <w:widowControl/>
              <w:ind w:firstLine="480"/>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hint="eastAsia" w:ascii="宋体" w:hAnsi="宋体" w:eastAsia="宋体" w:cs="Helvetica"/>
                <w:color w:val="auto"/>
                <w:kern w:val="0"/>
                <w:sz w:val="18"/>
                <w:szCs w:val="18"/>
              </w:rPr>
              <w:t>28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Helvetica"/>
                <w:color w:val="auto"/>
                <w:kern w:val="0"/>
                <w:sz w:val="18"/>
                <w:szCs w:val="18"/>
              </w:rPr>
            </w:pPr>
            <w:r>
              <w:rPr>
                <w:rFonts w:ascii="宋体" w:hAnsi="宋体" w:eastAsia="宋体" w:cs="Helvetica"/>
                <w:color w:val="auto"/>
                <w:kern w:val="0"/>
                <w:sz w:val="18"/>
                <w:szCs w:val="18"/>
              </w:rPr>
              <w:t>每10万人</w:t>
            </w:r>
            <w:r>
              <w:rPr>
                <w:rFonts w:ascii="Helvetica" w:hAnsi="Helvetica" w:eastAsia="宋体" w:cs="Helvetica"/>
                <w:color w:val="auto"/>
                <w:kern w:val="0"/>
                <w:sz w:val="18"/>
                <w:szCs w:val="18"/>
              </w:rPr>
              <w:t>拥有</w:t>
            </w:r>
            <w:r>
              <w:rPr>
                <w:rFonts w:ascii="宋体" w:hAnsi="宋体" w:eastAsia="宋体" w:cs="Helvetica"/>
                <w:color w:val="auto"/>
                <w:kern w:val="0"/>
                <w:sz w:val="18"/>
                <w:szCs w:val="18"/>
              </w:rPr>
              <w:t>的博物馆、图书馆或文化馆（处）</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0.2（博</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物馆）</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0.14（图</w:t>
            </w:r>
          </w:p>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书馆）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0.14（文化馆）</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0.4（博</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物馆）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0.5（图</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书馆）</w:t>
            </w:r>
          </w:p>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0.5（文化馆）</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992" w:hRule="atLeast"/>
        </w:trPr>
        <w:tc>
          <w:tcPr>
            <w:tcW w:w="7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国家级传统村落数量（个）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12</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≥13</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90" w:hRule="atLeast"/>
        </w:trPr>
        <w:tc>
          <w:tcPr>
            <w:tcW w:w="7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侨乡特色文化街区数量（个）</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市住房城乡建设局</w:t>
            </w:r>
            <w:r>
              <w:rPr>
                <w:rFonts w:ascii="Helvetica" w:hAnsi="Helvetica" w:eastAsia="宋体" w:cs="Helvetica"/>
                <w:color w:val="auto"/>
                <w:kern w:val="0"/>
                <w:sz w:val="18"/>
                <w:szCs w:val="18"/>
              </w:rPr>
              <w:t>市、文广旅体局</w:t>
            </w:r>
          </w:p>
        </w:tc>
      </w:tr>
      <w:tr>
        <w:tblPrEx>
          <w:tblCellMar>
            <w:top w:w="15" w:type="dxa"/>
            <w:left w:w="15" w:type="dxa"/>
            <w:bottom w:w="15" w:type="dxa"/>
            <w:right w:w="15" w:type="dxa"/>
          </w:tblCellMar>
        </w:tblPrEx>
        <w:trPr>
          <w:trHeight w:val="349"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发展分目标</w:t>
            </w:r>
          </w:p>
        </w:tc>
        <w:tc>
          <w:tcPr>
            <w:tcW w:w="389" w:type="dxa"/>
            <w:tcBorders>
              <w:top w:val="single" w:color="000000" w:sz="6" w:space="0"/>
              <w:left w:val="single" w:color="auto" w:sz="4"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编号</w:t>
            </w:r>
          </w:p>
        </w:tc>
        <w:tc>
          <w:tcPr>
            <w:tcW w:w="3390"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关键指标</w:t>
            </w:r>
          </w:p>
        </w:tc>
        <w:tc>
          <w:tcPr>
            <w:tcW w:w="979"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现状值2020年</w:t>
            </w:r>
          </w:p>
        </w:tc>
        <w:tc>
          <w:tcPr>
            <w:tcW w:w="943"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目标值2025年</w:t>
            </w:r>
          </w:p>
        </w:tc>
        <w:tc>
          <w:tcPr>
            <w:tcW w:w="922"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性质</w:t>
            </w:r>
          </w:p>
        </w:tc>
        <w:tc>
          <w:tcPr>
            <w:tcW w:w="1521" w:type="dxa"/>
            <w:tcBorders>
              <w:top w:val="single" w:color="000000" w:sz="6"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b/>
                <w:bCs/>
                <w:color w:val="auto"/>
                <w:kern w:val="0"/>
                <w:szCs w:val="21"/>
              </w:rPr>
              <w:t>数据提供单位</w:t>
            </w:r>
          </w:p>
        </w:tc>
      </w:tr>
      <w:tr>
        <w:tblPrEx>
          <w:tblCellMar>
            <w:top w:w="15" w:type="dxa"/>
            <w:left w:w="15" w:type="dxa"/>
            <w:bottom w:w="15" w:type="dxa"/>
            <w:right w:w="15" w:type="dxa"/>
          </w:tblCellMar>
        </w:tblPrEx>
        <w:trPr>
          <w:trHeight w:val="816" w:hRule="atLeast"/>
        </w:trPr>
        <w:tc>
          <w:tcPr>
            <w:tcW w:w="701" w:type="dxa"/>
            <w:vMerge w:val="restart"/>
            <w:tcBorders>
              <w:top w:val="single" w:color="auto" w:sz="4" w:space="0"/>
              <w:left w:val="single" w:color="auto" w:sz="4" w:space="0"/>
              <w:right w:val="single" w:color="auto" w:sz="4" w:space="0"/>
            </w:tcBorders>
            <w:vAlign w:val="center"/>
          </w:tcPr>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侨乡</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特色</w:t>
            </w:r>
          </w:p>
          <w:p>
            <w:pPr>
              <w:widowControl/>
              <w:jc w:val="center"/>
              <w:rPr>
                <w:rFonts w:ascii="Helvetica" w:hAnsi="Helvetica" w:eastAsia="宋体" w:cs="Helvetica"/>
                <w:b/>
                <w:bCs/>
                <w:color w:val="auto"/>
                <w:kern w:val="0"/>
                <w:szCs w:val="21"/>
              </w:rPr>
            </w:pPr>
            <w:r>
              <w:rPr>
                <w:rFonts w:ascii="Helvetica" w:hAnsi="Helvetica" w:eastAsia="宋体" w:cs="Helvetica"/>
                <w:b/>
                <w:bCs/>
                <w:color w:val="auto"/>
                <w:kern w:val="0"/>
                <w:szCs w:val="21"/>
              </w:rPr>
              <w:t>精致</w:t>
            </w:r>
          </w:p>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汕头</w:t>
            </w:r>
          </w:p>
        </w:tc>
        <w:tc>
          <w:tcPr>
            <w:tcW w:w="389" w:type="dxa"/>
            <w:tcBorders>
              <w:top w:val="single" w:color="auto" w:sz="4"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1</w:t>
            </w:r>
          </w:p>
        </w:tc>
        <w:tc>
          <w:tcPr>
            <w:tcW w:w="3390"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文化、体育社区公共服务设施15分钟可达覆盖率（%）</w:t>
            </w:r>
          </w:p>
        </w:tc>
        <w:tc>
          <w:tcPr>
            <w:tcW w:w="979"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80</w:t>
            </w:r>
          </w:p>
        </w:tc>
        <w:tc>
          <w:tcPr>
            <w:tcW w:w="922"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auto" w:sz="4"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市文广旅体局、</w:t>
            </w:r>
            <w:r>
              <w:rPr>
                <w:rFonts w:hint="eastAsia" w:ascii="Helvetica" w:hAnsi="Helvetica" w:eastAsia="宋体" w:cs="Helvetica"/>
                <w:color w:val="auto"/>
                <w:kern w:val="0"/>
                <w:sz w:val="18"/>
                <w:szCs w:val="18"/>
              </w:rPr>
              <w:t>市住房城乡建设局</w:t>
            </w:r>
          </w:p>
        </w:tc>
      </w:tr>
      <w:tr>
        <w:tblPrEx>
          <w:tblCellMar>
            <w:top w:w="15" w:type="dxa"/>
            <w:left w:w="15" w:type="dxa"/>
            <w:bottom w:w="15" w:type="dxa"/>
            <w:right w:w="15" w:type="dxa"/>
          </w:tblCellMar>
        </w:tblPrEx>
        <w:trPr>
          <w:trHeight w:val="169"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Helvetica" w:hAnsi="Helvetica" w:eastAsia="宋体" w:cs="Helvetica"/>
                <w:color w:val="auto"/>
                <w:kern w:val="0"/>
                <w:sz w:val="18"/>
                <w:szCs w:val="18"/>
              </w:rPr>
              <w:t>建成区</w:t>
            </w:r>
            <w:r>
              <w:rPr>
                <w:rFonts w:ascii="Helvetica" w:hAnsi="Helvetica" w:eastAsia="宋体" w:cs="Helvetica"/>
                <w:color w:val="auto"/>
                <w:kern w:val="0"/>
                <w:sz w:val="18"/>
                <w:szCs w:val="18"/>
              </w:rPr>
              <w:t>公园绿地服务半径覆盖率（%）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80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81</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350" w:hRule="atLeast"/>
        </w:trPr>
        <w:tc>
          <w:tcPr>
            <w:tcW w:w="701"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3</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城市空气质量优良天数比例（%）</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98.6</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完成省下达目标</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市生态环境局</w:t>
            </w:r>
          </w:p>
        </w:tc>
      </w:tr>
      <w:tr>
        <w:tblPrEx>
          <w:tblCellMar>
            <w:top w:w="15" w:type="dxa"/>
            <w:left w:w="15" w:type="dxa"/>
            <w:bottom w:w="15" w:type="dxa"/>
            <w:right w:w="15" w:type="dxa"/>
          </w:tblCellMar>
        </w:tblPrEx>
        <w:trPr>
          <w:trHeight w:val="103" w:hRule="atLeast"/>
        </w:trPr>
        <w:tc>
          <w:tcPr>
            <w:tcW w:w="7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auto" w:sz="4"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城镇绿化覆盖率（%）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43.31</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44</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市城管局</w:t>
            </w:r>
          </w:p>
        </w:tc>
      </w:tr>
      <w:tr>
        <w:tblPrEx>
          <w:tblCellMar>
            <w:top w:w="15" w:type="dxa"/>
            <w:left w:w="15" w:type="dxa"/>
            <w:bottom w:w="15" w:type="dxa"/>
            <w:right w:w="15" w:type="dxa"/>
          </w:tblCellMar>
        </w:tblPrEx>
        <w:trPr>
          <w:trHeight w:val="90" w:hRule="atLeast"/>
        </w:trPr>
        <w:tc>
          <w:tcPr>
            <w:tcW w:w="701" w:type="dxa"/>
            <w:vMerge w:val="restart"/>
            <w:tcBorders>
              <w:top w:val="single" w:color="auto" w:sz="4" w:space="0"/>
              <w:left w:val="single" w:color="000000" w:sz="6" w:space="0"/>
              <w:bottom w:val="single" w:color="auto" w:sz="4"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b/>
                <w:bCs/>
                <w:color w:val="auto"/>
                <w:kern w:val="0"/>
                <w:szCs w:val="21"/>
              </w:rPr>
              <w:t>治理现代化</w:t>
            </w: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3</w:t>
            </w:r>
            <w:r>
              <w:rPr>
                <w:rFonts w:hint="eastAsia" w:ascii="宋体" w:hAnsi="宋体" w:eastAsia="宋体" w:cs="Helvetica"/>
                <w:color w:val="auto"/>
                <w:kern w:val="0"/>
                <w:sz w:val="18"/>
                <w:szCs w:val="18"/>
              </w:rPr>
              <w:t>5</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一站式服务普及率（%）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424"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居民的公平感（%）</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37</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每万人常住人口拥有社会组织（个）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6</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市民政局</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38</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万人注册志愿者数（个）</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970</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1200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447"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Helvetica"/>
                <w:color w:val="auto"/>
                <w:kern w:val="0"/>
                <w:sz w:val="18"/>
                <w:szCs w:val="18"/>
              </w:rPr>
              <w:t>39</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居民的满意程度（%）</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预期性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r>
              <w:rPr>
                <w:rFonts w:hint="eastAsia" w:ascii="宋体" w:hAnsi="宋体" w:eastAsia="宋体" w:cs="Helvetica"/>
                <w:color w:val="auto"/>
                <w:kern w:val="0"/>
                <w:sz w:val="18"/>
                <w:szCs w:val="18"/>
              </w:rPr>
              <w:t>0</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重大决策听证率（%）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ascii="宋体" w:hAnsi="宋体" w:eastAsia="宋体" w:cs="Helvetica"/>
                <w:color w:val="auto"/>
                <w:kern w:val="0"/>
                <w:sz w:val="18"/>
                <w:szCs w:val="18"/>
              </w:rPr>
              <w:t>4</w:t>
            </w:r>
            <w:r>
              <w:rPr>
                <w:rFonts w:hint="eastAsia" w:ascii="宋体" w:hAnsi="宋体" w:eastAsia="宋体" w:cs="Helvetica"/>
                <w:color w:val="auto"/>
                <w:kern w:val="0"/>
                <w:sz w:val="18"/>
                <w:szCs w:val="18"/>
              </w:rPr>
              <w:t>1</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基层自组织选举居（村）民参与率（%）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90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各区（县）政府</w:t>
            </w:r>
          </w:p>
        </w:tc>
      </w:tr>
      <w:tr>
        <w:tblPrEx>
          <w:tblCellMar>
            <w:top w:w="15" w:type="dxa"/>
            <w:left w:w="15" w:type="dxa"/>
            <w:bottom w:w="15" w:type="dxa"/>
            <w:right w:w="15" w:type="dxa"/>
          </w:tblCellMar>
        </w:tblPrEx>
        <w:trPr>
          <w:trHeight w:val="90" w:hRule="atLeast"/>
        </w:trPr>
        <w:tc>
          <w:tcPr>
            <w:tcW w:w="70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eastAsia="宋体" w:cs="宋体"/>
                <w:color w:val="auto"/>
                <w:kern w:val="0"/>
                <w:sz w:val="24"/>
                <w:szCs w:val="24"/>
              </w:rPr>
            </w:pPr>
          </w:p>
        </w:tc>
        <w:tc>
          <w:tcPr>
            <w:tcW w:w="38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w:t>
            </w:r>
          </w:p>
        </w:tc>
        <w:tc>
          <w:tcPr>
            <w:tcW w:w="339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城市服务管理网格化体系覆盖率（%）</w:t>
            </w:r>
          </w:p>
        </w:tc>
        <w:tc>
          <w:tcPr>
            <w:tcW w:w="97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hint="eastAsia" w:ascii="Helvetica" w:hAnsi="Helvetica" w:eastAsia="宋体" w:cs="Helvetica"/>
                <w:color w:val="auto"/>
                <w:kern w:val="0"/>
                <w:sz w:val="18"/>
                <w:szCs w:val="18"/>
              </w:rPr>
              <w:t>--</w:t>
            </w:r>
          </w:p>
        </w:tc>
        <w:tc>
          <w:tcPr>
            <w:tcW w:w="94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Helvetica" w:hAnsi="Helvetica" w:eastAsia="宋体" w:cs="Helvetica"/>
                <w:color w:val="auto"/>
                <w:kern w:val="0"/>
                <w:sz w:val="18"/>
                <w:szCs w:val="18"/>
              </w:rPr>
            </w:pPr>
            <w:r>
              <w:rPr>
                <w:rFonts w:ascii="Helvetica" w:hAnsi="Helvetica" w:eastAsia="宋体" w:cs="Helvetica"/>
                <w:color w:val="auto"/>
                <w:kern w:val="0"/>
                <w:sz w:val="18"/>
                <w:szCs w:val="18"/>
              </w:rPr>
              <w:t>100</w:t>
            </w:r>
          </w:p>
        </w:tc>
        <w:tc>
          <w:tcPr>
            <w:tcW w:w="92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约束性</w:t>
            </w:r>
          </w:p>
        </w:tc>
        <w:tc>
          <w:tcPr>
            <w:tcW w:w="15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ascii="Helvetica" w:hAnsi="Helvetica" w:eastAsia="宋体" w:cs="Helvetica"/>
                <w:color w:val="auto"/>
                <w:kern w:val="0"/>
                <w:sz w:val="18"/>
                <w:szCs w:val="18"/>
              </w:rPr>
              <w:t>市民政局</w:t>
            </w:r>
          </w:p>
        </w:tc>
      </w:tr>
    </w:tbl>
    <w:p>
      <w:pPr>
        <w:pStyle w:val="4"/>
        <w:pageBreakBefore w:val="0"/>
        <w:kinsoku/>
        <w:wordWrap/>
        <w:overflowPunct/>
        <w:topLinePunct w:val="0"/>
        <w:autoSpaceDE/>
        <w:autoSpaceDN/>
        <w:bidi w:val="0"/>
        <w:adjustRightInd/>
        <w:snapToGrid/>
        <w:spacing w:line="600" w:lineRule="exact"/>
        <w:textAlignment w:val="auto"/>
        <w:rPr>
          <w:color w:val="auto"/>
        </w:rPr>
      </w:pPr>
      <w:bookmarkStart w:id="7" w:name="_Toc75424401"/>
      <w:r>
        <w:rPr>
          <w:rFonts w:hint="eastAsia"/>
          <w:color w:val="auto"/>
        </w:rPr>
        <w:t>第三节 人口现状与规划依据</w:t>
      </w:r>
      <w:bookmarkEnd w:id="7"/>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
          <w:bCs/>
          <w:color w:val="auto"/>
          <w:spacing w:val="-6"/>
          <w:kern w:val="0"/>
          <w:sz w:val="32"/>
          <w:szCs w:val="32"/>
        </w:rPr>
        <w:t>1.人口空间分布整体较均衡</w:t>
      </w:r>
    </w:p>
    <w:p>
      <w:pPr>
        <w:pageBreakBefore w:val="0"/>
        <w:widowControl/>
        <w:kinsoku/>
        <w:wordWrap/>
        <w:overflowPunct/>
        <w:topLinePunct w:val="0"/>
        <w:autoSpaceDE/>
        <w:autoSpaceDN/>
        <w:bidi w:val="0"/>
        <w:adjustRightInd/>
        <w:snapToGrid/>
        <w:spacing w:line="600" w:lineRule="exact"/>
        <w:ind w:firstLine="2730" w:firstLineChars="1300"/>
        <w:textAlignment w:val="auto"/>
        <w:rPr>
          <w:rFonts w:ascii="楷体_GB2312" w:hAnsi="宋体" w:eastAsia="楷体_GB2312" w:cs="宋体"/>
          <w:color w:val="auto"/>
          <w:kern w:val="0"/>
          <w:sz w:val="24"/>
          <w:szCs w:val="24"/>
        </w:rPr>
      </w:pPr>
      <w:r>
        <w:rPr>
          <w:color w:val="auto"/>
        </w:rPr>
        <w:drawing>
          <wp:anchor distT="0" distB="0" distL="0" distR="0" simplePos="0" relativeHeight="251660288" behindDoc="0" locked="0" layoutInCell="1" allowOverlap="1">
            <wp:simplePos x="0" y="0"/>
            <wp:positionH relativeFrom="column">
              <wp:posOffset>1370965</wp:posOffset>
            </wp:positionH>
            <wp:positionV relativeFrom="paragraph">
              <wp:posOffset>10795</wp:posOffset>
            </wp:positionV>
            <wp:extent cx="2419985" cy="1656715"/>
            <wp:effectExtent l="0" t="0" r="18415" b="63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2419985" cy="1656715"/>
                    </a:xfrm>
                    <a:prstGeom prst="rect">
                      <a:avLst/>
                    </a:prstGeom>
                  </pic:spPr>
                </pic:pic>
              </a:graphicData>
            </a:graphic>
          </wp:anchor>
        </w:drawing>
      </w:r>
      <w:r>
        <w:rPr>
          <w:rFonts w:hint="eastAsia" w:ascii="楷体_GB2312" w:hAnsi="Helvetica" w:eastAsia="楷体_GB2312" w:cs="Helvetica"/>
          <w:color w:val="auto"/>
          <w:kern w:val="0"/>
          <w:sz w:val="24"/>
          <w:szCs w:val="24"/>
        </w:rPr>
        <w:t>图1 人口空间格局示意图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金平、龙湖、濠江为高密度人口集聚区。金平区共有735044人，龙湖区共有472236人，澄海区共有789114人，濠江区共有304165人，潮阳区共有1853343人，潮南区共有1486891人，南澳县共有76256人。</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2.人口性别比例总体较平衡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汕头市性别比例总体较均衡，男女比例为1</w:t>
      </w:r>
      <w:r>
        <w:rPr>
          <w:rFonts w:ascii="仿宋_GB2312" w:hAnsi="宋体" w:eastAsia="仿宋_GB2312" w:cs="宋体"/>
          <w:color w:val="auto"/>
          <w:spacing w:val="-6"/>
          <w:kern w:val="0"/>
          <w:sz w:val="32"/>
          <w:szCs w:val="32"/>
        </w:rPr>
        <w:t>01</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，金平区和龙湖区男女比例为9</w:t>
      </w:r>
      <w:r>
        <w:rPr>
          <w:rFonts w:ascii="仿宋_GB2312" w:hAnsi="宋体" w:eastAsia="仿宋_GB2312" w:cs="宋体"/>
          <w:color w:val="auto"/>
          <w:spacing w:val="-6"/>
          <w:kern w:val="0"/>
          <w:sz w:val="32"/>
          <w:szCs w:val="32"/>
        </w:rPr>
        <w:t>6</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，澄海区男女比例为9</w:t>
      </w:r>
      <w:r>
        <w:rPr>
          <w:rFonts w:ascii="仿宋_GB2312" w:hAnsi="宋体" w:eastAsia="仿宋_GB2312" w:cs="宋体"/>
          <w:color w:val="auto"/>
          <w:spacing w:val="-6"/>
          <w:kern w:val="0"/>
          <w:sz w:val="32"/>
          <w:szCs w:val="32"/>
        </w:rPr>
        <w:t>8</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，濠江区男女比例为</w:t>
      </w:r>
      <w:r>
        <w:rPr>
          <w:rFonts w:ascii="仿宋_GB2312" w:hAnsi="宋体" w:eastAsia="仿宋_GB2312" w:cs="宋体"/>
          <w:color w:val="auto"/>
          <w:spacing w:val="-6"/>
          <w:kern w:val="0"/>
          <w:sz w:val="32"/>
          <w:szCs w:val="32"/>
        </w:rPr>
        <w:t>101</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，潮阳区男女比例为1</w:t>
      </w:r>
      <w:r>
        <w:rPr>
          <w:rFonts w:ascii="仿宋_GB2312" w:hAnsi="宋体" w:eastAsia="仿宋_GB2312" w:cs="宋体"/>
          <w:color w:val="auto"/>
          <w:spacing w:val="-6"/>
          <w:kern w:val="0"/>
          <w:sz w:val="32"/>
          <w:szCs w:val="32"/>
        </w:rPr>
        <w:t>03</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，南澳县男女比例为</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100</w:t>
      </w:r>
      <w:r>
        <w:rPr>
          <w:rFonts w:hint="eastAsia" w:ascii="仿宋_GB2312" w:hAnsi="宋体" w:eastAsia="仿宋_GB2312" w:cs="宋体"/>
          <w:color w:val="auto"/>
          <w:spacing w:val="-6"/>
          <w:kern w:val="0"/>
          <w:sz w:val="32"/>
          <w:szCs w:val="32"/>
        </w:rPr>
        <w:t>，潮南区男女比例为1</w:t>
      </w:r>
      <w:r>
        <w:rPr>
          <w:rFonts w:ascii="仿宋_GB2312" w:hAnsi="宋体" w:eastAsia="仿宋_GB2312" w:cs="宋体"/>
          <w:color w:val="auto"/>
          <w:spacing w:val="-6"/>
          <w:kern w:val="0"/>
          <w:sz w:val="32"/>
          <w:szCs w:val="32"/>
        </w:rPr>
        <w:t>04</w:t>
      </w:r>
      <w:r>
        <w:rPr>
          <w:rFonts w:hint="eastAsia" w:ascii="仿宋_GB2312" w:hAnsi="宋体" w:eastAsia="仿宋_GB2312" w:cs="宋体"/>
          <w:color w:val="auto"/>
          <w:spacing w:val="-6"/>
          <w:kern w:val="0"/>
          <w:sz w:val="32"/>
          <w:szCs w:val="32"/>
        </w:rPr>
        <w:t>:1</w:t>
      </w:r>
      <w:r>
        <w:rPr>
          <w:rFonts w:ascii="仿宋_GB2312" w:hAnsi="宋体" w:eastAsia="仿宋_GB2312" w:cs="宋体"/>
          <w:color w:val="auto"/>
          <w:spacing w:val="-6"/>
          <w:kern w:val="0"/>
          <w:sz w:val="32"/>
          <w:szCs w:val="32"/>
        </w:rPr>
        <w:t>00</w:t>
      </w:r>
      <w:r>
        <w:rPr>
          <w:rFonts w:hint="eastAsia" w:ascii="仿宋_GB2312" w:hAnsi="宋体" w:eastAsia="仿宋_GB2312" w:cs="宋体"/>
          <w:color w:val="auto"/>
          <w:spacing w:val="-6"/>
          <w:kern w:val="0"/>
          <w:sz w:val="32"/>
          <w:szCs w:val="32"/>
        </w:rPr>
        <w:t xml:space="preserve">。 </w:t>
      </w:r>
    </w:p>
    <w:p>
      <w:pPr>
        <w:pageBreakBefore w:val="0"/>
        <w:widowControl/>
        <w:kinsoku/>
        <w:wordWrap/>
        <w:overflowPunct/>
        <w:topLinePunct w:val="0"/>
        <w:autoSpaceDE/>
        <w:autoSpaceDN/>
        <w:bidi w:val="0"/>
        <w:adjustRightInd/>
        <w:snapToGrid/>
        <w:spacing w:line="600" w:lineRule="exact"/>
        <w:ind w:firstLine="420" w:firstLineChars="200"/>
        <w:textAlignment w:val="auto"/>
        <w:rPr>
          <w:rFonts w:hint="eastAsia" w:ascii="楷体_GB2312" w:hAnsi="Helvetica" w:eastAsia="楷体_GB2312" w:cs="Helvetica"/>
          <w:color w:val="auto"/>
          <w:kern w:val="0"/>
          <w:sz w:val="24"/>
          <w:szCs w:val="24"/>
        </w:rPr>
      </w:pPr>
      <w:r>
        <w:rPr>
          <w:color w:val="auto"/>
        </w:rPr>
        <w:drawing>
          <wp:anchor distT="0" distB="0" distL="0" distR="0" simplePos="0" relativeHeight="251661312" behindDoc="0" locked="0" layoutInCell="1" allowOverlap="1">
            <wp:simplePos x="0" y="0"/>
            <wp:positionH relativeFrom="column">
              <wp:posOffset>-23495</wp:posOffset>
            </wp:positionH>
            <wp:positionV relativeFrom="paragraph">
              <wp:posOffset>266065</wp:posOffset>
            </wp:positionV>
            <wp:extent cx="2360295" cy="1671955"/>
            <wp:effectExtent l="0" t="0" r="1905"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2376136" cy="1682978"/>
                    </a:xfrm>
                    <a:prstGeom prst="rect">
                      <a:avLst/>
                    </a:prstGeom>
                  </pic:spPr>
                </pic:pic>
              </a:graphicData>
            </a:graphic>
          </wp:anchor>
        </w:drawing>
      </w:r>
      <w:r>
        <w:rPr>
          <w:color w:val="auto"/>
        </w:rPr>
        <w:drawing>
          <wp:anchor distT="0" distB="0" distL="0" distR="0" simplePos="0" relativeHeight="251662336" behindDoc="0" locked="0" layoutInCell="1" allowOverlap="1">
            <wp:simplePos x="0" y="0"/>
            <wp:positionH relativeFrom="column">
              <wp:posOffset>2343150</wp:posOffset>
            </wp:positionH>
            <wp:positionV relativeFrom="paragraph">
              <wp:posOffset>232410</wp:posOffset>
            </wp:positionV>
            <wp:extent cx="2830195" cy="1697990"/>
            <wp:effectExtent l="4445" t="4445" r="22860" b="12065"/>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楷体_GB2312" w:hAnsi="Helvetica" w:eastAsia="楷体_GB2312" w:cs="Helvetica"/>
          <w:color w:val="auto"/>
          <w:kern w:val="0"/>
          <w:sz w:val="24"/>
          <w:szCs w:val="24"/>
        </w:rPr>
      </w:pPr>
    </w:p>
    <w:p>
      <w:pPr>
        <w:pageBreakBefore w:val="0"/>
        <w:widowControl/>
        <w:kinsoku/>
        <w:wordWrap/>
        <w:overflowPunct/>
        <w:topLinePunct w:val="0"/>
        <w:autoSpaceDE/>
        <w:autoSpaceDN/>
        <w:bidi w:val="0"/>
        <w:adjustRightInd/>
        <w:snapToGrid/>
        <w:spacing w:line="600" w:lineRule="exact"/>
        <w:ind w:firstLine="480" w:firstLineChars="200"/>
        <w:textAlignment w:val="auto"/>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lang w:val="en-US" w:eastAsia="zh-CN"/>
        </w:rPr>
        <w:t>图</w:t>
      </w:r>
      <w:r>
        <w:rPr>
          <w:rFonts w:hint="eastAsia" w:ascii="楷体_GB2312" w:hAnsi="Helvetica" w:eastAsia="楷体_GB2312" w:cs="Helvetica"/>
          <w:color w:val="auto"/>
          <w:kern w:val="0"/>
          <w:sz w:val="24"/>
          <w:szCs w:val="24"/>
        </w:rPr>
        <w:t xml:space="preserve">2 性别比例空间格局示意图 </w:t>
      </w:r>
      <w:r>
        <w:rPr>
          <w:rFonts w:ascii="楷体_GB2312" w:hAnsi="Helvetica" w:eastAsia="楷体_GB2312" w:cs="Helvetica"/>
          <w:color w:val="auto"/>
          <w:kern w:val="0"/>
          <w:sz w:val="24"/>
          <w:szCs w:val="24"/>
        </w:rPr>
        <w:t xml:space="preserve">      </w:t>
      </w:r>
      <w:r>
        <w:rPr>
          <w:rFonts w:hint="eastAsia" w:ascii="楷体_GB2312" w:hAnsi="Helvetica" w:eastAsia="楷体_GB2312" w:cs="Helvetica"/>
          <w:color w:val="auto"/>
          <w:kern w:val="0"/>
          <w:sz w:val="24"/>
          <w:szCs w:val="24"/>
        </w:rPr>
        <w:t xml:space="preserve"> 图3 汕头市人口年龄结构</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3.人口年龄结构为稳定型</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color w:val="auto"/>
          <w:spacing w:val="-6"/>
          <w:kern w:val="0"/>
          <w:sz w:val="32"/>
          <w:szCs w:val="32"/>
        </w:rPr>
        <w:t>人口老龄化比例为1</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%，人口自然增长率为</w:t>
      </w:r>
      <w:r>
        <w:rPr>
          <w:rFonts w:ascii="仿宋_GB2312" w:hAnsi="宋体" w:eastAsia="仿宋_GB2312" w:cs="宋体"/>
          <w:color w:val="auto"/>
          <w:spacing w:val="-6"/>
          <w:kern w:val="0"/>
          <w:sz w:val="32"/>
          <w:szCs w:val="32"/>
        </w:rPr>
        <w:t>9</w:t>
      </w:r>
      <w:r>
        <w:rPr>
          <w:rFonts w:hint="eastAsia" w:ascii="仿宋_GB2312" w:hAnsi="宋体" w:eastAsia="仿宋_GB2312" w:cs="宋体"/>
          <w:color w:val="auto"/>
          <w:spacing w:val="-6"/>
          <w:kern w:val="0"/>
          <w:sz w:val="32"/>
          <w:szCs w:val="32"/>
        </w:rPr>
        <w:t>‰。人口老龄化程度进一步加深，未来一段时期将持续面临人口长期均衡发展的压力。2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年度人口出生数为7</w:t>
      </w:r>
      <w:r>
        <w:rPr>
          <w:rFonts w:ascii="仿宋_GB2312" w:hAnsi="宋体" w:eastAsia="仿宋_GB2312" w:cs="宋体"/>
          <w:color w:val="auto"/>
          <w:spacing w:val="-6"/>
          <w:kern w:val="0"/>
          <w:sz w:val="32"/>
          <w:szCs w:val="32"/>
        </w:rPr>
        <w:t>7156</w:t>
      </w:r>
      <w:r>
        <w:rPr>
          <w:rFonts w:hint="eastAsia" w:ascii="仿宋_GB2312" w:hAnsi="宋体" w:eastAsia="仿宋_GB2312" w:cs="宋体"/>
          <w:color w:val="auto"/>
          <w:spacing w:val="-6"/>
          <w:kern w:val="0"/>
          <w:sz w:val="32"/>
          <w:szCs w:val="32"/>
        </w:rPr>
        <w:t>人，死亡人口数为2</w:t>
      </w:r>
      <w:r>
        <w:rPr>
          <w:rFonts w:ascii="仿宋_GB2312" w:hAnsi="宋体" w:eastAsia="仿宋_GB2312" w:cs="宋体"/>
          <w:color w:val="auto"/>
          <w:spacing w:val="-6"/>
          <w:kern w:val="0"/>
          <w:sz w:val="32"/>
          <w:szCs w:val="32"/>
        </w:rPr>
        <w:t>5773</w:t>
      </w:r>
      <w:r>
        <w:rPr>
          <w:rFonts w:hint="eastAsia" w:ascii="仿宋_GB2312" w:hAnsi="宋体" w:eastAsia="仿宋_GB2312" w:cs="宋体"/>
          <w:color w:val="auto"/>
          <w:spacing w:val="-6"/>
          <w:kern w:val="0"/>
          <w:sz w:val="32"/>
          <w:szCs w:val="32"/>
        </w:rPr>
        <w:t>，社会生育意愿较好，年龄结构呈稳定型。</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4.城镇化率与人口流失状况</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年户籍人口城镇化率为</w:t>
      </w:r>
      <w:r>
        <w:rPr>
          <w:rFonts w:ascii="仿宋_GB2312" w:hAnsi="宋体" w:eastAsia="仿宋_GB2312" w:cs="宋体"/>
          <w:color w:val="auto"/>
          <w:spacing w:val="-6"/>
          <w:kern w:val="0"/>
          <w:sz w:val="32"/>
          <w:szCs w:val="32"/>
        </w:rPr>
        <w:t>66.58</w:t>
      </w:r>
      <w:r>
        <w:rPr>
          <w:rFonts w:hint="eastAsia" w:ascii="仿宋_GB2312" w:hAnsi="宋体" w:eastAsia="仿宋_GB2312" w:cs="宋体"/>
          <w:color w:val="auto"/>
          <w:spacing w:val="-6"/>
          <w:kern w:val="0"/>
          <w:sz w:val="32"/>
          <w:szCs w:val="32"/>
        </w:rPr>
        <w:t>%，金平区城镇化率最高，潮阳区和潮南区城镇化率较低。金平区城镇化率为97.49%，龙湖区城镇化率为75.71%，澄海区城镇化率为69.29%，濠江区城镇化率为73.77%，潮阳区城镇化率为55.54%，潮南区城镇化率为58.63%，南澳县城镇化率为78.58%。</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年度人口机械增长减少2</w:t>
      </w:r>
      <w:r>
        <w:rPr>
          <w:rFonts w:ascii="仿宋_GB2312" w:hAnsi="宋体" w:eastAsia="仿宋_GB2312" w:cs="宋体"/>
          <w:color w:val="auto"/>
          <w:spacing w:val="-6"/>
          <w:kern w:val="0"/>
          <w:sz w:val="32"/>
          <w:szCs w:val="32"/>
        </w:rPr>
        <w:t>.7</w:t>
      </w:r>
      <w:r>
        <w:rPr>
          <w:rFonts w:hint="eastAsia" w:ascii="仿宋_GB2312" w:hAnsi="宋体" w:eastAsia="仿宋_GB2312" w:cs="宋体"/>
          <w:color w:val="auto"/>
          <w:spacing w:val="-6"/>
          <w:kern w:val="0"/>
          <w:sz w:val="32"/>
          <w:szCs w:val="32"/>
        </w:rPr>
        <w:t>万人，主要迁出地为省内其他城市。人口流入方面：省内迁入</w:t>
      </w:r>
      <w:r>
        <w:rPr>
          <w:rFonts w:ascii="仿宋_GB2312" w:hAnsi="宋体" w:eastAsia="仿宋_GB2312" w:cs="宋体"/>
          <w:color w:val="auto"/>
          <w:spacing w:val="-6"/>
          <w:kern w:val="0"/>
          <w:sz w:val="32"/>
          <w:szCs w:val="32"/>
        </w:rPr>
        <w:t>7400</w:t>
      </w:r>
      <w:r>
        <w:rPr>
          <w:rFonts w:hint="eastAsia" w:ascii="仿宋_GB2312" w:hAnsi="宋体" w:eastAsia="仿宋_GB2312" w:cs="宋体"/>
          <w:color w:val="auto"/>
          <w:spacing w:val="-6"/>
          <w:kern w:val="0"/>
          <w:sz w:val="32"/>
          <w:szCs w:val="32"/>
        </w:rPr>
        <w:t>人，省外迁入</w:t>
      </w:r>
      <w:r>
        <w:rPr>
          <w:rFonts w:ascii="仿宋_GB2312" w:hAnsi="宋体" w:eastAsia="仿宋_GB2312" w:cs="宋体"/>
          <w:color w:val="auto"/>
          <w:spacing w:val="-6"/>
          <w:kern w:val="0"/>
          <w:sz w:val="32"/>
          <w:szCs w:val="32"/>
        </w:rPr>
        <w:t>4956</w:t>
      </w:r>
      <w:r>
        <w:rPr>
          <w:rFonts w:hint="eastAsia" w:ascii="仿宋_GB2312" w:hAnsi="宋体" w:eastAsia="仿宋_GB2312" w:cs="宋体"/>
          <w:color w:val="auto"/>
          <w:spacing w:val="-6"/>
          <w:kern w:val="0"/>
          <w:sz w:val="32"/>
          <w:szCs w:val="32"/>
        </w:rPr>
        <w:t>。人口流出方面：迁往省内</w:t>
      </w:r>
      <w:r>
        <w:rPr>
          <w:rFonts w:ascii="仿宋_GB2312" w:hAnsi="宋体" w:eastAsia="仿宋_GB2312" w:cs="宋体"/>
          <w:color w:val="auto"/>
          <w:spacing w:val="-6"/>
          <w:kern w:val="0"/>
          <w:sz w:val="32"/>
          <w:szCs w:val="32"/>
        </w:rPr>
        <w:t>34864</w:t>
      </w:r>
      <w:r>
        <w:rPr>
          <w:rFonts w:hint="eastAsia" w:ascii="仿宋_GB2312" w:hAnsi="宋体" w:eastAsia="仿宋_GB2312" w:cs="宋体"/>
          <w:color w:val="auto"/>
          <w:spacing w:val="-6"/>
          <w:kern w:val="0"/>
          <w:sz w:val="32"/>
          <w:szCs w:val="32"/>
        </w:rPr>
        <w:t>人，迁往省外</w:t>
      </w:r>
      <w:r>
        <w:rPr>
          <w:rFonts w:ascii="仿宋_GB2312" w:hAnsi="宋体" w:eastAsia="仿宋_GB2312" w:cs="宋体"/>
          <w:color w:val="auto"/>
          <w:spacing w:val="-6"/>
          <w:kern w:val="0"/>
          <w:sz w:val="32"/>
          <w:szCs w:val="32"/>
        </w:rPr>
        <w:t>4893</w:t>
      </w:r>
      <w:r>
        <w:rPr>
          <w:rFonts w:hint="eastAsia" w:ascii="仿宋_GB2312" w:hAnsi="宋体" w:eastAsia="仿宋_GB2312" w:cs="宋体"/>
          <w:color w:val="auto"/>
          <w:spacing w:val="-6"/>
          <w:kern w:val="0"/>
          <w:sz w:val="32"/>
          <w:szCs w:val="32"/>
        </w:rPr>
        <w:t>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综上人口基本情况看，一、二线城市强大的人口集聚能力和潮汕人四海为家、敢闯敢拼的特质，以及“十三五”期间汕头产业发展和平台建设相对缓慢是人口呈现机械负增长的主要原因。汕头以产业吸附人口、引进人才还需要一定的过程，因此，“十四五”期间人口机械增长不可能出现急剧上升的态势，创造条件使“十四五”期末人口机械增长实现稳定持平是规划目标之一。可以预见，“十四五”汕头城镇常住人口的增长将以就地城镇化为主，以自然增长为辅，保持机械增长稳定持平的策略；积极促进农村人口的转化，激发内生动力并借力外生发展是汕头“十四五”新型城镇化的基本特征。</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6"/>
          <w:kern w:val="0"/>
          <w:sz w:val="32"/>
          <w:szCs w:val="32"/>
          <w:lang w:val="en-US" w:eastAsia="zh-CN"/>
        </w:rPr>
        <w:t>规划选择趋势外推法+增幅目标法+指标取整确定汕头市“十四五”城镇化率为73.0%，即在趋势外推法的基础上，综合考虑全省“十四五”常住人口城镇化率的增幅，既从地方实际出发又贯彻全省的发展要求，由趋势外推判断值71.9%和全省增幅同步目标值73.55%取整构成，与“十三五”相比，年平均有较大增速，保有一定的实现压力。</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
          <w:bCs/>
          <w:color w:val="auto"/>
          <w:spacing w:val="-6"/>
          <w:kern w:val="0"/>
          <w:sz w:val="32"/>
          <w:szCs w:val="32"/>
        </w:rPr>
        <w:t>5.规划依据</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（1）《国家新型城镇化规划（2014－2020年）》</w:t>
      </w:r>
    </w:p>
    <w:p>
      <w:pPr>
        <w:pageBreakBefore w:val="0"/>
        <w:kinsoku/>
        <w:wordWrap/>
        <w:overflowPunct/>
        <w:topLinePunct w:val="0"/>
        <w:autoSpaceDE/>
        <w:autoSpaceDN/>
        <w:bidi w:val="0"/>
        <w:adjustRightInd/>
        <w:snapToGrid/>
        <w:spacing w:line="600" w:lineRule="exact"/>
        <w:ind w:left="1562" w:leftChars="304" w:hanging="924" w:hangingChars="3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（2）《中共中央关于制定国民经济和社会发展第十四个五年规划和二〇三五年远景目标的建议》</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（3）《广东省新型城镇化规划（2021-2035年）》</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（4）《广东省县城新型城镇化补短板强弱项实施方案》</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（5）《汕头市第十二次党代会报告》</w:t>
      </w:r>
    </w:p>
    <w:p>
      <w:pPr>
        <w:pageBreakBefore w:val="0"/>
        <w:kinsoku/>
        <w:wordWrap/>
        <w:overflowPunct/>
        <w:topLinePunct w:val="0"/>
        <w:autoSpaceDE/>
        <w:autoSpaceDN/>
        <w:bidi w:val="0"/>
        <w:adjustRightInd/>
        <w:snapToGrid/>
        <w:spacing w:line="600" w:lineRule="exact"/>
        <w:ind w:left="1562" w:leftChars="304" w:hanging="924" w:hangingChars="300"/>
        <w:textAlignment w:val="auto"/>
        <w:rPr>
          <w:rFonts w:ascii="Times New Roman" w:hAnsi="Times New Roman" w:eastAsia="仿宋_GB2312" w:cs="Times New Roman"/>
          <w:color w:val="auto"/>
          <w:spacing w:val="-6"/>
          <w:kern w:val="0"/>
          <w:sz w:val="32"/>
          <w:szCs w:val="32"/>
        </w:rPr>
      </w:pPr>
      <w:r>
        <w:rPr>
          <w:rFonts w:hint="eastAsia" w:ascii="仿宋_GB2312" w:hAnsi="宋体" w:eastAsia="仿宋_GB2312" w:cs="宋体"/>
          <w:color w:val="auto"/>
          <w:spacing w:val="-6"/>
          <w:kern w:val="0"/>
          <w:sz w:val="32"/>
          <w:szCs w:val="32"/>
        </w:rPr>
        <w:t>（6）</w:t>
      </w:r>
      <w:r>
        <w:rPr>
          <w:rFonts w:ascii="Times New Roman" w:hAnsi="Times New Roman" w:eastAsia="仿宋_GB2312" w:cs="Times New Roman"/>
          <w:color w:val="auto"/>
          <w:spacing w:val="-6"/>
          <w:kern w:val="0"/>
          <w:sz w:val="32"/>
          <w:szCs w:val="32"/>
        </w:rPr>
        <w:t>《汕头市国民经济和社会发展第十四个五年规划和二〇三五年远景目标纲要》</w:t>
      </w:r>
    </w:p>
    <w:p>
      <w:pPr>
        <w:pageBreakBefore w:val="0"/>
        <w:kinsoku/>
        <w:wordWrap/>
        <w:overflowPunct/>
        <w:topLinePunct w:val="0"/>
        <w:autoSpaceDE/>
        <w:autoSpaceDN/>
        <w:bidi w:val="0"/>
        <w:adjustRightInd/>
        <w:snapToGrid/>
        <w:spacing w:line="600" w:lineRule="exact"/>
        <w:ind w:left="638" w:leftChars="304"/>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（7）《汕头市“十四五”城乡建设规划纲要》</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（8）《汕头市国土空间总体规划（2020-2035年）》</w:t>
      </w:r>
    </w:p>
    <w:p>
      <w:pPr>
        <w:pageBreakBefore w:val="0"/>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（9）《汕头市县城新型城镇化补短板强弱项实施方案》</w:t>
      </w:r>
    </w:p>
    <w:p>
      <w:pPr>
        <w:pageBreakBefore w:val="0"/>
        <w:kinsoku/>
        <w:wordWrap/>
        <w:overflowPunct/>
        <w:topLinePunct w:val="0"/>
        <w:autoSpaceDE/>
        <w:autoSpaceDN/>
        <w:bidi w:val="0"/>
        <w:adjustRightInd/>
        <w:snapToGrid/>
        <w:spacing w:line="600" w:lineRule="exact"/>
        <w:textAlignment w:val="auto"/>
        <w:rPr>
          <w:color w:val="auto"/>
        </w:rPr>
      </w:pPr>
    </w:p>
    <w:p>
      <w:pPr>
        <w:pageBreakBefore w:val="0"/>
        <w:kinsoku/>
        <w:wordWrap/>
        <w:overflowPunct/>
        <w:topLinePunct w:val="0"/>
        <w:autoSpaceDE/>
        <w:autoSpaceDN/>
        <w:bidi w:val="0"/>
        <w:adjustRightInd/>
        <w:snapToGrid/>
        <w:spacing w:line="600" w:lineRule="exact"/>
        <w:jc w:val="center"/>
        <w:textAlignment w:val="auto"/>
        <w:rPr>
          <w:rFonts w:ascii="宋体" w:hAnsi="宋体" w:eastAsia="黑体"/>
          <w:color w:val="auto"/>
          <w:kern w:val="44"/>
          <w:sz w:val="44"/>
          <w:szCs w:val="44"/>
        </w:rPr>
      </w:pPr>
      <w:bookmarkStart w:id="8" w:name="_Toc75424402"/>
      <w:r>
        <w:rPr>
          <w:rFonts w:hint="eastAsia" w:eastAsia="黑体"/>
          <w:color w:val="auto"/>
          <w:kern w:val="44"/>
          <w:sz w:val="44"/>
          <w:szCs w:val="44"/>
        </w:rPr>
        <w:br w:type="page"/>
      </w:r>
      <w:r>
        <w:rPr>
          <w:rFonts w:hint="eastAsia" w:eastAsia="黑体"/>
          <w:color w:val="auto"/>
          <w:kern w:val="44"/>
          <w:sz w:val="44"/>
          <w:szCs w:val="44"/>
        </w:rPr>
        <w:t>第二篇 贯彻国家战略，</w:t>
      </w:r>
      <w:bookmarkEnd w:id="8"/>
      <w:r>
        <w:rPr>
          <w:rFonts w:hint="eastAsia" w:eastAsia="黑体"/>
          <w:color w:val="auto"/>
          <w:kern w:val="44"/>
          <w:sz w:val="44"/>
          <w:szCs w:val="44"/>
        </w:rPr>
        <w:t>实现区域联动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bookmarkStart w:id="9" w:name="_Toc75424403"/>
      <w:r>
        <w:rPr>
          <w:rFonts w:hint="eastAsia" w:eastAsia="黑体" w:asciiTheme="majorHAnsi" w:hAnsiTheme="majorHAnsi" w:cstheme="majorBidi"/>
          <w:color w:val="auto"/>
          <w:sz w:val="32"/>
          <w:szCs w:val="32"/>
        </w:rPr>
        <w:t xml:space="preserve"> 第三章 侨乡优势与平台建设</w:t>
      </w:r>
      <w:bookmarkEnd w:id="9"/>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kern w:val="0"/>
          <w:sz w:val="32"/>
          <w:szCs w:val="32"/>
        </w:rPr>
        <w:t>回顾汕头开埠、设立经济特区、获批华侨经济文化合作试验区的发展历程，</w:t>
      </w:r>
      <w:r>
        <w:rPr>
          <w:rFonts w:hint="eastAsia" w:ascii="仿宋_GB2312" w:hAnsi="宋体" w:eastAsia="仿宋_GB2312" w:cs="宋体"/>
          <w:color w:val="auto"/>
          <w:spacing w:val="-6"/>
          <w:kern w:val="0"/>
          <w:sz w:val="32"/>
          <w:szCs w:val="32"/>
        </w:rPr>
        <w:t>侨乡是汕头的根本底色，也是汕头发展的核心竞争力所在。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“十四五”期间，汕头应紧扣“侨”字，以“侨”为桥，深化“一带一路”沿线国家与地区、RCEP贸易伙伴国的贸易往来，高标准建设跨境电商综合试验区，探索建设多式联运一单制跨境区块链平台，</w:t>
      </w:r>
      <w:r>
        <w:rPr>
          <w:rFonts w:hint="eastAsia" w:ascii="仿宋_GB2312" w:hAnsi="宋体" w:eastAsia="仿宋_GB2312" w:cs="宋体"/>
          <w:color w:val="auto"/>
          <w:kern w:val="0"/>
          <w:sz w:val="32"/>
          <w:szCs w:val="32"/>
        </w:rPr>
        <w:t>加快重大国家级平台的起步建设；</w:t>
      </w:r>
      <w:r>
        <w:rPr>
          <w:rFonts w:hint="eastAsia" w:ascii="仿宋_GB2312" w:hAnsi="宋体" w:eastAsia="仿宋_GB2312" w:cs="宋体"/>
          <w:color w:val="auto"/>
          <w:spacing w:val="-6"/>
          <w:kern w:val="0"/>
          <w:sz w:val="32"/>
          <w:szCs w:val="32"/>
        </w:rPr>
        <w:t>推进华侨经济文化合作试验区的重点项目落地，</w:t>
      </w:r>
      <w:r>
        <w:rPr>
          <w:rFonts w:hint="eastAsia" w:ascii="仿宋_GB2312" w:hAnsi="宋体" w:eastAsia="仿宋_GB2312" w:cs="宋体"/>
          <w:color w:val="auto"/>
          <w:kern w:val="0"/>
          <w:sz w:val="32"/>
          <w:szCs w:val="32"/>
        </w:rPr>
        <w:t>在重点园区和科创载体建设上取得明显突破；发挥海外工商社团桥梁作用，推动本土优势企业走出去；</w:t>
      </w:r>
      <w:r>
        <w:rPr>
          <w:rFonts w:hint="eastAsia" w:ascii="仿宋_GB2312" w:hAnsi="宋体" w:eastAsia="仿宋_GB2312" w:cs="宋体"/>
          <w:color w:val="auto"/>
          <w:spacing w:val="-6"/>
          <w:kern w:val="0"/>
          <w:sz w:val="32"/>
          <w:szCs w:val="32"/>
        </w:rPr>
        <w:t>着力打造一批潮侨文化展示空间，以文化链接“一带一路”乃至全球潮人。</w:t>
      </w:r>
      <w:bookmarkStart w:id="10" w:name="_Toc75424404"/>
    </w:p>
    <w:p>
      <w:pPr>
        <w:keepNext/>
        <w:keepLines/>
        <w:pageBreakBefore w:val="0"/>
        <w:numPr>
          <w:ilvl w:val="0"/>
          <w:numId w:val="1"/>
        </w:numPr>
        <w:kinsoku/>
        <w:wordWrap/>
        <w:overflowPunct/>
        <w:topLinePunct w:val="0"/>
        <w:autoSpaceDE/>
        <w:autoSpaceDN/>
        <w:bidi w:val="0"/>
        <w:adjustRightInd/>
        <w:snapToGrid/>
        <w:spacing w:before="260" w:after="260" w:line="600" w:lineRule="exact"/>
        <w:jc w:val="center"/>
        <w:textAlignment w:val="auto"/>
        <w:outlineLvl w:val="2"/>
        <w:rPr>
          <w:rFonts w:eastAsia="楷体"/>
          <w:bCs/>
          <w:color w:val="auto"/>
          <w:sz w:val="32"/>
          <w:szCs w:val="32"/>
        </w:rPr>
      </w:pPr>
      <w:r>
        <w:rPr>
          <w:rFonts w:hint="eastAsia" w:eastAsia="楷体"/>
          <w:bCs/>
          <w:color w:val="auto"/>
          <w:sz w:val="32"/>
          <w:szCs w:val="32"/>
        </w:rPr>
        <w:t>参与“一带一路”和大湾区建设，</w:t>
      </w:r>
    </w:p>
    <w:p>
      <w:pPr>
        <w:keepNext/>
        <w:keepLines/>
        <w:pageBreakBefore w:val="0"/>
        <w:kinsoku/>
        <w:wordWrap/>
        <w:overflowPunct/>
        <w:topLinePunct w:val="0"/>
        <w:autoSpaceDE/>
        <w:autoSpaceDN/>
        <w:bidi w:val="0"/>
        <w:adjustRightInd/>
        <w:snapToGrid/>
        <w:spacing w:before="260" w:after="260" w:line="600" w:lineRule="exact"/>
        <w:ind w:firstLine="2560" w:firstLineChars="800"/>
        <w:textAlignment w:val="auto"/>
        <w:outlineLvl w:val="2"/>
        <w:rPr>
          <w:rFonts w:ascii="宋体" w:hAnsi="宋体" w:eastAsia="宋体"/>
          <w:bCs/>
          <w:color w:val="auto"/>
          <w:sz w:val="24"/>
          <w:szCs w:val="24"/>
        </w:rPr>
      </w:pPr>
      <w:r>
        <w:rPr>
          <w:rFonts w:hint="eastAsia" w:eastAsia="楷体"/>
          <w:bCs/>
          <w:color w:val="auto"/>
          <w:sz w:val="32"/>
          <w:szCs w:val="32"/>
        </w:rPr>
        <w:t>推进华侨试验区扩能提质</w:t>
      </w:r>
    </w:p>
    <w:bookmarkEnd w:id="10"/>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习近平总书记视察汕头时再次强调了侨乡在新时代国家发展的重要意义，汕头市第十二次党代会明确坚定不移做好新时代“侨”文章，着力打造对外开放新高地。</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华侨经济文化合作试验区平台是汕头发挥侨乡优势，彰显潮汕文化、侨乡文化特色的核心空间，“十四五”期间要将华侨经济文化合作试验区打造成为“一带一路”建设的重要支点、“全球潮人之都”示范区。</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1.促进产业集聚发展</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抓住区域全面经济伙伴关系协定（RCEP</w:t>
      </w:r>
      <w:r>
        <w:rPr>
          <w:rFonts w:hint="eastAsia" w:ascii="仿宋_GB2312" w:hAnsi="宋体" w:eastAsia="仿宋_GB2312" w:cs="宋体"/>
          <w:color w:val="auto"/>
          <w:kern w:val="0"/>
          <w:sz w:val="32"/>
          <w:szCs w:val="32"/>
        </w:rPr>
        <w:t>）签订的机遇，加强与大湾区和“一带一路”沿线国家的创业投资、科创立项、园区共建等合作，争取设立“侨”特色金融</w:t>
      </w:r>
      <w:bookmarkStart w:id="43" w:name="_GoBack"/>
      <w:bookmarkEnd w:id="43"/>
      <w:r>
        <w:rPr>
          <w:rFonts w:hint="eastAsia" w:ascii="仿宋_GB2312" w:hAnsi="宋体" w:eastAsia="仿宋_GB2312" w:cs="宋体"/>
          <w:color w:val="auto"/>
          <w:kern w:val="0"/>
          <w:sz w:val="32"/>
          <w:szCs w:val="32"/>
        </w:rPr>
        <w:t>机构。</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发挥大湾区潮商社团组织、国际潮青联谊会和国际潮团联谊年会等平台桥梁纽带作用，着力引进一批企业和重大产业项目。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加强对欧美日发达经济体和东盟、南亚新兴国家的招商引资，推动商贸、文化、医疗、教育、制造业、信息化、人工智能等领域扩大对外开放，提高利用外资水平。</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动华侨试验区金融科创等高端现代产业聚集发展，按照高质量发展的要求，加快基础设施建设，加大高端制造、跨境金融、国际物流、医疗康养、新型零售、特色餐饮、休闲娱乐等行业的招商引资，推进宝能零售、宝能商业、宝能影院、吉祥服务集团、联动云、莱华酒店等项目落地，推动产业、人才、资金、信息等高端要素到华侨试验区聚集发展。</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2.实施大项目引擎驱动</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华侨试验区扩能提质必须以精准、高质量的重大项目建设来带动，防止低质量、低水平、遍地开花式的项目引进造成资源的浪费和重复建设。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color w:val="auto"/>
        </w:rPr>
      </w:pPr>
      <w:r>
        <w:rPr>
          <w:rFonts w:hint="eastAsia" w:ascii="仿宋_GB2312" w:hAnsi="宋体" w:eastAsia="仿宋_GB2312" w:cs="宋体"/>
          <w:color w:val="auto"/>
          <w:kern w:val="0"/>
          <w:sz w:val="32"/>
          <w:szCs w:val="32"/>
        </w:rPr>
        <w:t>“十四五”期间大项目主要包括：一个国家级平台——中国（汕头）跨境电子商务试验区平台，四个重点园区——中国-东南亚文化产业保税园区、深圳汕头协同创新科技园、万侨智汇城、潮商产业创意园，三个重点科创载体——金东海研究院、中国梦谷总部孵化基地、绿色智慧城市创新实验室和研究院，推动汕头与全世界的华侨华人对接交流，孵化培育创新人才、优秀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要在重点园区和科创载体建设上取得明显突破，做好中国（汕头）跨境电子商务试验区国家级平台的起步建设。积极培育以华侨商贸金融为主的现代服务业，发展区域性特色金融服务业，建设全球华侨财富管理中心。推进国家市场采购贸易试点，打造内外贸融合的国际专业直采市场，提升电子商务、市场采购等新业态在对外贸易中的比重。推动国际贸易数字化融合创新，创建国家进口贸易促进创新示范区，扩大先进技术、设备和零部件进口，增加改善民生的消费产品进口。</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3.打造潮汕华侨会客厅</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发挥国家“海智计划”工作基地、南粤侨创基地、国际潮籍博士联合会等平台作用，</w:t>
      </w:r>
      <w:r>
        <w:rPr>
          <w:rFonts w:hint="eastAsia" w:ascii="仿宋_GB2312" w:hAnsi="宋体" w:eastAsia="仿宋_GB2312" w:cs="宋体"/>
          <w:color w:val="auto"/>
          <w:kern w:val="0"/>
          <w:sz w:val="32"/>
          <w:szCs w:val="32"/>
        </w:rPr>
        <w:t>打造华人华侨创业创新服务基地、总部基地、金融服务和科技创新基地，加强与海外新兴专业侨团的联系，增强华人侨胞在汕头的情感互动，加强华侨试验区对侨胞的吸引力。</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“十四五”期间完成东海岸新城侨韵文化旅游商业带、东海岸公园、侨博会潮汕风貌带的建设；在珠港新城总部经济集聚区建设上取得突破性进展；</w:t>
      </w:r>
      <w:r>
        <w:rPr>
          <w:rFonts w:hint="eastAsia" w:ascii="仿宋_GB2312" w:hAnsi="宋体" w:eastAsia="仿宋_GB2312" w:cs="宋体"/>
          <w:color w:val="auto"/>
          <w:kern w:val="0"/>
          <w:sz w:val="32"/>
          <w:szCs w:val="32"/>
        </w:rPr>
        <w:t>完善汕头“侨梦苑”侨商产业聚集区建设；筹划建设一批以潮汕文化为特色的、具有国际品质的商业旅游空间，将侨乡风貌融入华侨试验区的城市空间中。</w:t>
      </w:r>
    </w:p>
    <w:tbl>
      <w:tblPr>
        <w:tblStyle w:val="11"/>
        <w:tblpPr w:leftFromText="180" w:rightFromText="180" w:vertAnchor="text" w:horzAnchor="page" w:tblpX="1871" w:tblpY="100"/>
        <w:tblOverlap w:val="never"/>
        <w:tblW w:w="8288" w:type="dxa"/>
        <w:tblInd w:w="0" w:type="dxa"/>
        <w:tblLayout w:type="autofit"/>
        <w:tblCellMar>
          <w:top w:w="15" w:type="dxa"/>
          <w:left w:w="15" w:type="dxa"/>
          <w:bottom w:w="15" w:type="dxa"/>
          <w:right w:w="15" w:type="dxa"/>
        </w:tblCellMar>
      </w:tblPr>
      <w:tblGrid>
        <w:gridCol w:w="8288"/>
      </w:tblGrid>
      <w:tr>
        <w:tblPrEx>
          <w:tblCellMar>
            <w:top w:w="15" w:type="dxa"/>
            <w:left w:w="15" w:type="dxa"/>
            <w:bottom w:w="15" w:type="dxa"/>
            <w:right w:w="15" w:type="dxa"/>
          </w:tblCellMar>
        </w:tblPrEx>
        <w:trPr>
          <w:trHeight w:val="262" w:hRule="atLeast"/>
        </w:trPr>
        <w:tc>
          <w:tcPr>
            <w:tcW w:w="828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珠港新城专栏：华侨试验区经济文化展示窗口</w:t>
            </w:r>
          </w:p>
        </w:tc>
      </w:tr>
      <w:tr>
        <w:tblPrEx>
          <w:tblCellMar>
            <w:top w:w="15" w:type="dxa"/>
            <w:left w:w="15" w:type="dxa"/>
            <w:bottom w:w="15" w:type="dxa"/>
            <w:right w:w="15" w:type="dxa"/>
          </w:tblCellMar>
        </w:tblPrEx>
        <w:trPr>
          <w:trHeight w:val="743" w:hRule="atLeast"/>
        </w:trPr>
        <w:tc>
          <w:tcPr>
            <w:tcW w:w="828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ind w:firstLine="482"/>
              <w:rPr>
                <w:rFonts w:ascii="宋体" w:hAnsi="宋体" w:eastAsia="宋体" w:cs="宋体"/>
                <w:color w:val="auto"/>
                <w:kern w:val="0"/>
                <w:sz w:val="24"/>
                <w:szCs w:val="24"/>
              </w:rPr>
            </w:pPr>
            <w:r>
              <w:rPr>
                <w:rFonts w:hint="eastAsia" w:ascii="楷体" w:hAnsi="楷体" w:eastAsia="楷体" w:cs="楷体"/>
                <w:color w:val="auto"/>
                <w:kern w:val="0"/>
                <w:sz w:val="24"/>
                <w:szCs w:val="24"/>
              </w:rPr>
              <w:t>珠港新城：以文化传承、低碳交通、生态绿城为理念，构筑新城空间结构，高标准打造汕头的总部经济区。总部经济组团，引进企业总部，配套发展星级酒店、公寓和购物中心等。商务配套组团，提速发展楼宇管理、会计审计、技术培训、信息咨询、法律服务等服务业。企业运营组团，增强企业运营功能，建设企业商务运营中心。商住混合组团，充分利用坐拥海湾、蓝天、美景等要素，打造独具潮汕民居特色的滨海高端居住区，为片区提供商业、教育和文化配套服务。秉承“城市生态链”理念，打造粤东滨海休闲商务区。近期以雅士利、太安堂、超声总部大楼以及国瑞会展酒店、联泰总部大厦等重点项目为抓手，聚合金融商务、总部经济等高端服务业。</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1" w:name="_Toc75424405"/>
      <w:r>
        <w:rPr>
          <w:rFonts w:hint="eastAsia" w:eastAsia="楷体"/>
          <w:bCs/>
          <w:color w:val="auto"/>
          <w:sz w:val="32"/>
          <w:szCs w:val="32"/>
        </w:rPr>
        <w:t>第二节 打造潮侨文化地标，联结侨胞家园情感</w:t>
      </w:r>
      <w:bookmarkEnd w:id="11"/>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应继续加强小公园开埠区等历史文化街区的保育活化，以“西-南-东”华侨文化时光带为主线，由城市西部小公园开埠历史风貌区、经南部潮汕文化博览中心到东部侨梦苑华侨文化展示中心，构筑潮侨文化从历史走向未来的潮侨文化体验带，建设汕头华侨华人文化交流基地，守住海外华侨华人的侨乡文化根脉，打造潮汕华侨华人追根溯源、认祖归宗的精神家园。</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汕头举办华人华侨产业交易会并建立永久会址；举办华人华侨科技创新、投资合作、文化交流等国际性会议或论坛。加快建设潮汕华侨博物馆，探索建立一批“深专精”的华侨华人主题馆，推进“最美侨村”示范点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color w:val="auto"/>
          <w:kern w:val="0"/>
          <w:sz w:val="32"/>
          <w:szCs w:val="32"/>
        </w:rPr>
        <w:t>“十四五”期间要完成华侨公园改造和潮博馆地块汕头地标完善项目，通过潮侨文化体验带和澄海区海丝文化(华侨文化)特色片区等项目的建设，完成一批精致空间的打造。</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1.西部开埠历史风貌区</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开埠文化+侨乡风情”为主题，全方位保育活化和业态植入，打造潮汕侨文化体验区，建设小公园历史文化保护中心、院士故里、华侨博物馆、侨领馆、华人华侨影视基地等。打造潮汕美食打卡区、非遗文化互动体验区、侨领人文故事墙，创作运营“印象潮汕”、“侨”实景艺术剧。形成以小公园开埠区为重点，打造全面立体展示汕头历史文化与人文形象的小公园博物馆群。</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2.南部潮汕文化博览中心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kern w:val="0"/>
          <w:sz w:val="32"/>
          <w:szCs w:val="32"/>
        </w:rPr>
        <w:t>充分发挥已建成潮汕文化博览中心的功能作用，将潮侨文化融入片区配套建设中，在细节体现文化、服务融入侨情，打造侨博会永久会址和侨文化传播中心。</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3.东部华侨文化展示中心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建设东海岸新城侨梦苑等华侨文化展示中心，打造吸引华侨华人企业投资的产业区，集文化休闲、经济技术开发与商务区为一体，展现新潮商风采，打造高端人才交流平台。并预留和谋划海洋博物馆、歌剧院等各类文化设施建设，形成汕头精神文化的展示和交流窗口。</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4.“最美侨村”示范点</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挖掘和精致创建具有侨文化元素和新时代美丽乡村风貌的“最美侨村”，以点带面推开“最美侨村”建设，打造“乡村寻根华侨文化路线”。</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p>
    <w:tbl>
      <w:tblPr>
        <w:tblStyle w:val="11"/>
        <w:tblpPr w:leftFromText="180" w:rightFromText="180" w:vertAnchor="text" w:tblpX="87" w:tblpY="88"/>
        <w:tblOverlap w:val="never"/>
        <w:tblW w:w="8743" w:type="dxa"/>
        <w:tblInd w:w="0" w:type="dxa"/>
        <w:tblLayout w:type="fixed"/>
        <w:tblCellMar>
          <w:top w:w="0" w:type="dxa"/>
          <w:left w:w="108" w:type="dxa"/>
          <w:bottom w:w="0" w:type="dxa"/>
          <w:right w:w="108" w:type="dxa"/>
        </w:tblCellMar>
      </w:tblPr>
      <w:tblGrid>
        <w:gridCol w:w="701"/>
        <w:gridCol w:w="1899"/>
        <w:gridCol w:w="4444"/>
        <w:gridCol w:w="1699"/>
      </w:tblGrid>
      <w:tr>
        <w:tblPrEx>
          <w:tblCellMar>
            <w:top w:w="0" w:type="dxa"/>
            <w:left w:w="108" w:type="dxa"/>
            <w:bottom w:w="0" w:type="dxa"/>
            <w:right w:w="108" w:type="dxa"/>
          </w:tblCellMar>
        </w:tblPrEx>
        <w:trPr>
          <w:trHeight w:val="477" w:hRule="atLeast"/>
        </w:trPr>
        <w:tc>
          <w:tcPr>
            <w:tcW w:w="87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rPr>
            </w:pPr>
            <w:r>
              <w:rPr>
                <w:rFonts w:hint="eastAsia" w:ascii="宋体" w:hAnsi="宋体" w:eastAsia="宋体"/>
                <w:b/>
                <w:color w:val="auto"/>
                <w:sz w:val="24"/>
                <w:szCs w:val="24"/>
              </w:rPr>
              <w:t>相关项目专栏：“十四五”期间打造侨乡特色项目表</w:t>
            </w:r>
          </w:p>
        </w:tc>
      </w:tr>
      <w:tr>
        <w:tblPrEx>
          <w:tblCellMar>
            <w:top w:w="0" w:type="dxa"/>
            <w:left w:w="108" w:type="dxa"/>
            <w:bottom w:w="0" w:type="dxa"/>
            <w:right w:w="108" w:type="dxa"/>
          </w:tblCellMar>
        </w:tblPrEx>
        <w:trPr>
          <w:trHeight w:val="57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序号</w:t>
            </w:r>
          </w:p>
        </w:tc>
        <w:tc>
          <w:tcPr>
            <w:tcW w:w="1899"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项目名称</w:t>
            </w:r>
          </w:p>
        </w:tc>
        <w:tc>
          <w:tcPr>
            <w:tcW w:w="4444"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建设内容</w:t>
            </w:r>
          </w:p>
        </w:tc>
        <w:tc>
          <w:tcPr>
            <w:tcW w:w="1699"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楷体" w:hAnsi="楷体" w:eastAsia="楷体" w:cs="楷体"/>
                <w:b/>
                <w:bCs/>
                <w:color w:val="auto"/>
                <w:sz w:val="24"/>
                <w:szCs w:val="21"/>
              </w:rPr>
            </w:pPr>
            <w:r>
              <w:rPr>
                <w:rFonts w:hint="eastAsia" w:ascii="楷体" w:hAnsi="楷体" w:eastAsia="楷体" w:cs="楷体"/>
                <w:b/>
                <w:bCs/>
                <w:color w:val="auto"/>
                <w:sz w:val="24"/>
                <w:szCs w:val="21"/>
              </w:rPr>
              <w:t>管理责任单位</w:t>
            </w:r>
          </w:p>
        </w:tc>
      </w:tr>
      <w:tr>
        <w:tblPrEx>
          <w:tblCellMar>
            <w:top w:w="0" w:type="dxa"/>
            <w:left w:w="108" w:type="dxa"/>
            <w:bottom w:w="0" w:type="dxa"/>
            <w:right w:w="108" w:type="dxa"/>
          </w:tblCellMar>
        </w:tblPrEx>
        <w:trPr>
          <w:trHeight w:val="52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海滨长廊景观提升改造工程</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道路断面优化和海滨长廊、市政管线、5G灯杆等品质提升。</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市住房城乡建设局</w:t>
            </w:r>
          </w:p>
        </w:tc>
      </w:tr>
      <w:tr>
        <w:tblPrEx>
          <w:tblCellMar>
            <w:top w:w="0" w:type="dxa"/>
            <w:left w:w="108" w:type="dxa"/>
            <w:bottom w:w="0" w:type="dxa"/>
            <w:right w:w="108" w:type="dxa"/>
          </w:tblCellMar>
        </w:tblPrEx>
        <w:trPr>
          <w:trHeight w:val="58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内海湾两岸景观提升项目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改造提升内海湾两岸的城市景观，包括城市道路和公共开敞空间品质提升、街道立面美化等。</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濠江区及金平区政府</w:t>
            </w:r>
          </w:p>
        </w:tc>
      </w:tr>
      <w:tr>
        <w:tblPrEx>
          <w:tblCellMar>
            <w:top w:w="0" w:type="dxa"/>
            <w:left w:w="108" w:type="dxa"/>
            <w:bottom w:w="0" w:type="dxa"/>
            <w:right w:w="108" w:type="dxa"/>
          </w:tblCellMar>
        </w:tblPrEx>
        <w:trPr>
          <w:trHeight w:val="168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3</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汕头综合保税区基础和监管设施建设项目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基础和监管设施改造工程:包括卡口、围网、巡逻通道、排水系统、清杂工程等；信息化系统改造。</w:t>
            </w:r>
          </w:p>
          <w:p>
            <w:pPr>
              <w:adjustRightInd w:val="0"/>
              <w:jc w:val="left"/>
              <w:rPr>
                <w:rFonts w:ascii="宋体" w:hAnsi="宋体" w:eastAsia="宋体" w:cs="宋体"/>
                <w:bCs/>
                <w:color w:val="auto"/>
                <w:szCs w:val="21"/>
              </w:rPr>
            </w:pPr>
            <w:r>
              <w:rPr>
                <w:rFonts w:hint="eastAsia" w:ascii="宋体" w:hAnsi="宋体" w:eastAsia="宋体" w:cs="宋体"/>
                <w:bCs/>
                <w:color w:val="auto"/>
                <w:szCs w:val="21"/>
              </w:rPr>
              <w:t>基础和监管设施新建工程:北卡口和消毒熏蒸区；新建海关指挥中心。</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保税区管委会</w:t>
            </w:r>
          </w:p>
        </w:tc>
      </w:tr>
      <w:tr>
        <w:tblPrEx>
          <w:tblCellMar>
            <w:top w:w="0" w:type="dxa"/>
            <w:left w:w="108" w:type="dxa"/>
            <w:bottom w:w="0" w:type="dxa"/>
            <w:right w:w="108" w:type="dxa"/>
          </w:tblCellMar>
        </w:tblPrEx>
        <w:trPr>
          <w:trHeight w:val="414"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4</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华侨试验区平台潮汕会客厅建设项目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珠港新城综合开发项目、侨韵文化旅游商业带、东海岸公园建设。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华侨试验区管委会</w:t>
            </w:r>
          </w:p>
        </w:tc>
      </w:tr>
      <w:tr>
        <w:tblPrEx>
          <w:tblCellMar>
            <w:top w:w="0" w:type="dxa"/>
            <w:left w:w="108" w:type="dxa"/>
            <w:bottom w:w="0" w:type="dxa"/>
            <w:right w:w="108" w:type="dxa"/>
          </w:tblCellMar>
        </w:tblPrEx>
        <w:trPr>
          <w:trHeight w:val="803"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华侨公园改造项目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修缮园林建筑和新建无障天桥、驿站、接待服务中心以及管理处等配套服务设施。</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市住房城乡建设局</w:t>
            </w:r>
          </w:p>
        </w:tc>
      </w:tr>
      <w:tr>
        <w:tblPrEx>
          <w:tblCellMar>
            <w:top w:w="0" w:type="dxa"/>
            <w:left w:w="108" w:type="dxa"/>
            <w:bottom w:w="0" w:type="dxa"/>
            <w:right w:w="108" w:type="dxa"/>
          </w:tblCellMar>
        </w:tblPrEx>
        <w:trPr>
          <w:trHeight w:val="864"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汕头保税区领域跨境电子商务产业园项目（一期）</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项目占地面积约175亩，总建筑面积130178.6平方米。</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保税区管委会</w:t>
            </w:r>
          </w:p>
        </w:tc>
      </w:tr>
      <w:tr>
        <w:tblPrEx>
          <w:tblCellMar>
            <w:top w:w="0" w:type="dxa"/>
            <w:left w:w="108" w:type="dxa"/>
            <w:bottom w:w="0" w:type="dxa"/>
            <w:right w:w="108" w:type="dxa"/>
          </w:tblCellMar>
        </w:tblPrEx>
        <w:trPr>
          <w:trHeight w:val="1122"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金平区鮀东古村文化旅游成片保育和改造项目</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建设鮀江潮汕文化旅游生态圈。</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blPrEx>
          <w:tblCellMar>
            <w:top w:w="0" w:type="dxa"/>
            <w:left w:w="108" w:type="dxa"/>
            <w:bottom w:w="0" w:type="dxa"/>
            <w:right w:w="108" w:type="dxa"/>
          </w:tblCellMar>
        </w:tblPrEx>
        <w:trPr>
          <w:trHeight w:val="55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东海岸新城的华侨文化展示中心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建设华侨文化展示中心</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华侨试验区管委会</w:t>
            </w:r>
          </w:p>
        </w:tc>
      </w:tr>
      <w:tr>
        <w:tblPrEx>
          <w:tblCellMar>
            <w:top w:w="0" w:type="dxa"/>
            <w:left w:w="108" w:type="dxa"/>
            <w:bottom w:w="0" w:type="dxa"/>
            <w:right w:w="108" w:type="dxa"/>
          </w:tblCellMar>
        </w:tblPrEx>
        <w:trPr>
          <w:trHeight w:val="537"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9</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潮汕文化博览中心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完善潮汕文化博览中心片区建设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濠江区政府</w:t>
            </w:r>
          </w:p>
        </w:tc>
      </w:tr>
      <w:tr>
        <w:tblPrEx>
          <w:tblCellMar>
            <w:top w:w="0" w:type="dxa"/>
            <w:left w:w="108" w:type="dxa"/>
            <w:bottom w:w="0" w:type="dxa"/>
            <w:right w:w="108" w:type="dxa"/>
          </w:tblCellMar>
        </w:tblPrEx>
        <w:trPr>
          <w:trHeight w:val="695"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小公园开埠区历史文化保护中心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历史文化保护中心软硬件建设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blPrEx>
          <w:tblCellMar>
            <w:top w:w="0" w:type="dxa"/>
            <w:left w:w="108" w:type="dxa"/>
            <w:bottom w:w="0" w:type="dxa"/>
            <w:right w:w="108" w:type="dxa"/>
          </w:tblCellMar>
        </w:tblPrEx>
        <w:trPr>
          <w:trHeight w:val="743"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899"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澄海区的六合新城文化展示中心</w:t>
            </w:r>
          </w:p>
        </w:tc>
        <w:tc>
          <w:tcPr>
            <w:tcW w:w="4444" w:type="dxa"/>
            <w:tcBorders>
              <w:top w:val="nil"/>
              <w:left w:val="nil"/>
              <w:bottom w:val="single" w:color="auto" w:sz="4" w:space="0"/>
              <w:right w:val="single" w:color="auto" w:sz="4" w:space="0"/>
            </w:tcBorders>
            <w:shd w:val="clear" w:color="auto" w:fill="auto"/>
            <w:vAlign w:val="center"/>
          </w:tcPr>
          <w:p>
            <w:pPr>
              <w:adjustRightInd w:val="0"/>
              <w:jc w:val="left"/>
              <w:rPr>
                <w:rFonts w:ascii="宋体" w:hAnsi="宋体" w:eastAsia="宋体" w:cs="宋体"/>
                <w:bCs/>
                <w:color w:val="auto"/>
                <w:szCs w:val="21"/>
              </w:rPr>
            </w:pPr>
            <w:r>
              <w:rPr>
                <w:rFonts w:hint="eastAsia" w:ascii="宋体" w:hAnsi="宋体" w:eastAsia="宋体" w:cs="宋体"/>
                <w:bCs/>
                <w:color w:val="auto"/>
                <w:szCs w:val="21"/>
              </w:rPr>
              <w:t>六合新城文化展示中心软硬件建设</w:t>
            </w:r>
          </w:p>
        </w:tc>
        <w:tc>
          <w:tcPr>
            <w:tcW w:w="1699" w:type="dxa"/>
            <w:tcBorders>
              <w:top w:val="nil"/>
              <w:left w:val="nil"/>
              <w:bottom w:val="single" w:color="auto" w:sz="4" w:space="0"/>
              <w:right w:val="single" w:color="auto" w:sz="4" w:space="0"/>
            </w:tcBorders>
            <w:shd w:val="clear" w:color="auto" w:fill="auto"/>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澄海区政府</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bookmarkStart w:id="12" w:name="_Toc75424406"/>
      <w:r>
        <w:rPr>
          <w:rFonts w:hint="eastAsia" w:eastAsia="黑体" w:asciiTheme="majorHAnsi" w:hAnsiTheme="majorHAnsi" w:cstheme="majorBidi"/>
          <w:color w:val="auto"/>
          <w:sz w:val="32"/>
          <w:szCs w:val="32"/>
        </w:rPr>
        <w:t>第四章 科创引领与产业</w:t>
      </w:r>
      <w:bookmarkEnd w:id="12"/>
      <w:r>
        <w:rPr>
          <w:rFonts w:hint="eastAsia" w:eastAsia="黑体" w:asciiTheme="majorHAnsi" w:hAnsiTheme="majorHAnsi" w:cstheme="majorBidi"/>
          <w:color w:val="auto"/>
          <w:sz w:val="32"/>
          <w:szCs w:val="32"/>
        </w:rPr>
        <w:t>强市</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宋体"/>
          <w:color w:val="auto"/>
          <w:kern w:val="0"/>
          <w:sz w:val="24"/>
          <w:szCs w:val="24"/>
        </w:rPr>
      </w:pPr>
      <w:r>
        <w:rPr>
          <w:rFonts w:hint="eastAsia" w:ascii="仿宋_GB2312" w:hAnsi="宋体" w:eastAsia="仿宋_GB2312" w:cs="宋体"/>
          <w:color w:val="auto"/>
          <w:kern w:val="0"/>
          <w:sz w:val="32"/>
          <w:szCs w:val="32"/>
        </w:rPr>
        <w:t>创新是引领发展的第一动力，是建设现代化经济体系的战略支撑。“十四五”期间，应聚焦中以科创平台与重点科创园区的高质量建设，构建创新产业体系，发挥侨乡和华侨试验区在双循环中的独特优势，扩大与国际科创的交流合作规模。实施关键核心技术攻关、高新技术企业倍增、规上工业企业研发机构全覆盖和科技服务体系提升“四大行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3" w:name="_Toc75424407"/>
      <w:r>
        <w:rPr>
          <w:rFonts w:hint="eastAsia" w:eastAsia="楷体"/>
          <w:bCs/>
          <w:color w:val="auto"/>
          <w:sz w:val="32"/>
          <w:szCs w:val="32"/>
        </w:rPr>
        <w:t>第一节 扩大国际科创合作，打造区域创新中心</w:t>
      </w:r>
      <w:bookmarkEnd w:id="13"/>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色列理工学院是以色列一流、全球顶尖的创新科研机构，依托广东以色列理工学院建设中以科创平台，构建汕头创新体系核心。“十四五”期间着力提升中以科创平台的能级，为汕头打造区域科创中心抢占高地。</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1.促进多层级科创平台建设，构建创新产业体系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采取“科学园+技术园+产业园+配套区”多层级互动的科创发展模式，着力打造具有国家科技影响力的新城、粤东科创中心的核心区域、推动地区产业转型升级的强大引擎和传承多元文化、展现山水特色的“南方硅谷，智慧新城”。</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着力构建“1+4+2”的创新产业体系：“1”即以科技研发创新为核心支撑，“4”即建立“众创空间+孵化器+加速器+园区”的全链条创新服务体系，“2”即依托汕头大学和广东以色列理工学院，构建政府、大学、企业多方协同的科技孵化平台，立足“校区、园区、城区、社区”四区联动，组织创新合作区的空间斑块，推动产城融合发展，带动区域产业转型与功能提升。重点打造智能制造、大健康、高端电子信息、新材料等四大主导产业；重点建设“智能制造园区、健康产业园区、IT产业园区、新材料产业园区”四大园区，以及“总部经济、大物流”两大基地。</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2.发挥中以科创平台优势，扩大国际交流合作</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完善汕头与以色列共建“科技之桥”项目对接机制</w:t>
      </w:r>
      <w:r>
        <w:rPr>
          <w:rFonts w:hint="eastAsia" w:ascii="仿宋_GB2312" w:hAnsi="宋体" w:eastAsia="仿宋_GB2312" w:cs="宋体"/>
          <w:color w:val="auto"/>
          <w:kern w:val="0"/>
          <w:sz w:val="32"/>
          <w:szCs w:val="32"/>
        </w:rPr>
        <w:t>，</w:t>
      </w:r>
      <w:r>
        <w:rPr>
          <w:rFonts w:hint="eastAsia" w:ascii="仿宋_GB2312" w:hAnsi="宋体" w:eastAsia="仿宋_GB2312" w:cs="宋体"/>
          <w:bCs/>
          <w:color w:val="auto"/>
          <w:kern w:val="0"/>
          <w:sz w:val="32"/>
          <w:szCs w:val="32"/>
        </w:rPr>
        <w:t>进一步拓宽广东以色列理工学院在粤东的创新教育覆盖范围；加强与以色列开展形式多样的科技创新合作高峰论坛，</w:t>
      </w:r>
      <w:r>
        <w:rPr>
          <w:rFonts w:hint="eastAsia" w:ascii="仿宋_GB2312" w:hAnsi="宋体" w:eastAsia="仿宋_GB2312" w:cs="宋体"/>
          <w:color w:val="auto"/>
          <w:kern w:val="0"/>
          <w:sz w:val="32"/>
          <w:szCs w:val="32"/>
        </w:rPr>
        <w:t>打造自主创新核心区、国际科技合作承载区。</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与华侨试验区等国际平台协作，扩大国际交流合作规模，推动国际区域政策合作试点，加快合作协议示范项目落地建设。探索“离岸科创”相关政策，建设面向全球的“华侨科技成果转化中心，搭建服务全球华侨华人的技术交易市场和知识产权交易市场，建设全球华侨创新创业生态圈。</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3.融入大湾区产业体系，建设区域创新中心</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引进大湾区研发设计、智能制造等企业，推动纺织服装、工艺玩具、机械制造等传统产业转型升级。主动承接珠三角装备制造、电子信息、新能源、生物医药等龙头企业的配套企业、高端现代服务企业的相关服务外包环节落户。促进汕头智能制造产业链与河源、汕尾、梅州电子信息产业联动发展。吸引珠三角地区新产品、新技术、新业态、新模式等以多种共建模式在汕头实体化和产业化。参与粤港澳大湾区国际科技创新中心建设，借力深圳“设计+”赋能汕头服装、玩具优势产业，争取大湾区设立研发、设计分中心和检验检测等机构落户汕头。推进化学与精细化工广东省实验室、高等级生物安全实验室、广东省智能化超声成像技术装备创新中心建设。</w:t>
      </w:r>
    </w:p>
    <w:tbl>
      <w:tblPr>
        <w:tblStyle w:val="11"/>
        <w:tblW w:w="8700" w:type="dxa"/>
        <w:tblInd w:w="92" w:type="dxa"/>
        <w:tblLayout w:type="autofit"/>
        <w:tblCellMar>
          <w:top w:w="15" w:type="dxa"/>
          <w:left w:w="15" w:type="dxa"/>
          <w:bottom w:w="15" w:type="dxa"/>
          <w:right w:w="15" w:type="dxa"/>
        </w:tblCellMar>
      </w:tblPr>
      <w:tblGrid>
        <w:gridCol w:w="8700"/>
      </w:tblGrid>
      <w:tr>
        <w:tblPrEx>
          <w:tblCellMar>
            <w:top w:w="15" w:type="dxa"/>
            <w:left w:w="15" w:type="dxa"/>
            <w:bottom w:w="15" w:type="dxa"/>
            <w:right w:w="15" w:type="dxa"/>
          </w:tblCellMar>
        </w:tblPrEx>
        <w:trPr>
          <w:trHeight w:val="435" w:hRule="atLeast"/>
        </w:trPr>
        <w:tc>
          <w:tcPr>
            <w:tcW w:w="87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汕头高新区专栏：汕头高新区高质量发展策略</w:t>
            </w:r>
          </w:p>
        </w:tc>
      </w:tr>
      <w:tr>
        <w:tblPrEx>
          <w:tblCellMar>
            <w:top w:w="15" w:type="dxa"/>
            <w:left w:w="15" w:type="dxa"/>
            <w:bottom w:w="15" w:type="dxa"/>
            <w:right w:w="15" w:type="dxa"/>
          </w:tblCellMar>
        </w:tblPrEx>
        <w:trPr>
          <w:trHeight w:val="765" w:hRule="atLeast"/>
        </w:trPr>
        <w:tc>
          <w:tcPr>
            <w:tcW w:w="87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ind w:firstLine="482"/>
              <w:rPr>
                <w:rFonts w:ascii="楷体" w:hAnsi="楷体" w:eastAsia="楷体" w:cs="楷体"/>
                <w:color w:val="auto"/>
                <w:kern w:val="0"/>
                <w:sz w:val="24"/>
                <w:szCs w:val="24"/>
              </w:rPr>
            </w:pPr>
            <w:r>
              <w:rPr>
                <w:rFonts w:hint="eastAsia" w:ascii="楷体" w:hAnsi="楷体" w:eastAsia="楷体" w:cs="楷体"/>
                <w:color w:val="auto"/>
                <w:kern w:val="0"/>
                <w:sz w:val="24"/>
                <w:szCs w:val="24"/>
              </w:rPr>
              <w:t>汕头高新区将围绕建设创新驱动发展示范区和高质量发展先行区，打造区域创新策源地的目标定位，坚定不移推动高新区高质量发展。落实新发展理念，坚持创新驱动发展战略，以东片区优化提升、西片区高标准规划建设的总体思路，深化改革，创新体制机制，营造良好创新创业生态，加快国家高新区建设步伐，助力汕头在新时代经济特区建设中迎头赶上。</w:t>
            </w:r>
          </w:p>
          <w:p>
            <w:pPr>
              <w:widowControl/>
              <w:spacing w:line="400" w:lineRule="exact"/>
              <w:ind w:firstLine="482"/>
              <w:rPr>
                <w:rFonts w:ascii="宋体" w:hAnsi="宋体" w:eastAsia="宋体" w:cs="宋体"/>
                <w:color w:val="auto"/>
                <w:kern w:val="0"/>
                <w:sz w:val="24"/>
                <w:szCs w:val="24"/>
              </w:rPr>
            </w:pPr>
            <w:r>
              <w:rPr>
                <w:rFonts w:hint="eastAsia" w:ascii="楷体" w:hAnsi="楷体" w:eastAsia="楷体" w:cs="楷体"/>
                <w:color w:val="auto"/>
                <w:kern w:val="0"/>
                <w:sz w:val="24"/>
                <w:szCs w:val="24"/>
              </w:rPr>
              <w:t>十四五期间，汕头高新区将从下列三个重点任务入手：打造高水平创新平台、构建现代产业体系，优化园区营商环境。通过提升产业源头创新能力，培育和发展特色主导产业；形成一批创新型产业集群，增强创新创业活力，深化区域协同发展，加速链接全球创新资源；基本建成高科技产业园区，引领支撑汕头新兴产业培育和传统产业转型升级。</w:t>
            </w:r>
          </w:p>
        </w:tc>
      </w:tr>
    </w:tbl>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十四五”期间，要完成汕头高新区中以（汕头）科技创新合作区（5G产业平台）配套设施建设项目（一期）、中以（汕头）科技创新合作区市政道路及配套工程等基础设施建设项目、中以（汕头）科技创新合作区层级化建设项目、汕大东校区暨亚青会场馆项目周边支路及支河涌工程项目等基本城市建设项目，完善城市基础设施建设，为高质量城镇化打好基础。推进大港河产城融合示范区项目、科创合作区产城融合发展示范区建设项目，助力中以科创平台国际合作行动。</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hint="default" w:ascii="宋体" w:hAnsi="宋体" w:eastAsia="楷体"/>
          <w:bCs/>
          <w:color w:val="auto"/>
          <w:sz w:val="24"/>
          <w:szCs w:val="24"/>
          <w:lang w:val="en-US" w:eastAsia="zh-CN"/>
        </w:rPr>
      </w:pPr>
      <w:bookmarkStart w:id="14" w:name="_Toc75424408"/>
      <w:r>
        <w:rPr>
          <w:rFonts w:hint="eastAsia" w:eastAsia="楷体"/>
          <w:bCs/>
          <w:color w:val="auto"/>
          <w:sz w:val="32"/>
          <w:szCs w:val="32"/>
        </w:rPr>
        <w:t>第二节</w:t>
      </w:r>
      <w:r>
        <w:rPr>
          <w:rFonts w:hint="eastAsia" w:eastAsia="楷体"/>
          <w:bCs/>
          <w:color w:val="auto"/>
          <w:sz w:val="32"/>
          <w:szCs w:val="32"/>
          <w:lang w:val="en-US" w:eastAsia="zh-CN"/>
        </w:rPr>
        <w:t xml:space="preserve"> 优化产业发展格局</w:t>
      </w:r>
      <w:r>
        <w:rPr>
          <w:rFonts w:hint="eastAsia" w:eastAsia="楷体"/>
          <w:bCs/>
          <w:color w:val="auto"/>
          <w:sz w:val="32"/>
          <w:szCs w:val="32"/>
        </w:rPr>
        <w:t>，</w:t>
      </w:r>
      <w:r>
        <w:rPr>
          <w:rFonts w:hint="eastAsia" w:eastAsia="楷体"/>
          <w:bCs/>
          <w:color w:val="auto"/>
          <w:sz w:val="32"/>
          <w:szCs w:val="32"/>
          <w:lang w:val="en-US" w:eastAsia="zh-CN"/>
        </w:rPr>
        <w:t>构建现代产业体系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“十四五”期间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坚定不移走“工业立市、产业强市”之路，以重大平台建设为载体，大力发展新能源、新材料、新一代电子信息3个战略性新兴产业，赋能纺织服装、玩具创意2个特色优势传统产业链式发展，着力培育1个大健康产业，实施“百亿企业、千亿产业”培育计划，构建“三新两特一大”产业发展格局</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着力构建更具竞争力的现代产业体系。</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1.</w:t>
      </w:r>
      <w:r>
        <w:rPr>
          <w:rFonts w:hint="eastAsia" w:ascii="仿宋_GB2312" w:hAnsi="宋体" w:eastAsia="仿宋_GB2312" w:cs="宋体"/>
          <w:b/>
          <w:bCs/>
          <w:color w:val="auto"/>
          <w:kern w:val="0"/>
          <w:sz w:val="32"/>
          <w:szCs w:val="32"/>
        </w:rPr>
        <w:t>加快构建</w:t>
      </w:r>
      <w:r>
        <w:rPr>
          <w:rFonts w:hint="default" w:ascii="仿宋_GB2312" w:hAnsi="宋体" w:eastAsia="仿宋_GB2312" w:cs="宋体"/>
          <w:b/>
          <w:bCs/>
          <w:color w:val="auto"/>
          <w:kern w:val="0"/>
          <w:sz w:val="32"/>
          <w:szCs w:val="32"/>
          <w:lang w:val="en-US" w:eastAsia="zh-CN"/>
        </w:rPr>
        <w:t>“三新两特一大”产业</w:t>
      </w:r>
      <w:r>
        <w:rPr>
          <w:rFonts w:hint="eastAsia" w:ascii="仿宋_GB2312" w:hAnsi="宋体" w:eastAsia="仿宋_GB2312" w:cs="宋体"/>
          <w:b/>
          <w:bCs/>
          <w:color w:val="auto"/>
          <w:kern w:val="0"/>
          <w:sz w:val="32"/>
          <w:szCs w:val="32"/>
          <w:lang w:val="en-US" w:eastAsia="zh-CN"/>
        </w:rPr>
        <w:t>发展格</w:t>
      </w:r>
      <w:r>
        <w:rPr>
          <w:rFonts w:hint="default" w:ascii="仿宋_GB2312" w:hAnsi="宋体" w:eastAsia="仿宋_GB2312" w:cs="宋体"/>
          <w:b/>
          <w:bCs/>
          <w:color w:val="auto"/>
          <w:kern w:val="0"/>
          <w:sz w:val="32"/>
          <w:szCs w:val="32"/>
          <w:lang w:val="en-US" w:eastAsia="zh-CN"/>
        </w:rPr>
        <w:t>局</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谋划推动6000万千瓦海上风电资源开发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加快建设粤东千万千瓦级海上风电基地，形成“1+3+3”海上风电生态体系，建成国际风电创新港。同步推进氢能、储能、智慧电气装备等产业发展，</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打造超2000亿元新能源产业集群。加速化学与精细化工省实验室科研成果产业化，大力发展化工新材料、新能源电池材料、可降解塑料等产业，</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打造超1000亿元新材料产业集群。以立讯精密等重大项目为牵引，依托区域性国际通信业务出入口局和“粤东数谷”等平台，加快发展跨境金融、跨境电商和工业互联网等数字经济，</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打造超1000亿元新一代电子信息产业集群。</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重构纺织服装产业链、价值链，支持龙头企业组建产业创新联盟，建设供应链选品中心、电商产业园等，整合资源畅通产业循环，</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打造超2000亿元纺织服装产业集群。推进工艺玩具与数字创意融合，建设玩具与主题公园、精品文化街区相结合的创意综合体，培育壮大“玩具+”跨界融合新业态，</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打造超500亿元玩具创意产业集群。做大做强生物医药产业，大力发展高端医疗器械设备制造业，拓展精准医疗、智慧健康等服务功能，</w:t>
      </w:r>
      <w:r>
        <w:rPr>
          <w:rFonts w:hint="eastAsia" w:ascii="仿宋_GB2312" w:hAnsi="宋体" w:eastAsia="仿宋_GB2312" w:cs="宋体"/>
          <w:color w:val="auto"/>
          <w:kern w:val="0"/>
          <w:sz w:val="32"/>
          <w:szCs w:val="32"/>
          <w:lang w:eastAsia="zh-CN"/>
        </w:rPr>
        <w:t>加快</w:t>
      </w:r>
      <w:r>
        <w:rPr>
          <w:rFonts w:hint="eastAsia" w:ascii="仿宋_GB2312" w:hAnsi="宋体" w:eastAsia="仿宋_GB2312" w:cs="宋体"/>
          <w:color w:val="auto"/>
          <w:kern w:val="0"/>
          <w:sz w:val="32"/>
          <w:szCs w:val="32"/>
        </w:rPr>
        <w:t>打造超500亿元大健康产业集群。加快发展科技、金融、商务会展、现代物流等生产性服务业，推动与制造业融合发展。</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b/>
          <w:bCs/>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2.完善</w:t>
      </w:r>
      <w:r>
        <w:rPr>
          <w:rFonts w:hint="eastAsia" w:ascii="仿宋_GB2312" w:hAnsi="宋体" w:eastAsia="仿宋_GB2312" w:cs="宋体"/>
          <w:b/>
          <w:bCs/>
          <w:color w:val="auto"/>
          <w:kern w:val="0"/>
          <w:sz w:val="32"/>
          <w:szCs w:val="32"/>
        </w:rPr>
        <w:t>科创公共设施</w:t>
      </w:r>
      <w:r>
        <w:rPr>
          <w:rFonts w:hint="eastAsia" w:ascii="仿宋_GB2312" w:hAnsi="宋体" w:eastAsia="仿宋_GB2312" w:cs="宋体"/>
          <w:b/>
          <w:bCs/>
          <w:color w:val="auto"/>
          <w:kern w:val="0"/>
          <w:sz w:val="32"/>
          <w:szCs w:val="32"/>
          <w:lang w:val="en-US" w:eastAsia="zh-CN"/>
        </w:rPr>
        <w:t>和服务体系</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围绕澄海动漫玩具制造业园区、榕江智慧谷、汕头高新区、潮南纺织创新基地、南澳潮汕文化研究中心发展需要，配套完善公共服务设施，进一步完善公共技术服务体系。引进各类科技服务机构进驻，构建互联网线上线下全方位的科技服务体系，加强检验检测服务平台建设，努力构建与汕头产业发展相配套的公共检测技术服务体系。</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3.</w:t>
      </w:r>
      <w:r>
        <w:rPr>
          <w:rFonts w:hint="eastAsia" w:ascii="仿宋_GB2312" w:hAnsi="宋体" w:eastAsia="仿宋_GB2312" w:cs="宋体"/>
          <w:b/>
          <w:bCs/>
          <w:color w:val="auto"/>
          <w:kern w:val="0"/>
          <w:sz w:val="32"/>
          <w:szCs w:val="32"/>
        </w:rPr>
        <w:t>全力构筑重大平台载体</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以国家高新区、综合保税区、华侨试验区和大型产业集聚区为依托，着力构建支撑产业高质量发展的新动能</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打造“工业立市、产业强市”新样板</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新标杆</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新高地</w:t>
      </w:r>
      <w:r>
        <w:rPr>
          <w:rFonts w:hint="eastAsia" w:ascii="仿宋_GB2312" w:hAnsi="宋体" w:eastAsia="仿宋_GB2312" w:cs="宋体"/>
          <w:color w:val="auto"/>
          <w:kern w:val="0"/>
          <w:sz w:val="32"/>
          <w:szCs w:val="32"/>
          <w:lang w:eastAsia="zh-CN"/>
        </w:rPr>
        <w:t>和</w:t>
      </w:r>
      <w:r>
        <w:rPr>
          <w:rFonts w:hint="eastAsia" w:ascii="仿宋_GB2312" w:hAnsi="宋体" w:eastAsia="仿宋_GB2312" w:cs="宋体"/>
          <w:color w:val="auto"/>
          <w:kern w:val="0"/>
          <w:sz w:val="32"/>
          <w:szCs w:val="32"/>
        </w:rPr>
        <w:t>新引擎。坚持“一把手”抓招商引资，围绕“三新两特一大”产业格局，制定重点产业链式发展行动计划和扶持政策，着力引进世界500强、中国500强企业的优质项目，做大做强各区工业园区，力争全市工业园区产值占工业总产值比重翻一番。立足各区（县）资源禀赋，打造各具特色的现代化新范例。</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4.</w:t>
      </w:r>
      <w:r>
        <w:rPr>
          <w:rFonts w:hint="eastAsia" w:ascii="仿宋_GB2312" w:hAnsi="宋体" w:eastAsia="仿宋_GB2312" w:cs="宋体"/>
          <w:b/>
          <w:bCs/>
          <w:color w:val="auto"/>
          <w:kern w:val="0"/>
          <w:sz w:val="32"/>
          <w:szCs w:val="32"/>
        </w:rPr>
        <w:t>加强与深圳</w:t>
      </w:r>
      <w:r>
        <w:rPr>
          <w:rFonts w:hint="eastAsia" w:ascii="仿宋_GB2312" w:hAnsi="宋体" w:eastAsia="仿宋_GB2312" w:cs="宋体"/>
          <w:b/>
          <w:bCs/>
          <w:color w:val="auto"/>
          <w:kern w:val="0"/>
          <w:sz w:val="32"/>
          <w:szCs w:val="32"/>
          <w:lang w:val="en-US" w:eastAsia="zh-CN"/>
        </w:rPr>
        <w:t>产业多元</w:t>
      </w:r>
      <w:r>
        <w:rPr>
          <w:rFonts w:hint="eastAsia" w:ascii="仿宋_GB2312" w:hAnsi="宋体" w:eastAsia="仿宋_GB2312" w:cs="宋体"/>
          <w:b/>
          <w:bCs/>
          <w:color w:val="auto"/>
          <w:kern w:val="0"/>
          <w:sz w:val="32"/>
          <w:szCs w:val="32"/>
        </w:rPr>
        <w:t>深度</w:t>
      </w:r>
      <w:r>
        <w:rPr>
          <w:rFonts w:hint="eastAsia" w:ascii="仿宋_GB2312" w:hAnsi="宋体" w:eastAsia="仿宋_GB2312" w:cs="宋体"/>
          <w:b/>
          <w:bCs/>
          <w:color w:val="auto"/>
          <w:kern w:val="0"/>
          <w:sz w:val="32"/>
          <w:szCs w:val="32"/>
          <w:lang w:val="en-US" w:eastAsia="zh-CN"/>
        </w:rPr>
        <w:t>合</w:t>
      </w:r>
      <w:r>
        <w:rPr>
          <w:rFonts w:hint="eastAsia" w:ascii="仿宋_GB2312" w:hAnsi="宋体" w:eastAsia="仿宋_GB2312" w:cs="宋体"/>
          <w:b/>
          <w:bCs/>
          <w:color w:val="auto"/>
          <w:kern w:val="0"/>
          <w:sz w:val="32"/>
          <w:szCs w:val="32"/>
        </w:rPr>
        <w:t>作</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用足用好“核+副中心”动力机制，建立“每年十项深度协作示范性工程清单”，</w:t>
      </w:r>
      <w:r>
        <w:rPr>
          <w:rFonts w:hint="eastAsia" w:ascii="仿宋_GB2312" w:hAnsi="宋体" w:eastAsia="仿宋_GB2312" w:cs="宋体"/>
          <w:color w:val="auto"/>
          <w:kern w:val="0"/>
          <w:sz w:val="32"/>
          <w:szCs w:val="32"/>
        </w:rPr>
        <w:t>重点</w:t>
      </w:r>
      <w:r>
        <w:rPr>
          <w:rFonts w:hint="eastAsia" w:ascii="仿宋_GB2312" w:hAnsi="宋体" w:eastAsia="仿宋_GB2312" w:cs="宋体"/>
          <w:color w:val="auto"/>
          <w:kern w:val="0"/>
          <w:sz w:val="32"/>
          <w:szCs w:val="32"/>
          <w:lang w:val="en-US" w:eastAsia="zh-CN"/>
        </w:rPr>
        <w:t>推进</w:t>
      </w:r>
      <w:r>
        <w:rPr>
          <w:rFonts w:hint="eastAsia" w:ascii="仿宋_GB2312" w:hAnsi="宋体" w:eastAsia="仿宋_GB2312" w:cs="宋体"/>
          <w:color w:val="auto"/>
          <w:kern w:val="0"/>
          <w:sz w:val="32"/>
          <w:szCs w:val="32"/>
        </w:rPr>
        <w:t>深圳汕头协同创新科技园、协同创新交流中心的建设</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主动服务和支持深圳先行示范区建设，</w:t>
      </w:r>
      <w:r>
        <w:rPr>
          <w:rFonts w:hint="eastAsia" w:ascii="仿宋_GB2312" w:hAnsi="宋体" w:eastAsia="仿宋_GB2312" w:cs="宋体"/>
          <w:color w:val="auto"/>
          <w:kern w:val="0"/>
          <w:sz w:val="32"/>
          <w:szCs w:val="32"/>
        </w:rPr>
        <w:t>支持深圳国有农业企业在汕头建设农产品交易中心、进口农产品展销平台</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加快建设深圳证券交易所汕头服务基地</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推动前海蛇口自贸片区、深圳高新区、盐田综合保税区、坪山综合保税区与华侨试验区、高新区、保税区等区域发展重大平台对接合作</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在金平区建设集垂直工厂、商业、文化、旅游为一体的文商旅产业综合体，引进国际星级酒店和商务写字楼、公寓等生活服务配套。</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积极对接粤港澳大湾区高等院校、科研机构，弥补汕头市创新不足的短板。对接广东省有机结构材料的制备与应用重点实验室、香港科技大学、广东工业大学等，开展产学研协同创新合作，推动汕头的创新发展和产业转型升级。</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支持深圳国有</w:t>
      </w:r>
      <w:r>
        <w:rPr>
          <w:rFonts w:hint="default" w:ascii="仿宋_GB2312" w:hAnsi="宋体" w:eastAsia="仿宋_GB2312" w:cs="宋体"/>
          <w:color w:val="auto"/>
          <w:kern w:val="0"/>
          <w:sz w:val="32"/>
          <w:szCs w:val="32"/>
          <w:lang w:eastAsia="zh-CN"/>
        </w:rPr>
        <w:t>企业参与汕头城市建设运营和国资体系整合提升。</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_GB2312" w:hAnsi="宋体" w:eastAsia="仿宋_GB2312" w:cs="宋体"/>
          <w:color w:val="auto"/>
          <w:kern w:val="0"/>
          <w:sz w:val="32"/>
          <w:szCs w:val="32"/>
          <w:lang w:eastAsia="zh-CN"/>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auto"/>
          <w:kern w:val="0"/>
          <w:sz w:val="32"/>
          <w:szCs w:val="32"/>
          <w:lang w:eastAsia="zh-CN"/>
        </w:rPr>
      </w:pPr>
    </w:p>
    <w:tbl>
      <w:tblPr>
        <w:tblStyle w:val="1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79" w:type="dxa"/>
            <w:vAlign w:val="center"/>
          </w:tcPr>
          <w:p>
            <w:pPr>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 w:val="32"/>
                <w:szCs w:val="32"/>
                <w:vertAlign w:val="baseline"/>
              </w:rPr>
            </w:pPr>
            <w:r>
              <w:rPr>
                <w:rFonts w:hint="eastAsia" w:ascii="宋体" w:hAnsi="宋体" w:eastAsia="宋体" w:cs="宋体"/>
                <w:b/>
                <w:bCs/>
                <w:color w:val="auto"/>
                <w:kern w:val="0"/>
                <w:sz w:val="24"/>
                <w:szCs w:val="24"/>
              </w:rPr>
              <w:t>平台载体</w:t>
            </w:r>
            <w:r>
              <w:rPr>
                <w:rFonts w:hint="eastAsia" w:ascii="宋体" w:hAnsi="宋体" w:eastAsia="宋体" w:cs="宋体"/>
                <w:b/>
                <w:bCs/>
                <w:color w:val="auto"/>
                <w:kern w:val="0"/>
                <w:sz w:val="24"/>
                <w:szCs w:val="24"/>
                <w:lang w:eastAsia="zh-CN"/>
              </w:rPr>
              <w:t>及</w:t>
            </w:r>
            <w:r>
              <w:rPr>
                <w:rFonts w:hint="eastAsia" w:ascii="宋体" w:hAnsi="宋体" w:eastAsia="宋体" w:cs="宋体"/>
                <w:b/>
                <w:bCs/>
                <w:color w:val="auto"/>
                <w:kern w:val="0"/>
                <w:sz w:val="24"/>
                <w:szCs w:val="24"/>
              </w:rPr>
              <w:t>区（县）专栏：打造特色的开放载体平台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679" w:type="dxa"/>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vertAlign w:val="baseline"/>
              </w:rPr>
              <w:t>1、</w:t>
            </w:r>
            <w:r>
              <w:rPr>
                <w:rFonts w:hint="eastAsia" w:ascii="楷体" w:hAnsi="楷体" w:eastAsia="楷体" w:cs="楷体"/>
                <w:color w:val="auto"/>
                <w:kern w:val="0"/>
                <w:sz w:val="24"/>
                <w:szCs w:val="24"/>
              </w:rPr>
              <w:t>国家高新区要发挥创新策源地引领带动作用，聚焦科技创新和战略性新兴产业集聚，打造“工业立市、产业强市”新样板</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2、</w:t>
            </w:r>
            <w:r>
              <w:rPr>
                <w:rFonts w:hint="eastAsia" w:ascii="楷体" w:hAnsi="楷体" w:eastAsia="楷体" w:cs="楷体"/>
                <w:color w:val="auto"/>
                <w:kern w:val="0"/>
                <w:sz w:val="24"/>
                <w:szCs w:val="24"/>
              </w:rPr>
              <w:t>综合保税区要对标学习横琴、前海“两个合作区”和海南自由贸易港先进经验，聚焦保税核心业务，发挥“保税+”功能优势，打造“工业立市、产业强市”新标杆</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val="en-US" w:eastAsia="zh-CN"/>
              </w:rPr>
              <w:t>3、</w:t>
            </w:r>
            <w:r>
              <w:rPr>
                <w:rFonts w:hint="eastAsia" w:ascii="楷体" w:hAnsi="楷体" w:eastAsia="楷体" w:cs="楷体"/>
                <w:color w:val="auto"/>
                <w:kern w:val="0"/>
                <w:sz w:val="24"/>
                <w:szCs w:val="24"/>
              </w:rPr>
              <w:t>华侨试验区要充分发挥华侨华人资源优势，加快建设数字特区核心区，构建现代都市产业体系，打造“工业立市、产业强市”新高地</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lang w:val="en-US" w:eastAsia="zh-CN"/>
              </w:rPr>
            </w:pP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大型产业集聚区要加快完善交通和园区等基础设施，建立科学高效的管理运营机制，找准突破口和切入点，以一流园区承接世界级产业集群，打造“工业立市、产业强市”新引擎</w:t>
            </w:r>
            <w:r>
              <w:rPr>
                <w:rFonts w:hint="eastAsia" w:ascii="楷体" w:hAnsi="楷体" w:eastAsia="楷体" w:cs="楷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5、</w:t>
            </w:r>
            <w:r>
              <w:rPr>
                <w:rFonts w:hint="eastAsia" w:ascii="楷体" w:hAnsi="楷体" w:eastAsia="楷体" w:cs="楷体"/>
                <w:color w:val="auto"/>
                <w:kern w:val="0"/>
                <w:sz w:val="24"/>
                <w:szCs w:val="24"/>
              </w:rPr>
              <w:t>金平区要强化产业支撑，发挥教育、医疗、科创优势，推动老城区焕发新活力，打造产城融合示范区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6</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龙湖区要勇当新时代“拓荒牛”，发挥创新创业、商贸金融、交通区位优势，加快构建现代化产业体系，提升社会治理能力，打造创新引领示范区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7</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澄海区要全面融入中心城区发展，加快推进六合核心区建设，推动产业集聚发展和转型升级，打造新型工业化示范区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8</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濠江区要依托广澳港和综合保税区，布局战略性新兴产业，加快特色产业转型升级，高标准推进基层治理和乡村振兴工作，打造港城融合示范区</w:t>
            </w:r>
            <w:r>
              <w:rPr>
                <w:rFonts w:hint="eastAsia" w:ascii="楷体" w:hAnsi="楷体" w:eastAsia="楷体" w:cs="楷体"/>
                <w:color w:val="auto"/>
                <w:kern w:val="0"/>
                <w:sz w:val="24"/>
                <w:szCs w:val="24"/>
                <w:vertAlign w:val="baseli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lang w:eastAsia="zh-CN"/>
              </w:rPr>
            </w:pPr>
            <w:r>
              <w:rPr>
                <w:rFonts w:hint="eastAsia" w:ascii="楷体" w:hAnsi="楷体" w:eastAsia="楷体" w:cs="楷体"/>
                <w:color w:val="auto"/>
                <w:kern w:val="0"/>
                <w:sz w:val="24"/>
                <w:szCs w:val="24"/>
                <w:vertAlign w:val="baseline"/>
                <w:lang w:val="en-US" w:eastAsia="zh-CN"/>
              </w:rPr>
              <w:t>9</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潮阳区要主动对接融入中心城区，进一步优化产业结构、拓展产业空间，培育若干个百亿元级优势产业集群，打造传统产业创新示范区</w:t>
            </w:r>
            <w:r>
              <w:rPr>
                <w:rFonts w:hint="eastAsia" w:ascii="楷体" w:hAnsi="楷体" w:eastAsia="楷体" w:cs="楷体"/>
                <w:color w:val="auto"/>
                <w:kern w:val="0"/>
                <w:sz w:val="24"/>
                <w:szCs w:val="24"/>
                <w:vertAlign w:val="baseli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kern w:val="0"/>
                <w:sz w:val="24"/>
                <w:szCs w:val="24"/>
                <w:vertAlign w:val="baseline"/>
              </w:rPr>
            </w:pPr>
            <w:r>
              <w:rPr>
                <w:rFonts w:hint="eastAsia" w:ascii="楷体" w:hAnsi="楷体" w:eastAsia="楷体" w:cs="楷体"/>
                <w:color w:val="auto"/>
                <w:kern w:val="0"/>
                <w:sz w:val="24"/>
                <w:szCs w:val="24"/>
                <w:vertAlign w:val="baseline"/>
                <w:lang w:val="en-US" w:eastAsia="zh-CN"/>
              </w:rPr>
              <w:t>10</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潮南区要挖掘、保护和利用好红色资源，推动传统优势产业高端发展、集群发展、融合发展，打造传统制造业赋能集聚示范区；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宋体"/>
                <w:color w:val="auto"/>
                <w:kern w:val="0"/>
                <w:sz w:val="32"/>
                <w:szCs w:val="32"/>
                <w:vertAlign w:val="baseline"/>
              </w:rPr>
            </w:pPr>
            <w:r>
              <w:rPr>
                <w:rFonts w:hint="eastAsia" w:ascii="楷体" w:hAnsi="楷体" w:eastAsia="楷体" w:cs="楷体"/>
                <w:color w:val="auto"/>
                <w:kern w:val="0"/>
                <w:sz w:val="24"/>
                <w:szCs w:val="24"/>
                <w:vertAlign w:val="baseline"/>
                <w:lang w:val="en-US" w:eastAsia="zh-CN"/>
              </w:rPr>
              <w:t>11</w:t>
            </w:r>
            <w:r>
              <w:rPr>
                <w:rFonts w:hint="eastAsia" w:ascii="楷体" w:hAnsi="楷体" w:eastAsia="楷体" w:cs="楷体"/>
                <w:color w:val="auto"/>
                <w:kern w:val="0"/>
                <w:sz w:val="24"/>
                <w:szCs w:val="24"/>
                <w:vertAlign w:val="baseline"/>
              </w:rPr>
              <w:t>、</w:t>
            </w:r>
            <w:r>
              <w:rPr>
                <w:rFonts w:hint="eastAsia" w:ascii="楷体" w:hAnsi="楷体" w:eastAsia="楷体" w:cs="楷体"/>
                <w:color w:val="auto"/>
                <w:kern w:val="0"/>
                <w:sz w:val="24"/>
                <w:szCs w:val="24"/>
              </w:rPr>
              <w:t>南澳县要坚持工业不上岛，争取引进主题旅游乐园，加快创建国家5A级旅游景区、国家全域旅游示范区。</w:t>
            </w:r>
          </w:p>
        </w:tc>
      </w:tr>
      <w:bookmarkEnd w:id="14"/>
    </w:tbl>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p>
      <w:pPr>
        <w:widowControl/>
        <w:spacing w:line="560" w:lineRule="exact"/>
        <w:rPr>
          <w:rFonts w:ascii="仿宋_GB2312" w:hAnsi="宋体" w:eastAsia="仿宋_GB2312" w:cs="宋体"/>
          <w:color w:val="auto"/>
          <w:kern w:val="0"/>
          <w:sz w:val="32"/>
          <w:szCs w:val="32"/>
        </w:rPr>
      </w:pPr>
    </w:p>
    <w:tbl>
      <w:tblPr>
        <w:tblStyle w:val="12"/>
        <w:tblW w:w="8764"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827"/>
        <w:gridCol w:w="502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64" w:type="dxa"/>
            <w:gridSpan w:val="4"/>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b/>
                <w:color w:val="auto"/>
                <w:sz w:val="24"/>
                <w:szCs w:val="24"/>
              </w:rPr>
              <w:t>中以科创平台及重点园区专栏：建设项目表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序号</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项目名称</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楷体" w:hAnsi="楷体" w:eastAsia="楷体" w:cs="楷体"/>
                <w:b/>
                <w:bCs/>
                <w:color w:val="auto"/>
                <w:kern w:val="2"/>
                <w:sz w:val="24"/>
                <w:szCs w:val="21"/>
                <w:lang w:val="en-US" w:eastAsia="zh-CN" w:bidi="ar-SA"/>
              </w:rPr>
            </w:pPr>
            <w:r>
              <w:rPr>
                <w:rFonts w:hint="eastAsia" w:ascii="楷体" w:hAnsi="楷体" w:eastAsia="楷体" w:cs="楷体"/>
                <w:b/>
                <w:bCs/>
                <w:color w:val="auto"/>
                <w:sz w:val="24"/>
                <w:szCs w:val="21"/>
              </w:rPr>
              <w:t>建设内容</w:t>
            </w:r>
          </w:p>
        </w:tc>
        <w:tc>
          <w:tcPr>
            <w:tcW w:w="1328"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楷体" w:hAnsi="楷体" w:eastAsia="楷体" w:cs="楷体"/>
                <w:b/>
                <w:bCs/>
                <w:color w:val="auto"/>
                <w:sz w:val="24"/>
                <w:szCs w:val="21"/>
              </w:rPr>
              <w:t>管理责任单位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大港河产城融合示范区项目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场地平整、市政基础配套设施、缆线缆廊工程、河道栏杆及道路整治及配套学校建设等。</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2</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汕头高新区中以（汕头）科技创新合作区（5G产业平台）配套设施建设项目（一期）</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纬一路、纬二路、经一路、经二路、鮀次路、经三路、经四路、经五路、经六路等9条道路及配套设施</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3</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中以（汕头）科技创新合作区市政道路及配套工程等基础设施建设项目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金凤西路二期、金凤西路大港河桥、学林路道路及配套工程。</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4</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汕大东校区暨亚青会场馆项目周边支路及支河涌工程项目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加华路、美华路，线路总长1216米，红线宽度30米，道路等级为城市支路。2.莱湾东四街，线路总长293米，红线宽度20米，道路等级为城市支路。3.支河涌。工程建设内容包括道路工程、桥梁工程、排水工程、电力工程、通讯工程、照明工程、交通工程、绿化工程、河涌工程等。</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华侨试验区管委会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5</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金平工业园区升平二片区道路及配套工程项目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长兴中街、长旺北街、长旺中街、富兴街、三路、四路、西河路、一路、二路及3条部分已建的市政道路（长富路、长安路、长富中街）共计12条道路及配套工程进行建设。</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6</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深圳（海源城）智能产业园区项目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在金平区建设集垂直工厂、商业、文化、旅游为一体的文商旅产业综合体，引进国际星级酒店和商务写字楼、公寓等生活服务配套。</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金平区政府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7</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汕头市滨海产业片区基础设施配套项目</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交通和管线配套工程建设，完善园区服务设施。</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濠江区政府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8</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广东省汕头市澄海区莲花山片区基础设施建设项目</w:t>
            </w:r>
          </w:p>
        </w:tc>
        <w:tc>
          <w:tcPr>
            <w:tcW w:w="5027" w:type="dxa"/>
            <w:vAlign w:val="center"/>
          </w:tcPr>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澄海区莲华镇国道539以北，莲花山片区基础道路设施建设工程。</w:t>
            </w:r>
          </w:p>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东里片区建设东部新兴产业园-东里智慧产业园，改造提升园区周边基础配套设施。</w:t>
            </w:r>
          </w:p>
          <w:p>
            <w:pPr>
              <w:keepNext w:val="0"/>
              <w:keepLines w:val="0"/>
              <w:pageBreakBefore w:val="0"/>
              <w:numPr>
                <w:ilvl w:val="0"/>
                <w:numId w:val="2"/>
              </w:numPr>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szCs w:val="21"/>
              </w:rPr>
            </w:pPr>
            <w:r>
              <w:rPr>
                <w:rFonts w:hint="eastAsia" w:ascii="宋体" w:hAnsi="宋体" w:eastAsia="宋体" w:cs="宋体"/>
                <w:bCs/>
                <w:color w:val="auto"/>
                <w:szCs w:val="21"/>
              </w:rPr>
              <w:t>澄海区盐鸿镇国道以西片区基础设施建设工程。</w:t>
            </w:r>
          </w:p>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4、澄海区盐鸿镇国道以东、金鸿公路以西片区基础设施建设工程。</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澄海区政府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9</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都市智谷汕头产业园</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规划建设高品质的研发、生产、办公、休闲和商务等城市空间，以及全方位产业服务平台。</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潮阳区政府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10</w:t>
            </w:r>
          </w:p>
        </w:tc>
        <w:tc>
          <w:tcPr>
            <w:tcW w:w="18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练江滨海生态发展示范片区（井都片区）</w:t>
            </w:r>
          </w:p>
        </w:tc>
        <w:tc>
          <w:tcPr>
            <w:tcW w:w="5027" w:type="dxa"/>
            <w:vAlign w:val="center"/>
          </w:tcPr>
          <w:p>
            <w:pPr>
              <w:keepNext w:val="0"/>
              <w:keepLines w:val="0"/>
              <w:pageBreakBefore w:val="0"/>
              <w:kinsoku/>
              <w:wordWrap/>
              <w:overflowPunct/>
              <w:topLinePunct w:val="0"/>
              <w:autoSpaceDE/>
              <w:autoSpaceDN/>
              <w:bidi w:val="0"/>
              <w:adjustRightInd w:val="0"/>
              <w:snapToGrid/>
              <w:spacing w:line="400" w:lineRule="exact"/>
              <w:jc w:val="left"/>
              <w:textAlignment w:val="auto"/>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规划构建一带三板块，打造“拥江向海”的滨海生态发展示范园区。布局纺织服装产业及配套、精细化工等相关产业。</w:t>
            </w:r>
          </w:p>
        </w:tc>
        <w:tc>
          <w:tcPr>
            <w:tcW w:w="1328" w:type="dxa"/>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仿宋_GB2312" w:hAnsi="宋体" w:eastAsia="仿宋_GB2312" w:cs="宋体"/>
                <w:color w:val="auto"/>
                <w:kern w:val="0"/>
                <w:sz w:val="32"/>
                <w:szCs w:val="32"/>
                <w:vertAlign w:val="baseline"/>
              </w:rPr>
            </w:pPr>
            <w:r>
              <w:rPr>
                <w:rFonts w:hint="eastAsia" w:ascii="宋体" w:hAnsi="宋体" w:eastAsia="宋体" w:cs="宋体"/>
                <w:bCs/>
                <w:color w:val="auto"/>
                <w:szCs w:val="21"/>
              </w:rPr>
              <w:t>潮南区政府</w:t>
            </w:r>
          </w:p>
        </w:tc>
      </w:tr>
    </w:tbl>
    <w:p>
      <w:pPr>
        <w:widowControl/>
        <w:spacing w:line="560" w:lineRule="exact"/>
        <w:rPr>
          <w:rFonts w:ascii="仿宋_GB2312" w:hAnsi="宋体" w:eastAsia="仿宋_GB2312" w:cs="宋体"/>
          <w:color w:val="auto"/>
          <w:kern w:val="0"/>
          <w:sz w:val="32"/>
          <w:szCs w:val="32"/>
        </w:rPr>
      </w:pP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hint="eastAsia" w:ascii="宋体" w:hAnsi="宋体" w:eastAsia="黑体" w:cstheme="majorBidi"/>
          <w:color w:val="auto"/>
          <w:sz w:val="32"/>
          <w:szCs w:val="32"/>
        </w:rPr>
      </w:pPr>
      <w:bookmarkStart w:id="15" w:name="_Toc75424409"/>
      <w:r>
        <w:rPr>
          <w:rFonts w:hint="eastAsia" w:eastAsia="黑体" w:asciiTheme="majorHAnsi" w:hAnsiTheme="majorHAnsi" w:cstheme="majorBidi"/>
          <w:color w:val="auto"/>
          <w:sz w:val="32"/>
          <w:szCs w:val="32"/>
        </w:rPr>
        <w:t>第五章 基础设施与区域</w:t>
      </w:r>
      <w:bookmarkEnd w:id="15"/>
      <w:r>
        <w:rPr>
          <w:rFonts w:hint="eastAsia" w:eastAsia="黑体" w:asciiTheme="majorHAnsi" w:hAnsiTheme="majorHAnsi" w:cstheme="majorBidi"/>
          <w:color w:val="auto"/>
          <w:sz w:val="32"/>
          <w:szCs w:val="32"/>
        </w:rPr>
        <w:t>协同</w:t>
      </w:r>
    </w:p>
    <w:p>
      <w:pPr>
        <w:pageBreakBefore w:val="0"/>
        <w:widowControl/>
        <w:kinsoku/>
        <w:wordWrap/>
        <w:overflowPunct/>
        <w:topLinePunct w:val="0"/>
        <w:autoSpaceDE/>
        <w:autoSpaceDN/>
        <w:bidi w:val="0"/>
        <w:adjustRightInd/>
        <w:snapToGrid/>
        <w:spacing w:before="312" w:after="312"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完善区域重大基础设施是促进区域经济社会协同发展的前提和先导，聚焦汕潮揭都市圈与大湾区交通的互联互通和汕潮揭都市圈的交通一体化。“十四五”期间，围绕五年内完成投资1000亿元的目标，实施交通基础设施建设“十大工程”，构建“3+2+2”高铁通道和“4+3+3”高速公路通道；以两高两港为主干框架，构建连接大湾区的立体交通网；打造高水平全国性综合性交通枢纽，统筹推进传统基础设施和新型基础设施建设，为汕头融入区域协同发展格局打好基础。</w:t>
      </w:r>
      <w:bookmarkStart w:id="16" w:name="_Toc75424410"/>
    </w:p>
    <w:p>
      <w:pPr>
        <w:pageBreakBefore w:val="0"/>
        <w:widowControl/>
        <w:kinsoku/>
        <w:wordWrap/>
        <w:overflowPunct/>
        <w:topLinePunct w:val="0"/>
        <w:autoSpaceDE/>
        <w:autoSpaceDN/>
        <w:bidi w:val="0"/>
        <w:adjustRightInd/>
        <w:snapToGrid/>
        <w:spacing w:before="312" w:after="312" w:line="600" w:lineRule="exact"/>
        <w:jc w:val="center"/>
        <w:textAlignment w:val="auto"/>
        <w:rPr>
          <w:rFonts w:ascii="宋体" w:hAnsi="宋体" w:eastAsia="宋体"/>
          <w:bCs/>
          <w:color w:val="auto"/>
          <w:sz w:val="24"/>
          <w:szCs w:val="24"/>
        </w:rPr>
      </w:pPr>
      <w:r>
        <w:rPr>
          <w:rFonts w:hint="eastAsia" w:eastAsia="楷体"/>
          <w:bCs/>
          <w:color w:val="auto"/>
          <w:sz w:val="32"/>
          <w:szCs w:val="32"/>
        </w:rPr>
        <w:t>第一节 加快区域交通一体化建设，推进汕潮揭同城化发展</w:t>
      </w:r>
      <w:bookmarkEnd w:id="16"/>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在衔接好《汕头市综合交通运输</w:t>
      </w:r>
      <w:r>
        <w:rPr>
          <w:rFonts w:ascii="仿宋_GB2312" w:hAnsi="宋体" w:eastAsia="仿宋_GB2312" w:cs="宋体"/>
          <w:color w:val="auto"/>
          <w:kern w:val="0"/>
          <w:sz w:val="32"/>
          <w:szCs w:val="32"/>
        </w:rPr>
        <w:t>体系发展“十四五”规划</w:t>
      </w:r>
      <w:r>
        <w:rPr>
          <w:rFonts w:hint="eastAsia" w:ascii="仿宋_GB2312" w:hAnsi="宋体" w:eastAsia="仿宋_GB2312" w:cs="宋体"/>
          <w:color w:val="auto"/>
          <w:kern w:val="0"/>
          <w:sz w:val="32"/>
          <w:szCs w:val="32"/>
        </w:rPr>
        <w:t>》的基础上，重点推进汕潮揭同城化交通基础设施的建设。</w:t>
      </w:r>
    </w:p>
    <w:p>
      <w:pPr>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1.促进汕潮揭与大湾区互联互通</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以加强汕潮揭都市圈与粤港澳大湾区互联互通为目标，构建“一横四纵三环”综合交通通道网络，进一步完善网络功能结构；统筹快速运输、专业货运、城际交通等不同层面运输需求，推进“一横四纵三环”的环状放射型交通通道网络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争取“十四五”中期汕汕铁路建成通车，启动汕头至漳州段和疏港铁路建设。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推动沈海高速、汕揭高速拓宽改造，加快南澳联络线、潮汕环线联络线延长线规划，拓展汕头至粤港澳大湾区、粤闽浙沿海城市群和赣南等地区高速通道。</w:t>
      </w:r>
      <w:r>
        <w:rPr>
          <w:rFonts w:ascii="宋体" w:hAnsi="宋体" w:eastAsia="宋体" w:cs="宋体"/>
          <w:color w:val="auto"/>
          <w:kern w:val="0"/>
          <w:sz w:val="24"/>
          <w:szCs w:val="24"/>
        </w:rPr>
        <w:t xml:space="preserve"> </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2.完善汕潮揭交通一体化建设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粤东城际铁路网建设，构建以轨道交通为骨干的通勤圈。协调推进粤东城际铁路汕头站至潮州东段、汕头站至潮汕机场段建设，高效联通汕潮揭三市，便捷三市资源要素流通和民间往来，实现汕潮揭半小时交通圈。</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强化城市轨道交通与其他交通方式的衔接，推进凤东路、牛田洋快速通道、金砂西路西延建设，谋划金凤路西延、护堤路改造、潮汕路快速化、汕南大道，实现全市域15分钟上高速，</w:t>
      </w:r>
      <w:r>
        <w:rPr>
          <w:rFonts w:ascii="Times New Roman" w:hAnsi="Times New Roman" w:eastAsia="仿宋_GB2312" w:cs="Times New Roman"/>
          <w:color w:val="auto"/>
          <w:sz w:val="32"/>
          <w:szCs w:val="32"/>
        </w:rPr>
        <w:t>打造以汕头为中心的汕潮揭半小时通勤圈</w:t>
      </w:r>
      <w:r>
        <w:rPr>
          <w:rFonts w:hint="eastAsia" w:ascii="仿宋_GB2312" w:hAnsi="宋体" w:eastAsia="仿宋_GB2312" w:cs="宋体"/>
          <w:color w:val="auto"/>
          <w:kern w:val="0"/>
          <w:sz w:val="32"/>
          <w:szCs w:val="32"/>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加快汕潮揭都市圈公路交通一体化建设，加快国省道快速化、市政化和品质提升，打造高品质、高效率的对外干线网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加快</w:t>
      </w:r>
      <w:r>
        <w:rPr>
          <w:rFonts w:hint="eastAsia" w:ascii="仿宋_GB2312" w:hAnsi="宋体" w:eastAsia="仿宋_GB2312" w:cs="宋体"/>
          <w:color w:val="auto"/>
          <w:kern w:val="0"/>
          <w:sz w:val="32"/>
          <w:szCs w:val="32"/>
        </w:rPr>
        <w:t>汕潮揭城市（镇）开行城际公交。加快国道228线汕头段、省道233线潮汕路、省道503线金鸿公路等联通揭阳、潮州两市的国省道快速通道谋划和建设，实现交通基础设施的内优外联，强化汕头对外辐射能力，助力形成以汕头为中心的汕潮揭城市群一体化交通网。</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3.强化汕头站综合交通枢纽功能</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强化汕头全国性综合交通枢纽功能，以汕头为核心，加强沿海及梅州、赣南方向的快速交通联系。高质量建设汕头火车站及枢纽一体化工程，打造全省领先、粤东最大的一站式综合交通枢纽。做好高铁站中央商务区的起步建设工作，推动汕头站成为沿海高铁与城际轨道交汇的区域性综合交通枢纽，打造区域现代服务业门户中心，依托汕头高铁站枢纽为吸引区域性创投企业、金融机构、产业服务平台集聚，推动站城融合发展。</w:t>
      </w: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spacing w:line="560" w:lineRule="exact"/>
        <w:ind w:firstLine="640" w:firstLineChars="200"/>
        <w:rPr>
          <w:rFonts w:ascii="仿宋_GB2312" w:hAnsi="宋体" w:eastAsia="仿宋_GB2312" w:cs="宋体"/>
          <w:color w:val="auto"/>
          <w:kern w:val="0"/>
          <w:sz w:val="32"/>
          <w:szCs w:val="32"/>
        </w:rPr>
      </w:pPr>
    </w:p>
    <w:p>
      <w:pPr>
        <w:widowControl/>
        <w:rPr>
          <w:rFonts w:hint="eastAsia" w:ascii="仿宋_GB2312" w:hAnsi="宋体" w:eastAsia="仿宋_GB2312" w:cs="宋体"/>
          <w:color w:val="auto"/>
          <w:kern w:val="0"/>
          <w:sz w:val="32"/>
          <w:szCs w:val="32"/>
        </w:rPr>
      </w:pPr>
    </w:p>
    <w:tbl>
      <w:tblPr>
        <w:tblStyle w:val="11"/>
        <w:tblW w:w="8759" w:type="dxa"/>
        <w:tblInd w:w="75" w:type="dxa"/>
        <w:tblLayout w:type="autofit"/>
        <w:tblCellMar>
          <w:top w:w="15" w:type="dxa"/>
          <w:left w:w="15" w:type="dxa"/>
          <w:bottom w:w="15" w:type="dxa"/>
          <w:right w:w="15" w:type="dxa"/>
        </w:tblCellMar>
      </w:tblPr>
      <w:tblGrid>
        <w:gridCol w:w="8759"/>
      </w:tblGrid>
      <w:tr>
        <w:tblPrEx>
          <w:tblCellMar>
            <w:top w:w="15" w:type="dxa"/>
            <w:left w:w="15" w:type="dxa"/>
            <w:bottom w:w="15" w:type="dxa"/>
            <w:right w:w="15" w:type="dxa"/>
          </w:tblCellMar>
        </w:tblPrEx>
        <w:trPr>
          <w:trHeight w:val="279" w:hRule="atLeast"/>
        </w:trPr>
        <w:tc>
          <w:tcPr>
            <w:tcW w:w="875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交通基础设施专栏：“一横四纵三环”建设</w:t>
            </w:r>
          </w:p>
        </w:tc>
      </w:tr>
      <w:tr>
        <w:tblPrEx>
          <w:tblCellMar>
            <w:top w:w="15" w:type="dxa"/>
            <w:left w:w="15" w:type="dxa"/>
            <w:bottom w:w="15" w:type="dxa"/>
            <w:right w:w="15" w:type="dxa"/>
          </w:tblCellMar>
        </w:tblPrEx>
        <w:trPr>
          <w:trHeight w:val="915" w:hRule="atLeast"/>
        </w:trPr>
        <w:tc>
          <w:tcPr>
            <w:tcW w:w="875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构建“一横四纵三环”综合交通通道网络</w:t>
            </w:r>
            <w:r>
              <w:rPr>
                <w:rFonts w:hint="eastAsia" w:ascii="楷体_GB2312" w:hAnsi="Helvetica" w:eastAsia="楷体_GB2312" w:cs="Helvetica"/>
                <w:color w:val="auto"/>
                <w:kern w:val="0"/>
                <w:sz w:val="24"/>
                <w:szCs w:val="24"/>
              </w:rPr>
              <w:t>，进一步完善都市圈综合交通运输网络功能结构，统筹快速运输、专业货运、城际交通等不同层面运输需求，推进“一横四纵三环”的环状放射型交通通道网络建设。</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宋体" w:eastAsia="楷体_GB2312" w:cs="宋体"/>
                <w:color w:val="auto"/>
                <w:kern w:val="0"/>
                <w:sz w:val="24"/>
                <w:szCs w:val="24"/>
              </w:rPr>
            </w:pPr>
            <w:r>
              <w:rPr>
                <w:rFonts w:ascii="宋体" w:hAnsi="宋体" w:eastAsia="宋体" w:cs="宋体"/>
                <w:color w:val="auto"/>
                <w:kern w:val="0"/>
                <w:sz w:val="24"/>
                <w:szCs w:val="24"/>
              </w:rPr>
              <w:drawing>
                <wp:anchor distT="0" distB="0" distL="0" distR="0" simplePos="0" relativeHeight="251659264" behindDoc="0" locked="0" layoutInCell="1" allowOverlap="1">
                  <wp:simplePos x="0" y="0"/>
                  <wp:positionH relativeFrom="column">
                    <wp:posOffset>328295</wp:posOffset>
                  </wp:positionH>
                  <wp:positionV relativeFrom="paragraph">
                    <wp:posOffset>59055</wp:posOffset>
                  </wp:positionV>
                  <wp:extent cx="4867275" cy="3438525"/>
                  <wp:effectExtent l="0" t="0" r="9525" b="9525"/>
                  <wp:wrapTopAndBottom/>
                  <wp:docPr id="4" name="图片 4" descr="https://docimg3.docs.qq.com/image/jMv1OB3yRats172yCfKctA?w=345&amp;h=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docimg3.docs.qq.com/image/jMv1OB3yRats172yCfKctA?w=345&amp;h=2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67275" cy="3438525"/>
                          </a:xfrm>
                          <a:prstGeom prst="rect">
                            <a:avLst/>
                          </a:prstGeom>
                          <a:noFill/>
                          <a:ln>
                            <a:noFill/>
                          </a:ln>
                        </pic:spPr>
                      </pic:pic>
                    </a:graphicData>
                  </a:graphic>
                </wp:anchor>
              </w:draw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楷体_GB2312" w:hAnsi="Helvetica" w:eastAsia="楷体_GB2312" w:cs="Helvetica"/>
                <w:color w:val="auto"/>
                <w:kern w:val="0"/>
                <w:sz w:val="24"/>
                <w:szCs w:val="24"/>
              </w:rPr>
              <w:t>图5 汕潮揭都市圈综合交通格局示意图</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一横：</w:t>
            </w:r>
            <w:r>
              <w:rPr>
                <w:rFonts w:hint="eastAsia" w:ascii="楷体_GB2312" w:hAnsi="Helvetica" w:eastAsia="楷体_GB2312" w:cs="Helvetica"/>
                <w:color w:val="auto"/>
                <w:kern w:val="0"/>
                <w:sz w:val="24"/>
                <w:szCs w:val="24"/>
              </w:rPr>
              <w:t>依托广汕汕高铁、漳汕高铁、厦深铁路、沈海高速公路、宁莞高速公路等构建沿海主通道，快速连接都市圈与粤港澳大湾区和厦漳泉地区，推动都市圈形成连接粤港澳大湾区与厦漳泉都市圈交通动脉中的重要节点。</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四纵：</w:t>
            </w:r>
            <w:r>
              <w:rPr>
                <w:rFonts w:hint="eastAsia" w:ascii="楷体_GB2312" w:hAnsi="Helvetica" w:eastAsia="楷体_GB2312" w:cs="Helvetica"/>
                <w:color w:val="auto"/>
                <w:kern w:val="0"/>
                <w:sz w:val="24"/>
                <w:szCs w:val="24"/>
              </w:rPr>
              <w:t>依托汕昆高速公路、广梅汕铁路、汕头港疏港铁路等构建连接梅州乃至赣南地区的纵向主通道。依托汕湛高速公路、汕头至普宁城际轨道等构建连接普宁、汕尾等地的快速通道。依托梅潮高速公路、南澳大桥等构建北联梅州、南接南澳的区域通勤通道。依托大潮高速公路等构建连接大埔乃至闽西地区的货运通道。</w:t>
            </w:r>
          </w:p>
          <w:p>
            <w:pPr>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三环：</w:t>
            </w:r>
            <w:r>
              <w:rPr>
                <w:rFonts w:hint="eastAsia" w:ascii="楷体_GB2312" w:hAnsi="Helvetica" w:eastAsia="楷体_GB2312" w:cs="Helvetica"/>
                <w:color w:val="auto"/>
                <w:kern w:val="0"/>
                <w:sz w:val="24"/>
                <w:szCs w:val="24"/>
              </w:rPr>
              <w:t>构建环都市圈的三大环形综合交通走廊。依托潮汕环线高速公路一期、牛田洋快速公路、宁莞高速公路潮州东联络线，形成串联潮阳—牛田洋—中以科技创新区—潮安—澄海等地的内环交通走廊。依托潮汕环线高速公路二期、揭惠高速公路、南澳联络线高速公路，形成串联潮南—揭阳城区—潮揭空铁新城—潮州城区—凤泉湖高新区等地的环形交通走廊。依托宁莞高速公路、揭普高速公路、潮惠高速公路、潮州港疏港铁路、揭阳港疏港铁路等，形成串联惠来—普宁—揭东—饶平等地的外环交通走廊。</w:t>
            </w:r>
          </w:p>
        </w:tc>
      </w:tr>
    </w:tbl>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17" w:name="_Toc75424411"/>
      <w:r>
        <w:rPr>
          <w:rFonts w:hint="eastAsia" w:eastAsia="楷体"/>
          <w:bCs/>
          <w:color w:val="auto"/>
          <w:sz w:val="32"/>
          <w:szCs w:val="32"/>
        </w:rPr>
        <w:t>第二节 建设智慧城市示范片区，引领粤东智慧城市发展</w:t>
      </w:r>
      <w:bookmarkEnd w:id="17"/>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智慧城市是城市发展的必然趋势，智慧城市建设是推进城市治理现代化的重要手段。习近平总书记强调要“分级分类推进新型智慧城市建设”，“十四五”期间汕头一方面要完成创新、领先和探索性的智慧城市示范区建设，另一方面要同步推进一般性、保障性的新型基础设施的新建与现有基础设施的智能化改造。</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1.加快智慧城市示范建设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“十四五”期间重点支持海湾新城、东海岸新城、珠港新城、汕头站综合交通枢纽、南澳县全域旅游建设项目等地纳入智慧城市示范工程建设。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推动汕头站、汕头港、重点产业园区开展智能交通示范应用，推广无人驾驶、无人物流配送试点等新模式。在城区、重大平台、特色小镇等地探索建设基于宽带移动互联网的智能网联汽车与智慧交通应用示范区。建设智慧照明、智慧社区、智慧能源等场景，推动增强现实、虚拟现实技术在教育、医疗、文化等公共服务提供过程中的应用。</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推动南澳县全域智慧旅游建设项目建设。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至2025年，完成5个以上新型智慧城市示范项目建设和10个以上新型智慧城市示范应用场景建设。推进县城和区治所在地智慧化改造，推动新一代信息基础设施建设，加快5G网络规划化部署和商业应用，提高光纤网络覆盖率。</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2.推进新型基础设施建设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推进以5G、云计算、大数据、工业互联网、物联网等为引领的新型基础设施全覆盖，充分发挥汕头市拥有中国规模最大的海底光缆登陆点优势，建立连接全球的信息化、智能化数据传输专用通道和大数据应用平台，推动公共信息数据资源的社会开放和综合利用，为实体经济与数字经济融合发展提供有力支撑。</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3.推进基础设施智能化改造</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提高市政管网系统智能化管护水平，构建管理感知网络系统，对水、电、气、油等市政设施运行状况实时监测。有序布局智慧能源基础设施，加快现有变电站智能化改造，探索构建适应大规模新能源接入并满足分布式能源“即插即用”要求的智能电网。</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加快布局智能交通基础设施，推进综合站点、城市候机楼等智能改造。</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谋划建设“城市大脑”，打造深度链接和支撑数字经济、数字社会、数字政府协同联动发展的城市数字化治理综合应用系统。“十四五”期间要完成5G基础设施建设和基础设施智能化改造行动等智慧城市建设前期工作，进一步协同高新区管委会、华侨试验区管委会等相关单位完成智慧城市示范片区建设行动、高新区5G产业园建设项目、华侨经济文化合作试验区粤东5G创新运营中心项目、汕头市潮南区纺织印染环保综合处理中心5G智慧园区等项目，为汕头市智慧城市建设打好基础。</w:t>
      </w:r>
      <w:bookmarkStart w:id="18" w:name="_Toc75424412"/>
    </w:p>
    <w:p>
      <w:pP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br w:type="page"/>
      </w:r>
    </w:p>
    <w:p>
      <w:pPr>
        <w:keepNext/>
        <w:keepLines/>
        <w:pageBreakBefore w:val="0"/>
        <w:kinsoku/>
        <w:wordWrap/>
        <w:overflowPunct/>
        <w:topLinePunct w:val="0"/>
        <w:autoSpaceDE/>
        <w:autoSpaceDN/>
        <w:bidi w:val="0"/>
        <w:adjustRightInd/>
        <w:snapToGrid/>
        <w:spacing w:before="340" w:after="330" w:line="600" w:lineRule="exact"/>
        <w:jc w:val="center"/>
        <w:textAlignment w:val="auto"/>
        <w:outlineLvl w:val="0"/>
        <w:rPr>
          <w:rFonts w:eastAsia="黑体" w:asciiTheme="majorHAnsi" w:hAnsiTheme="majorHAnsi" w:cstheme="majorBidi"/>
          <w:color w:val="auto"/>
          <w:sz w:val="32"/>
          <w:szCs w:val="32"/>
        </w:rPr>
      </w:pPr>
      <w:r>
        <w:rPr>
          <w:rFonts w:hint="eastAsia" w:eastAsia="黑体"/>
          <w:color w:val="auto"/>
          <w:kern w:val="44"/>
          <w:sz w:val="44"/>
          <w:szCs w:val="44"/>
        </w:rPr>
        <w:t>第三篇 优化功能布局，建设一体都市</w:t>
      </w:r>
      <w:bookmarkEnd w:id="18"/>
      <w:bookmarkStart w:id="19" w:name="_Toc75424413"/>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1"/>
        <w:rPr>
          <w:rFonts w:ascii="宋体" w:hAnsi="宋体" w:eastAsia="宋体" w:cstheme="majorBidi"/>
          <w:color w:val="auto"/>
          <w:sz w:val="32"/>
          <w:szCs w:val="32"/>
        </w:rPr>
      </w:pPr>
      <w:r>
        <w:rPr>
          <w:rFonts w:hint="eastAsia" w:eastAsia="黑体" w:asciiTheme="majorHAnsi" w:hAnsiTheme="majorHAnsi" w:cstheme="majorBidi"/>
          <w:color w:val="auto"/>
          <w:sz w:val="32"/>
          <w:szCs w:val="32"/>
        </w:rPr>
        <w:t>第六章 功能布局与城乡融合</w:t>
      </w:r>
      <w:bookmarkEnd w:id="19"/>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拥有大面积高密度的半城市化地区，加之典型生态带形都市的发展特点，中心性较弱，各组团相对独立发展，不适合走抛弃传统农村、过度集聚的单一中心城市空间发展的道路。汕头要强调城市发展的均好性、实现全域共同发展，必须实现区域和市内部组团之间资源共享，在强化组团间的互联互通，同时融入区域一体化建设。各组团内部形成以城带乡，系统联动、协同共进的总体空间格局，实现功能和空间上的精准对接。</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必须找准特色、有机分工、共同发展，实现全市域高质量就地城市化。</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0" w:name="_Toc75424415"/>
      <w:r>
        <w:rPr>
          <w:rFonts w:hint="eastAsia"/>
          <w:color w:val="auto"/>
        </w:rPr>
        <w:t>第一节 把握区位和资源禀赋，统筹功能和空间布局</w:t>
      </w:r>
      <w:bookmarkEnd w:id="2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应适度打破行政分割，构建区位与功能相协调的“1心5组团”总体发展格局，打造生态汕头、和谐汕头、中心汕头为核心内涵的城乡品质与特色。统筹市域功能与空间布局，有重点地打造城乡经济社会共同发展的空间载体格局，形成一体化大都市区。</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1.优化“1心5组团”都市空间总体结构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落实全省“一轴一带一区”区域发展新格局，细化全市“一主一带两极两翼”城市空间战略要求，在尊重组团式发展规律的基础上，优化空间结构，以“一心两翼一轴两带”的市域国土空间规划轴带结构强化各组团间的空间连接，引领汕头市域形成协同共进、资源统筹、动力整合、分工明确、等级有序、功能完备、特色彰显、富于韧性的“1心5组团”市域城乡总体结构，推动国土空间开发进一步向海、沿江扩展。实现以中心城区为核心，高度紧凑、高效、生态、弹性的新型城镇化。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“1心”为金平、龙湖和濠江三个区组成的国际化中心城区；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“5组团”指东里－盐鸿都市组团、澄海都市组团、潮阳都市组团、潮南都市组团和南澳国际生态旅游岛，其中潮阳都市组团、潮南都市组团位于南翼，东里</w:t>
      </w:r>
      <w:r>
        <w:rPr>
          <w:rFonts w:ascii="仿宋_GB2312" w:hAnsi="宋体" w:eastAsia="仿宋_GB2312" w:cs="宋体"/>
          <w:color w:val="auto"/>
          <w:spacing w:val="-6"/>
          <w:kern w:val="0"/>
          <w:sz w:val="32"/>
          <w:szCs w:val="32"/>
        </w:rPr>
        <w:t>-盐鸿都市组团</w:t>
      </w:r>
      <w:r>
        <w:rPr>
          <w:rFonts w:hint="eastAsia" w:ascii="仿宋_GB2312" w:hAnsi="宋体" w:eastAsia="仿宋_GB2312" w:cs="宋体"/>
          <w:color w:val="auto"/>
          <w:spacing w:val="-6"/>
          <w:kern w:val="0"/>
          <w:sz w:val="32"/>
          <w:szCs w:val="32"/>
        </w:rPr>
        <w:t>、南澳国际生态旅游岛位于北翼。</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贯彻落实市委、市政府的工作部署，发挥金平、龙湖、濠江中心城区资源禀赋优势，加快东海岸新城、珠港新城、南滨新城、广澳港区等城市功能板块建设，向外疏解低端制造等非城市中心功能，推动中心城区提质扩容。结合</w:t>
      </w:r>
      <w:r>
        <w:rPr>
          <w:rFonts w:hint="eastAsia" w:ascii="仿宋_GB2312" w:hAnsi="宋体" w:eastAsia="仿宋_GB2312" w:cs="宋体"/>
          <w:color w:val="auto"/>
          <w:kern w:val="0"/>
          <w:sz w:val="32"/>
          <w:szCs w:val="32"/>
        </w:rPr>
        <w:t>濠江滨海、澄海六合围、澄海莲花山、潮阳海门、潮阳金浦、潮南两英、潮南井都、龙湖现代产业园等</w:t>
      </w:r>
      <w:r>
        <w:rPr>
          <w:rFonts w:ascii="仿宋_GB2312" w:hAnsi="宋体" w:eastAsia="仿宋_GB2312" w:cs="宋体"/>
          <w:color w:val="auto"/>
          <w:spacing w:val="-6"/>
          <w:kern w:val="0"/>
          <w:sz w:val="32"/>
          <w:szCs w:val="32"/>
        </w:rPr>
        <w:t>8个重点产业片区为重心，以一批特色产业集聚区为补充的“3＋8＋</w:t>
      </w:r>
      <w:r>
        <w:rPr>
          <w:rFonts w:hint="eastAsia" w:ascii="仿宋_GB2312" w:hAnsi="宋体" w:eastAsia="仿宋_GB2312" w:cs="宋体"/>
          <w:color w:val="auto"/>
          <w:spacing w:val="-6"/>
          <w:kern w:val="0"/>
          <w:sz w:val="32"/>
          <w:szCs w:val="32"/>
        </w:rPr>
        <w:t>10</w:t>
      </w:r>
      <w:r>
        <w:rPr>
          <w:rFonts w:ascii="仿宋_GB2312" w:hAnsi="宋体" w:eastAsia="仿宋_GB2312" w:cs="宋体"/>
          <w:color w:val="auto"/>
          <w:spacing w:val="-6"/>
          <w:kern w:val="0"/>
          <w:sz w:val="32"/>
          <w:szCs w:val="32"/>
        </w:rPr>
        <w:t>”产业平台空间布局</w:t>
      </w:r>
      <w:r>
        <w:rPr>
          <w:rFonts w:hint="eastAsia" w:ascii="仿宋_GB2312" w:hAnsi="宋体" w:eastAsia="仿宋_GB2312" w:cs="宋体"/>
          <w:color w:val="auto"/>
          <w:spacing w:val="-6"/>
          <w:kern w:val="0"/>
          <w:sz w:val="32"/>
          <w:szCs w:val="32"/>
        </w:rPr>
        <w:t>，继续推进构建分工明确、产业布局合理的5大都市组团。</w:t>
      </w:r>
    </w:p>
    <w:tbl>
      <w:tblPr>
        <w:tblStyle w:val="11"/>
        <w:tblpPr w:leftFromText="180" w:rightFromText="180" w:vertAnchor="text" w:horzAnchor="page" w:tblpX="1934" w:tblpY="217"/>
        <w:tblOverlap w:val="never"/>
        <w:tblW w:w="8431" w:type="dxa"/>
        <w:tblInd w:w="0" w:type="dxa"/>
        <w:tblLayout w:type="autofit"/>
        <w:tblCellMar>
          <w:top w:w="15" w:type="dxa"/>
          <w:left w:w="15" w:type="dxa"/>
          <w:bottom w:w="15" w:type="dxa"/>
          <w:right w:w="15" w:type="dxa"/>
        </w:tblCellMar>
      </w:tblPr>
      <w:tblGrid>
        <w:gridCol w:w="8431"/>
      </w:tblGrid>
      <w:tr>
        <w:tblPrEx>
          <w:tblCellMar>
            <w:top w:w="15" w:type="dxa"/>
            <w:left w:w="15" w:type="dxa"/>
            <w:bottom w:w="15" w:type="dxa"/>
            <w:right w:w="15" w:type="dxa"/>
          </w:tblCellMar>
        </w:tblPrEx>
        <w:trPr>
          <w:trHeight w:val="435" w:hRule="atLeast"/>
        </w:trPr>
        <w:tc>
          <w:tcPr>
            <w:tcW w:w="843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1928" w:firstLineChars="800"/>
              <w:rPr>
                <w:rFonts w:ascii="宋体" w:hAnsi="宋体" w:eastAsia="宋体" w:cs="宋体"/>
                <w:color w:val="auto"/>
                <w:kern w:val="0"/>
                <w:sz w:val="24"/>
                <w:szCs w:val="24"/>
              </w:rPr>
            </w:pPr>
            <w:r>
              <w:rPr>
                <w:rFonts w:hint="eastAsia" w:ascii="宋体" w:hAnsi="宋体" w:eastAsia="宋体" w:cs="宋体"/>
                <w:b/>
                <w:bCs/>
                <w:color w:val="auto"/>
                <w:kern w:val="0"/>
                <w:sz w:val="24"/>
                <w:szCs w:val="24"/>
              </w:rPr>
              <w:t>组团功能定位专栏：各都市组团功能定位</w:t>
            </w:r>
          </w:p>
        </w:tc>
      </w:tr>
      <w:tr>
        <w:tblPrEx>
          <w:tblCellMar>
            <w:top w:w="15" w:type="dxa"/>
            <w:left w:w="15" w:type="dxa"/>
            <w:bottom w:w="15" w:type="dxa"/>
            <w:right w:w="15" w:type="dxa"/>
          </w:tblCellMar>
        </w:tblPrEx>
        <w:trPr>
          <w:trHeight w:val="394" w:hRule="atLeast"/>
        </w:trPr>
        <w:tc>
          <w:tcPr>
            <w:tcW w:w="843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国际化中心城区：</w:t>
            </w:r>
            <w:r>
              <w:rPr>
                <w:rFonts w:hint="eastAsia" w:ascii="楷体_GB2312" w:hAnsi="Helvetica" w:eastAsia="楷体_GB2312" w:cs="Helvetica"/>
                <w:color w:val="auto"/>
                <w:kern w:val="0"/>
                <w:sz w:val="24"/>
                <w:szCs w:val="24"/>
              </w:rPr>
              <w:t>由金平、龙湖和濠江三个区组成，以金融、商务、科研、高端服务和高新技术产业为主要职能；</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东里</w:t>
            </w:r>
            <w:r>
              <w:rPr>
                <w:rFonts w:hint="eastAsia" w:ascii="楷体_GB2312" w:hAnsi="Times New Roman" w:eastAsia="楷体_GB2312" w:cs="Times New Roman"/>
                <w:b/>
                <w:bCs/>
                <w:color w:val="auto"/>
                <w:kern w:val="0"/>
                <w:sz w:val="24"/>
                <w:szCs w:val="24"/>
              </w:rPr>
              <w:t>-</w:t>
            </w:r>
            <w:r>
              <w:rPr>
                <w:rFonts w:hint="eastAsia" w:ascii="楷体_GB2312" w:hAnsi="Helvetica" w:eastAsia="楷体_GB2312" w:cs="Helvetica"/>
                <w:b/>
                <w:bCs/>
                <w:color w:val="auto"/>
                <w:kern w:val="0"/>
                <w:sz w:val="24"/>
                <w:szCs w:val="24"/>
              </w:rPr>
              <w:t>盐鸿都市组团：</w:t>
            </w:r>
            <w:r>
              <w:rPr>
                <w:rFonts w:hint="eastAsia" w:ascii="楷体_GB2312" w:hAnsi="Helvetica" w:eastAsia="楷体_GB2312" w:cs="Helvetica"/>
                <w:color w:val="auto"/>
                <w:kern w:val="0"/>
                <w:sz w:val="24"/>
                <w:szCs w:val="24"/>
              </w:rPr>
              <w:t>以东里镇、盐鸿镇、莲华镇、隆都镇为主体，依托莲花山片区重点发展新一代电子、新材料、循环经济等产业，依托内部生态人文资源，兼顾发展都市休闲旅游。</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澄海都市组团：</w:t>
            </w:r>
            <w:r>
              <w:rPr>
                <w:rFonts w:hint="eastAsia" w:ascii="楷体_GB2312" w:hAnsi="Helvetica" w:eastAsia="楷体_GB2312" w:cs="Helvetica"/>
                <w:color w:val="auto"/>
                <w:kern w:val="0"/>
                <w:sz w:val="24"/>
                <w:szCs w:val="24"/>
              </w:rPr>
              <w:t>以广益街道、澄华街道、凤翔街道、上华镇为主体，重点发展现代服务业。“十四五”期间重点推进展开省级澄海区蔬菜产业园核心区、省级澄海区狮头鹅产业园核心区。</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潮阳都市组团：</w:t>
            </w:r>
            <w:r>
              <w:rPr>
                <w:rFonts w:hint="eastAsia" w:ascii="楷体_GB2312" w:hAnsi="Helvetica" w:eastAsia="楷体_GB2312" w:cs="Helvetica"/>
                <w:color w:val="auto"/>
                <w:kern w:val="0"/>
                <w:sz w:val="24"/>
                <w:szCs w:val="24"/>
              </w:rPr>
              <w:t>由棉北、文光、城南、金浦四个街道和海门镇、和平镇、河溪镇华阳片区构成，依托海门片区，重点发展时尚服装及印染配套、新材料产业。“十四五”期间重点推进潮阳区海门渔港码头建设及配套。</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潮南都市组团：</w:t>
            </w:r>
            <w:r>
              <w:rPr>
                <w:rFonts w:hint="eastAsia" w:ascii="楷体_GB2312" w:hAnsi="Helvetica" w:eastAsia="楷体_GB2312" w:cs="Helvetica"/>
                <w:color w:val="auto"/>
                <w:kern w:val="0"/>
                <w:sz w:val="24"/>
                <w:szCs w:val="24"/>
              </w:rPr>
              <w:t>是市域“南部大建设提质先导区，宜居宜业的风尚田园城区”，进一步发挥与峡山、司马浦、胪岗、两英等城镇的协同发展优势，加快发展时尚服装产业与高端生物医药产业。“十四五”期间重点推进雷岭现代化农旅产业发展，打造荔枝产业强镇，推动荔枝产业与乡村旅游深度融合，建设光明鸽养殖基地、打造养殖加工餐饮全产业链条。</w:t>
            </w:r>
          </w:p>
          <w:p>
            <w:pPr>
              <w:widowControl/>
              <w:spacing w:line="400" w:lineRule="exact"/>
              <w:jc w:val="left"/>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南澳国际生态旅游岛：</w:t>
            </w:r>
            <w:r>
              <w:rPr>
                <w:rFonts w:hint="eastAsia" w:ascii="楷体_GB2312" w:hAnsi="Helvetica" w:eastAsia="楷体_GB2312" w:cs="Helvetica"/>
                <w:color w:val="auto"/>
                <w:kern w:val="0"/>
                <w:sz w:val="24"/>
                <w:szCs w:val="24"/>
              </w:rPr>
              <w:t>提升后宅公共服务职能，围绕深澳、云澳、青澳等，配置国际高端旅游、度假体验旅游、观光游览旅游等构成的综合旅游设施，打造“显山露水、疏密有致”的南澳国际生态旅游岛，创建国家“5A”级旅游景区。“十四五”期间重点推进南澳县全域智慧旅游建设项目、广东省南澳县渔港经济区（云澳中心渔港）项目。</w:t>
            </w:r>
          </w:p>
        </w:tc>
      </w:tr>
    </w:tbl>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bookmarkStart w:id="21" w:name="_Hlk76570591"/>
      <w:r>
        <w:rPr>
          <w:rFonts w:hint="eastAsia" w:ascii="仿宋_GB2312" w:hAnsi="宋体" w:eastAsia="仿宋_GB2312" w:cs="宋体"/>
          <w:b/>
          <w:bCs/>
          <w:color w:val="auto"/>
          <w:spacing w:val="-6"/>
          <w:kern w:val="0"/>
          <w:sz w:val="32"/>
          <w:szCs w:val="32"/>
        </w:rPr>
        <w:t>2.推进县城、区治所在地新型城镇化</w:t>
      </w:r>
      <w:bookmarkEnd w:id="21"/>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以潮南区两英镇和澄海区莲下镇2个省级城乡融合发展中心镇试点地区为重点，立足实际和发展需求，围绕提升公共设施服务水平、推动环境卫生设施提档升级、加强市政公用设施精细管理、推进产业培育设施提质扩容等任务，补齐公共服务、环境卫生、公用设施、产业培育等弱项和短板，有序推进全市区（县）城镇化补短板强弱项工作，推动城乡融合发展。</w:t>
      </w:r>
    </w:p>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3.做好做强县域镇域经济</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bCs/>
          <w:color w:val="auto"/>
          <w:spacing w:val="-6"/>
          <w:kern w:val="0"/>
          <w:sz w:val="32"/>
          <w:szCs w:val="32"/>
        </w:rPr>
        <w:t>汕头的</w:t>
      </w:r>
      <w:r>
        <w:rPr>
          <w:rFonts w:hint="eastAsia" w:ascii="仿宋_GB2312" w:hAnsi="宋体" w:eastAsia="仿宋_GB2312" w:cs="宋体"/>
          <w:color w:val="auto"/>
          <w:spacing w:val="-6"/>
          <w:kern w:val="0"/>
          <w:sz w:val="32"/>
          <w:szCs w:val="32"/>
        </w:rPr>
        <w:t>村镇农产品和工业原材料丰富，劳动力资源充足，并具备投资门槛、交易成本低等优势，聚集了大量中小企业、小微企业、个体工商户等经济组织，创业和就业潜力巨大。</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依托3个外围核心功能片区，统筹整合资源，做大做强村镇经济和集体经济。积极引导县域特色经济和农村二三产业向县城集聚，促进农业转移人口就近城镇化，形成县城产业园区和特色小镇等产业集聚区。加快莲花山片区、金浦片区、两英片区引进新兴产业与沿线乡镇传统产业转型升级工作；提升澄海、潮阳、潮南城区服务水平与辐射能力，</w:t>
      </w:r>
      <w:r>
        <w:rPr>
          <w:rFonts w:ascii="仿宋_GB2312" w:hAnsi="宋体" w:eastAsia="仿宋_GB2312" w:cs="宋体"/>
          <w:color w:val="auto"/>
          <w:spacing w:val="-6"/>
          <w:kern w:val="0"/>
          <w:sz w:val="32"/>
          <w:szCs w:val="32"/>
        </w:rPr>
        <w:t>协同建设一批产业发展强镇、城乡融合发展镇、农业重点镇</w:t>
      </w:r>
      <w:r>
        <w:rPr>
          <w:rFonts w:hint="eastAsia" w:ascii="仿宋_GB2312" w:hAnsi="宋体" w:eastAsia="仿宋_GB2312" w:cs="宋体"/>
          <w:color w:val="auto"/>
          <w:spacing w:val="-6"/>
          <w:kern w:val="0"/>
          <w:sz w:val="32"/>
          <w:szCs w:val="32"/>
        </w:rPr>
        <w:t>，发挥带头作用，辐射周边村镇，形成多个特色鲜明、分工协作的功能组团。将村镇产业发展作为农民就近就地转移就业的主阵地和增收的主渠道。在推动农村一二三产业融合发展方面，</w:t>
      </w:r>
      <w:r>
        <w:rPr>
          <w:rFonts w:ascii="仿宋_GB2312" w:hAnsi="宋体" w:eastAsia="仿宋_GB2312" w:cs="宋体"/>
          <w:color w:val="auto"/>
          <w:spacing w:val="-6"/>
          <w:kern w:val="0"/>
          <w:sz w:val="32"/>
          <w:szCs w:val="32"/>
        </w:rPr>
        <w:t>大力发展农产品精深加工，延伸农业产业链条，提高农产品附加值；积极培育发展休闲农业与乡村旅游等新业态，加快农村一二三产业融合发展，促进农民增收和农村经济高质量发展。密切农民专业合作社、家庭农场等新型农业经营主体与农户的利益联结关系，推动农业农村经济持续向好；</w:t>
      </w:r>
      <w:r>
        <w:rPr>
          <w:rFonts w:hint="eastAsia" w:ascii="仿宋_GB2312" w:hAnsi="宋体" w:eastAsia="仿宋_GB2312" w:cs="宋体"/>
          <w:color w:val="auto"/>
          <w:spacing w:val="-6"/>
          <w:kern w:val="0"/>
          <w:sz w:val="32"/>
          <w:szCs w:val="32"/>
        </w:rPr>
        <w:t>调整优化农业经济结构，提高农业产业化和市场化水平，开展高标准农田建设项目；</w:t>
      </w:r>
      <w:r>
        <w:rPr>
          <w:rFonts w:ascii="仿宋_GB2312" w:hAnsi="宋体" w:eastAsia="仿宋_GB2312" w:cs="宋体"/>
          <w:color w:val="auto"/>
          <w:spacing w:val="-6"/>
          <w:kern w:val="0"/>
          <w:sz w:val="32"/>
          <w:szCs w:val="32"/>
        </w:rPr>
        <w:t>丰富乡村产业发展类型，积极推行“农业+”的多元化发展，通过提升乡村空间品质和产业配置，切实增强乡村发展</w:t>
      </w:r>
      <w:r>
        <w:rPr>
          <w:rFonts w:hint="eastAsia" w:ascii="仿宋_GB2312" w:hAnsi="宋体" w:eastAsia="仿宋_GB2312" w:cs="宋体"/>
          <w:color w:val="auto"/>
          <w:spacing w:val="-6"/>
          <w:kern w:val="0"/>
          <w:sz w:val="32"/>
          <w:szCs w:val="32"/>
        </w:rPr>
        <w:t>的</w:t>
      </w:r>
      <w:r>
        <w:rPr>
          <w:rFonts w:ascii="仿宋_GB2312" w:hAnsi="宋体" w:eastAsia="仿宋_GB2312" w:cs="宋体"/>
          <w:color w:val="auto"/>
          <w:spacing w:val="-6"/>
          <w:kern w:val="0"/>
          <w:sz w:val="32"/>
          <w:szCs w:val="32"/>
        </w:rPr>
        <w:t>活力</w:t>
      </w:r>
      <w:r>
        <w:rPr>
          <w:rFonts w:hint="eastAsia" w:ascii="仿宋_GB2312" w:hAnsi="宋体" w:eastAsia="仿宋_GB2312" w:cs="宋体"/>
          <w:color w:val="auto"/>
          <w:spacing w:val="-6"/>
          <w:kern w:val="0"/>
          <w:sz w:val="32"/>
          <w:szCs w:val="32"/>
        </w:rPr>
        <w:t>。</w:t>
      </w:r>
    </w:p>
    <w:tbl>
      <w:tblPr>
        <w:tblStyle w:val="11"/>
        <w:tblW w:w="8678" w:type="dxa"/>
        <w:tblInd w:w="92" w:type="dxa"/>
        <w:tblLayout w:type="autofit"/>
        <w:tblCellMar>
          <w:top w:w="15" w:type="dxa"/>
          <w:left w:w="15" w:type="dxa"/>
          <w:bottom w:w="15" w:type="dxa"/>
          <w:right w:w="15" w:type="dxa"/>
        </w:tblCellMar>
      </w:tblPr>
      <w:tblGrid>
        <w:gridCol w:w="8678"/>
      </w:tblGrid>
      <w:tr>
        <w:tblPrEx>
          <w:tblCellMar>
            <w:top w:w="15" w:type="dxa"/>
            <w:left w:w="15" w:type="dxa"/>
            <w:bottom w:w="15" w:type="dxa"/>
            <w:right w:w="15" w:type="dxa"/>
          </w:tblCellMar>
        </w:tblPrEx>
        <w:trPr>
          <w:trHeight w:val="435" w:hRule="atLeast"/>
        </w:trPr>
        <w:tc>
          <w:tcPr>
            <w:tcW w:w="8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乡村片区专栏：三个外围核心功能片区定位</w:t>
            </w:r>
          </w:p>
        </w:tc>
      </w:tr>
      <w:tr>
        <w:tblPrEx>
          <w:tblCellMar>
            <w:top w:w="15" w:type="dxa"/>
            <w:left w:w="15" w:type="dxa"/>
            <w:bottom w:w="15" w:type="dxa"/>
            <w:right w:w="15" w:type="dxa"/>
          </w:tblCellMar>
        </w:tblPrEx>
        <w:trPr>
          <w:trHeight w:val="90" w:hRule="atLeast"/>
        </w:trPr>
        <w:tc>
          <w:tcPr>
            <w:tcW w:w="867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澄海西部生态与乡村片区：</w:t>
            </w:r>
            <w:r>
              <w:rPr>
                <w:rFonts w:hint="eastAsia" w:ascii="楷体_GB2312" w:hAnsi="Helvetica" w:eastAsia="楷体_GB2312" w:cs="Helvetica"/>
                <w:color w:val="auto"/>
                <w:kern w:val="0"/>
                <w:sz w:val="24"/>
                <w:szCs w:val="24"/>
              </w:rPr>
              <w:t>包括韩江上游及莲花山地区，是市域最优质、最重要的生态涵养区，是潮侨文化乡村标志区，整合生态与文化的优质农产业区、特色乡村休闲旅游区和城乡统筹发展示范区；</w:t>
            </w:r>
          </w:p>
          <w:p>
            <w:pPr>
              <w:widowControl/>
              <w:spacing w:line="400" w:lineRule="exact"/>
              <w:jc w:val="left"/>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潮阳西部生态与乡村片区：</w:t>
            </w:r>
            <w:r>
              <w:rPr>
                <w:rFonts w:hint="eastAsia" w:ascii="楷体_GB2312" w:hAnsi="Helvetica" w:eastAsia="楷体_GB2312" w:cs="Helvetica"/>
                <w:color w:val="auto"/>
                <w:kern w:val="0"/>
                <w:sz w:val="24"/>
                <w:szCs w:val="24"/>
              </w:rPr>
              <w:t>包括榕江上游及小北山地区，是市域和汕潮揭区域重要的生态涵养带、绿色农业产业区、生态型城乡统筹发展示范区；</w:t>
            </w:r>
          </w:p>
          <w:p>
            <w:pPr>
              <w:widowControl/>
              <w:spacing w:line="400" w:lineRule="exact"/>
              <w:jc w:val="left"/>
              <w:rPr>
                <w:rFonts w:ascii="宋体" w:hAnsi="宋体" w:eastAsia="宋体" w:cs="宋体"/>
                <w:color w:val="auto"/>
                <w:kern w:val="0"/>
                <w:sz w:val="24"/>
                <w:szCs w:val="24"/>
              </w:rPr>
            </w:pPr>
            <w:r>
              <w:rPr>
                <w:rFonts w:hint="eastAsia" w:ascii="楷体_GB2312" w:hAnsi="Helvetica" w:eastAsia="楷体_GB2312" w:cs="Helvetica"/>
                <w:b/>
                <w:bCs/>
                <w:color w:val="auto"/>
                <w:kern w:val="0"/>
                <w:sz w:val="24"/>
                <w:szCs w:val="24"/>
              </w:rPr>
              <w:t>潮南南部生态与乡村片区：</w:t>
            </w:r>
            <w:r>
              <w:rPr>
                <w:rFonts w:hint="eastAsia" w:ascii="楷体_GB2312" w:hAnsi="Helvetica" w:eastAsia="楷体_GB2312" w:cs="Helvetica"/>
                <w:color w:val="auto"/>
                <w:kern w:val="0"/>
                <w:sz w:val="24"/>
                <w:szCs w:val="24"/>
              </w:rPr>
              <w:t>包括仙城及大南山地区，是市域和汕潮揭区域重要的生态涵养区、绿色农业产业区和山地休闲度假旅游区。</w:t>
            </w:r>
          </w:p>
        </w:tc>
      </w:tr>
    </w:tbl>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4.推动汕潮揭都市区一体化发展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规划汕头带形都市向两端进一步延伸南至揭阳普宁、北至潮州饶平，同时中部基于一体化交通骨架促进主城区与揭阳、潮州主城区同城化畅达联系，构建汕潮揭一体化大都市区，汕潮揭三市以汕头为中心，有机衔接、合理分工、联动梅州都市区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“十四五”期间，初步完成大都市区结构性交通骨架建设，强化汕头主城区的金融、商务、科研、高端服务和高新技术产业中心职能，主动对接揭阳的制造业职能和潮州的国家历史文化名城职能。</w:t>
      </w:r>
      <w:bookmarkStart w:id="22" w:name="_Toc75424414"/>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r>
        <w:rPr>
          <w:rFonts w:hint="eastAsia" w:eastAsia="楷体"/>
          <w:bCs/>
          <w:color w:val="auto"/>
          <w:sz w:val="32"/>
          <w:szCs w:val="32"/>
        </w:rPr>
        <w:t>第二节 统筹一体化交通建设，构建生态带形都市框架</w:t>
      </w:r>
      <w:bookmarkEnd w:id="22"/>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“十四五”期间，交通建设应衔接好《汕头市国土空间总体规划（2</w:t>
      </w:r>
      <w:r>
        <w:rPr>
          <w:rFonts w:ascii="仿宋_GB2312" w:hAnsi="宋体" w:eastAsia="仿宋_GB2312" w:cs="宋体"/>
          <w:color w:val="auto"/>
          <w:spacing w:val="-6"/>
          <w:kern w:val="0"/>
          <w:sz w:val="32"/>
          <w:szCs w:val="32"/>
        </w:rPr>
        <w:t>020</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2035</w:t>
      </w:r>
      <w:r>
        <w:rPr>
          <w:rFonts w:hint="eastAsia" w:ascii="仿宋_GB2312" w:hAnsi="宋体" w:eastAsia="仿宋_GB2312" w:cs="宋体"/>
          <w:color w:val="auto"/>
          <w:spacing w:val="-6"/>
          <w:kern w:val="0"/>
          <w:sz w:val="32"/>
          <w:szCs w:val="32"/>
        </w:rPr>
        <w:t>年）》及《</w:t>
      </w:r>
      <w:r>
        <w:rPr>
          <w:rFonts w:ascii="Times New Roman" w:hAnsi="Times New Roman" w:eastAsia="仿宋_GB2312" w:cs="Times New Roman"/>
          <w:color w:val="auto"/>
          <w:sz w:val="32"/>
          <w:szCs w:val="32"/>
        </w:rPr>
        <w:t>汕头市综合交通运输体系发展“十四五”规划</w:t>
      </w:r>
      <w:r>
        <w:rPr>
          <w:rFonts w:hint="eastAsia" w:ascii="仿宋_GB2312" w:hAnsi="宋体" w:eastAsia="仿宋_GB2312" w:cs="宋体"/>
          <w:color w:val="auto"/>
          <w:spacing w:val="-6"/>
          <w:kern w:val="0"/>
          <w:sz w:val="32"/>
          <w:szCs w:val="32"/>
        </w:rPr>
        <w:t>》，立足区域，统筹城乡，基本完成生态带形都市空间基本框架的建设：突出功能、精心梳理、精巧引导，以交通拉开空间建设的大框架，以有限投资、精准干预不断提高交通效率、提升交通品质，避免反复拆建而造成资源的浪费，在实现交通与城乡空间、功能的协同发展上取得突破，最终实现交通引导的城市发展模式转型(TOT)。</w:t>
      </w:r>
    </w:p>
    <w:p>
      <w:pPr>
        <w:pageBreakBefore w:val="0"/>
        <w:widowControl/>
        <w:kinsoku/>
        <w:wordWrap/>
        <w:overflowPunct/>
        <w:topLinePunct w:val="0"/>
        <w:autoSpaceDE/>
        <w:autoSpaceDN/>
        <w:bidi w:val="0"/>
        <w:adjustRightInd/>
        <w:snapToGrid/>
        <w:spacing w:before="60" w:after="60" w:line="600" w:lineRule="exact"/>
        <w:ind w:firstLine="619"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1.梳理带形都市交通结构</w:t>
      </w:r>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汕头位于江海交界处，具有独特优美的山海相间的自然格局，城市空间沿海岸线平行交通主轴连绵发展，是典型的生态带形都市，同时受榕江、韩江、练江的分割，使汕头城市空间呈现组团式发展的特点，中心性相对较弱，城市要素间距较大。要强化各组团之间的联系和资源共享，结合生态带形都市空间特点梳理形成有机组织、一体化建设的市域交通结构。一是“十四五”期间完成结构性交通线的建设和完善：加强汕头中心城区与潮南、潮阳、澄海、东里-盐鸿和南澳等都市组团之间的交通联系，实现市域空间有机共联；推动潮阳、潮南、澄海加快高速公路连接线建设，打通公路网“最后一公里”，全面提升全市的国省道路网通行能力和服务水平。二是构建指状市域交通核心骨架：加强汕头中心城区与惠来、揭阳、潮州、普宁、饶平等周边市县的联系。</w:t>
      </w:r>
    </w:p>
    <w:p>
      <w:pPr>
        <w:pageBreakBefore w:val="0"/>
        <w:widowControl/>
        <w:kinsoku/>
        <w:wordWrap/>
        <w:overflowPunct/>
        <w:topLinePunct w:val="0"/>
        <w:autoSpaceDE/>
        <w:autoSpaceDN/>
        <w:bidi w:val="0"/>
        <w:adjustRightInd/>
        <w:snapToGrid/>
        <w:spacing w:before="60" w:after="60" w:line="600" w:lineRule="exact"/>
        <w:ind w:firstLine="619"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2.完善城乡道路交通系统</w:t>
      </w:r>
    </w:p>
    <w:p>
      <w:pPr>
        <w:pageBreakBefore w:val="0"/>
        <w:widowControl/>
        <w:kinsoku/>
        <w:wordWrap/>
        <w:overflowPunct/>
        <w:topLinePunct w:val="0"/>
        <w:autoSpaceDE/>
        <w:autoSpaceDN/>
        <w:bidi w:val="0"/>
        <w:adjustRightInd/>
        <w:snapToGrid/>
        <w:spacing w:before="60" w:after="60"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一是改善中心城区南北两岸空间受自然阻隔发展受限问题，在“十四五”期间加快国道228线改线、中心城区北部绕城新通道、国道324线牛田洋快速通道等区域通道建设。二是同步提升城乡道路空间品质，在全市高速公路网络已基本成型，市政道路同步升级的基础上，围绕“镇镇通高速”的目标，谋划连通高速公路、城际交通的快速通道，同时重点提升乡镇地区道路设施改建和升级，完成澄海新型城镇化道路交通基础设施改建工程（乡镇道路部分）项目等。推进三级及以上公路客运站覆盖所有区（县），具备客运（公交）功能的乡镇运输服务站覆盖具备条件的乡镇，加强公路客运站与铁路、航空等区域交通枢纽间的便捷换乘衔接设施建设，助力生产、分配、市场、流通的内循环系统。</w:t>
      </w:r>
    </w:p>
    <w:p>
      <w:pPr>
        <w:pageBreakBefore w:val="0"/>
        <w:widowControl/>
        <w:kinsoku/>
        <w:wordWrap/>
        <w:overflowPunct/>
        <w:topLinePunct w:val="0"/>
        <w:autoSpaceDE/>
        <w:autoSpaceDN/>
        <w:bidi w:val="0"/>
        <w:adjustRightInd/>
        <w:snapToGrid/>
        <w:spacing w:before="60" w:after="60" w:line="600" w:lineRule="exact"/>
        <w:ind w:firstLine="619"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3.打造绿色多元交通系统</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形成以大容量快速交通为骨架、常规公交为主体、出租车为补充的基础上，发展步行、运动、自行车等绿色低碳慢行系统，打造体现人性关怀的公交和慢行网络体系。其中，公共交通包含轨道、地面和水上公交三类交通运输方式，地面公交分为快速公交（含BRT、大站快运和公交快线）和常规公交两类。创新构建不同要素的公交与慢行交通区，形成要素多元服务多样的公交与慢行交通体系。</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before="60" w:after="60" w:line="600" w:lineRule="exact"/>
        <w:jc w:val="left"/>
        <w:textAlignment w:val="auto"/>
        <w:rPr>
          <w:rFonts w:hint="eastAsia" w:ascii="仿宋_GB2312" w:hAnsi="宋体" w:eastAsia="仿宋_GB2312" w:cs="宋体"/>
          <w:color w:val="auto"/>
          <w:spacing w:val="-6"/>
          <w:kern w:val="0"/>
          <w:sz w:val="32"/>
          <w:szCs w:val="32"/>
        </w:rPr>
      </w:pPr>
    </w:p>
    <w:tbl>
      <w:tblPr>
        <w:tblStyle w:val="11"/>
        <w:tblpPr w:leftFromText="180" w:rightFromText="180" w:vertAnchor="text" w:horzAnchor="page" w:tblpX="1831" w:tblpY="273"/>
        <w:tblOverlap w:val="never"/>
        <w:tblW w:w="8644" w:type="dxa"/>
        <w:tblInd w:w="0" w:type="dxa"/>
        <w:tblLayout w:type="autofit"/>
        <w:tblCellMar>
          <w:top w:w="15" w:type="dxa"/>
          <w:left w:w="15" w:type="dxa"/>
          <w:bottom w:w="15" w:type="dxa"/>
          <w:right w:w="15" w:type="dxa"/>
        </w:tblCellMar>
      </w:tblPr>
      <w:tblGrid>
        <w:gridCol w:w="8644"/>
      </w:tblGrid>
      <w:tr>
        <w:tblPrEx>
          <w:tblCellMar>
            <w:top w:w="15" w:type="dxa"/>
            <w:left w:w="15" w:type="dxa"/>
            <w:bottom w:w="15" w:type="dxa"/>
            <w:right w:w="15" w:type="dxa"/>
          </w:tblCellMar>
        </w:tblPrEx>
        <w:trPr>
          <w:trHeight w:val="90" w:hRule="atLeast"/>
        </w:trPr>
        <w:tc>
          <w:tcPr>
            <w:tcW w:w="864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人性化交通专栏：多元公交与慢行交通体系</w:t>
            </w:r>
          </w:p>
        </w:tc>
      </w:tr>
      <w:tr>
        <w:tblPrEx>
          <w:tblCellMar>
            <w:top w:w="15" w:type="dxa"/>
            <w:left w:w="15" w:type="dxa"/>
            <w:bottom w:w="15" w:type="dxa"/>
            <w:right w:w="15" w:type="dxa"/>
          </w:tblCellMar>
        </w:tblPrEx>
        <w:trPr>
          <w:trHeight w:val="90" w:hRule="atLeast"/>
        </w:trPr>
        <w:tc>
          <w:tcPr>
            <w:tcW w:w="864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spacing w:line="32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高密度慢行交通区：指仅供步行或公共交通通行的街区，主要针对人流量高度密集、高品质建设要求、道路面积相对有限、周边交通条件能够满足避开一般机动车交通的城市中心区、历史文化街区和其他特色街区等的交通发展目标；贯彻公交优先理念，并推动以小公园片区、东海岸新城、珠港新城等片区先行建设与国际潮流接轨的低碳可持续交通区。</w:t>
            </w:r>
          </w:p>
          <w:p>
            <w:pPr>
              <w:widowControl/>
              <w:spacing w:line="32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rPr>
              <w:t>康体健身慢行交通区：指结合景区、公园、运动区和大学等公共开敞空间布置，仅供步行和自行车交通通行的街区，确有必要时，可以允许机动车缓慢通行。结合具体情况，可进一步分为城市休闲与运动街区、郊野公园休闲与运动区、山地步道攀爬区等。推进桑浦山</w:t>
            </w:r>
            <w:r>
              <w:rPr>
                <w:rFonts w:hint="eastAsia" w:ascii="楷体_GB2312" w:hAnsi="Times New Roman" w:eastAsia="楷体_GB2312" w:cs="Times New Roman"/>
                <w:color w:val="auto"/>
                <w:kern w:val="0"/>
                <w:sz w:val="24"/>
                <w:szCs w:val="24"/>
              </w:rPr>
              <w:t>-</w:t>
            </w:r>
            <w:r>
              <w:rPr>
                <w:rFonts w:hint="eastAsia" w:ascii="楷体_GB2312" w:hAnsi="Helvetica" w:eastAsia="楷体_GB2312" w:cs="Helvetica"/>
                <w:color w:val="auto"/>
                <w:kern w:val="0"/>
                <w:sz w:val="24"/>
                <w:szCs w:val="24"/>
              </w:rPr>
              <w:t>汕头大学片区、牛田洋红树林景区、金凤半岛滨水休闲区、莲花山景区、塔山风景区、十八峰山景区、莲阳河滨水休闲运动区、黄花山森林公园和果老山景区等片区优先建设。</w:t>
            </w:r>
          </w:p>
          <w:p>
            <w:pPr>
              <w:widowControl/>
              <w:spacing w:line="32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color w:val="auto"/>
                <w:kern w:val="0"/>
                <w:sz w:val="24"/>
                <w:szCs w:val="24"/>
              </w:rPr>
              <w:t>慢行友好交通区：具有友好慢行交通环境的机动车通行片区。结合具体情况可基于以下因素进一步细分：高密度（建设和路网）慢性友好交通区、休闲与运动友好交通区等。推进汕头老城区片区、珠港新城片区、东海岸新城片区、西部生态新城片区、榕江智慧谷新城片区、濠江新城片区等片区作为示范区优先建设。</w:t>
            </w:r>
          </w:p>
          <w:p>
            <w:pPr>
              <w:widowControl/>
              <w:spacing w:line="320" w:lineRule="exact"/>
              <w:ind w:firstLine="482"/>
              <w:rPr>
                <w:rFonts w:ascii="宋体" w:hAnsi="宋体" w:eastAsia="宋体" w:cs="宋体"/>
                <w:color w:val="auto"/>
                <w:kern w:val="0"/>
                <w:sz w:val="24"/>
                <w:szCs w:val="24"/>
              </w:rPr>
            </w:pPr>
            <w:r>
              <w:rPr>
                <w:rFonts w:hint="eastAsia" w:ascii="楷体_GB2312" w:hAnsi="Helvetica" w:eastAsia="楷体_GB2312" w:cs="Helvetica"/>
                <w:color w:val="auto"/>
                <w:kern w:val="0"/>
                <w:sz w:val="24"/>
                <w:szCs w:val="24"/>
              </w:rPr>
              <w:t>小运量人性化混合交通区：交通区位相对僻静、交通量不大的居住区、乡村区等片区。交通设施供给突出自然、生态、人性化。推进澄海西部韩江上游片区、潮阳西部榕江上游片区和潮南南部仙城</w:t>
            </w:r>
            <w:r>
              <w:rPr>
                <w:rFonts w:hint="eastAsia" w:ascii="楷体_GB2312" w:hAnsi="Times New Roman" w:eastAsia="楷体_GB2312" w:cs="Times New Roman"/>
                <w:color w:val="auto"/>
                <w:kern w:val="0"/>
                <w:sz w:val="24"/>
                <w:szCs w:val="24"/>
              </w:rPr>
              <w:t>-</w:t>
            </w:r>
            <w:r>
              <w:rPr>
                <w:rFonts w:hint="eastAsia" w:ascii="楷体_GB2312" w:hAnsi="Helvetica" w:eastAsia="楷体_GB2312" w:cs="Helvetica"/>
                <w:color w:val="auto"/>
                <w:kern w:val="0"/>
                <w:sz w:val="24"/>
                <w:szCs w:val="24"/>
              </w:rPr>
              <w:t>大南山片区作为示范区优先建设。</w:t>
            </w:r>
          </w:p>
        </w:tc>
      </w:tr>
    </w:tbl>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4.实现智慧交通管理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基于公共利益适度运用政策手段和运用智能技术，精密监测、调控城乡交通系统，实现有限设施的高效利用。在实现全系统监控管理的同时，重点关注关键线路、节点、场站和区域，例如包含轨道交通线路在内的重要交通线路、公交首末站、综合场站、维修基地与服务区等。</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“十四五”期间智慧交通管理重点项目包括交通智慧指挥中心（市）、潮阳区智慧交通管理系统工程、南澳县4A级景区文旅商业消费聚集区道路设施品质提升工程建设项目等。</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32"/>
        </w:rPr>
      </w:pPr>
      <w:bookmarkStart w:id="23" w:name="_Toc75424417"/>
      <w:r>
        <w:rPr>
          <w:rFonts w:hint="eastAsia"/>
          <w:b w:val="0"/>
          <w:bCs w:val="0"/>
          <w:color w:val="auto"/>
          <w:sz w:val="32"/>
        </w:rPr>
        <w:t>第七章 资源配置与</w:t>
      </w:r>
      <w:bookmarkEnd w:id="23"/>
      <w:r>
        <w:rPr>
          <w:rFonts w:hint="eastAsia"/>
          <w:b w:val="0"/>
          <w:bCs w:val="0"/>
          <w:color w:val="auto"/>
          <w:sz w:val="32"/>
        </w:rPr>
        <w:t>品质提升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坚持以人为核心，坚持共同富裕方向，坚持人民城市人民建，人民城市为人民，着力提高人口素质和农业转移人口市民化质量，加快实现基本公共服务全面均等覆盖常住人口，不断提升城市宜居宜业水平，不断增强人民获得感幸福感安全感，促进人的全面发展，使全体人民共享城镇化发展成果。</w:t>
      </w:r>
    </w:p>
    <w:p>
      <w:pPr>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优质资源均衡共享是提升人民生活质量和幸福感的关键，也是实现全域都市化的基础；教育和医疗事业关系百姓福祉，是人民安身立命、长期发展的根本需要，是一个地区软实力的体现；公用设施配套先行是开展生产、安居乐业的必要条件；县域是继续推进城镇化的重要空间，加快推进县域城镇化补短板强弱项工作，大力提升县域公共设施和服务能力，是实现新型城镇化战略目标的重要支撑。“十四五”期间应全力推动以改善民生和基本公共服务均等化、实现优质资源的共建共享为核心的社会事业发展战略，加强普惠性、基础性、兜底性民生建设，让发展成果更多更公平惠及全体人民。</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4" w:name="_Toc75424418"/>
      <w:r>
        <w:rPr>
          <w:rFonts w:hint="eastAsia"/>
          <w:color w:val="auto"/>
        </w:rPr>
        <w:t>第一节 鼓励侨胞侨资办学，提高教育供给能力</w:t>
      </w:r>
      <w:bookmarkEnd w:id="24"/>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在衔接好《汕头市教育发展“十四五”规划》与《汕头市县城新型城镇化补短板强弱项实施方案》的基础上，重点推动侨资办学、城乡教育一体化建设。</w:t>
      </w:r>
    </w:p>
    <w:p>
      <w:pPr>
        <w:pageBreakBefore w:val="0"/>
        <w:widowControl/>
        <w:kinsoku/>
        <w:wordWrap/>
        <w:overflowPunct/>
        <w:topLinePunct w:val="0"/>
        <w:autoSpaceDE/>
        <w:autoSpaceDN/>
        <w:bidi w:val="0"/>
        <w:adjustRightInd/>
        <w:snapToGrid/>
        <w:spacing w:line="600" w:lineRule="exact"/>
        <w:ind w:firstLine="48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百年大计、教育为本”，必须把教育事业放在优先位置，将汕头打造为滨海邹鲁，现代教育之城。“十四五”期间，发挥侨胞侨资推进教育国际化发展方面的重要作用，优化教育资源规划布局，全力推进优质教育资源的共建共享，深化教育改革，完善保障机制，加快教育现代化，办好令人民满意的教育。</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1.推进教育特色化均衡化发展，促进优质教育资源共建共享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积极引导和鼓励侨胞侨资参与社会办学，大力开辟海外筹资渠道，调动海外华侨华人捐资助学的积极性，帮助支持汕头本地教育事业的发展。推进区域教育特色化、均衡化发展，抓住中外合作办学契机，构建国际化、高质量的教育服务体系。发挥广东以色列理工学院和汕头大学的外溢效应，联合广东工业大学和韩山师范学院，共建国家级和省级工程技术中心、产学研一体化创新服务基地、高校大型科学仪器设备库和重点实验室。发展特色职业教育，加快粤东地区高职院校建设，根据各城市产业特点设置优势专业，推进汕头市高职院校集群发展。推进汕潮揭教育资源共享联网，打通三市教育资源共享通道，实现公共教育资源要素共享和相互开放。</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2.优化教育设施规划布局，构建教育城乡一体格局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优化学前教育设施的布局。根据学前教育设施的要求进行布点，提高学前教育设施覆盖率和服务能力。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提高中小学的就近服务能力，全市初中教育设施布局应尽量接近城镇主要住宅区、村住宅区，各镇应按要求配套建设初中教育设施，人口规模大的村应按要求配套建设初中教育设施，减少通勤时间与通勤距离。农村地区应加强对麻雀学校的整合，增加办学效益，提高整合后小学教育设施的整体水平与办学质量，节约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优质高中资源均衡分布。推进建设高质量发展普通高中教育体系，促进普通高中多样化有特色发展，更好满足不同群体不同需求接受优质高中阶段教育。</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预留高等院校用地，高水平规划建设高等院校，力争“十四五”末期，汕头高等院校拥有数达到</w:t>
      </w:r>
      <w:r>
        <w:rPr>
          <w:rFonts w:ascii="仿宋_GB2312" w:hAnsi="宋体" w:eastAsia="仿宋_GB2312" w:cs="宋体"/>
          <w:color w:val="auto"/>
          <w:spacing w:val="-6"/>
          <w:kern w:val="0"/>
          <w:sz w:val="32"/>
          <w:szCs w:val="32"/>
        </w:rPr>
        <w:t>5</w:t>
      </w:r>
      <w:r>
        <w:rPr>
          <w:rFonts w:hint="eastAsia" w:ascii="仿宋_GB2312" w:hAnsi="宋体" w:eastAsia="仿宋_GB2312" w:cs="宋体"/>
          <w:color w:val="auto"/>
          <w:spacing w:val="-6"/>
          <w:kern w:val="0"/>
          <w:sz w:val="32"/>
          <w:szCs w:val="32"/>
        </w:rPr>
        <w:t>所，分别为汕头大学、广东以色列理工学院、汕头职业技术学院和广东幼儿师范高等专科学校以及汕头健康护理职业学院。探索引进社会资本举办应用型本科院校。支持粤东技师学院、汕头技师学院纳入高等教育学校序列。支持汕头职业技术学院升格为本科层次职业教育院校。</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3.完善教育保障机制，均衡城乡教育资源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综合提升市域优质教育资源供给能力，充分考虑农民工随迁子女接受义务教育，均衡布局教育资源。打破城乡二元教育结构，分类指导、统筹推进，把资金项目等各类教育资源向农村边远学校倾斜，实现薄弱学校软硬件同步提升，缩小校际差距。</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加大乡村小学全科教师的培养力度，提高乡村教师待遇。通过待遇留人、环境留人、平台留人，打造高素质专业化教师队伍，为基础教育优质均衡发展提供有效支撑。</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4.加强“汕头教育云平台”建设，实施数字教育资源共享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积极创新信息化环境下课堂教学模式，加快智慧校园、智慧教室建设与教学应用研究，构建新型学习空间环境，促进现代信息技术与教育教学的深度融合。鼓励市域范围内优质教育资源通过一校多区、集团化管理等办法，加快推进优质教育资源共享。</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5" w:name="_Toc75424419"/>
      <w:r>
        <w:rPr>
          <w:rFonts w:hint="eastAsia"/>
          <w:color w:val="auto"/>
        </w:rPr>
        <w:t>第二节 优化医疗卫生资源分布，提升市域人民生活品质</w:t>
      </w:r>
      <w:bookmarkEnd w:id="2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在衔接好《汕头市卫生与健康事业发展“十四五”规划》与《汕头市县城新型城镇化补短板强弱项实施方案》的基础上，重点推进优质高效医疗卫生服务体系建设。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重点解决现有医疗卫生资源总量不足，配置结构不合理，城市和农村医疗卫生资源分布不均衡，基层医疗卫生资源利用效率低等问题，从组织领导、经费投入和人才建设等三个方面为优化资源布局做好保障。</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1.建立健全医疗卫生体系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优化医疗服务体系结构，建设区域医疗高地。在东翼澄海南澳、西翼潮阳潮南的东西两翼发展区建设多个区级医疗中心。以强基、创优、建高地为抓手，着力推动重心下移和资源下沉，优化医疗卫生资源分布的实施路径，提高服务质量和服务水平。</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2.完善医疗卫生设施布局</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进重大医疗卫生设施项目建设，完善布局，提升医疗卫生资源配置公平性，逐步缩小不同区域医疗服务能力的差别。加大基层特别是乡镇地区医疗卫生设施建设力度，提高乡镇地区医疗卫生服务和公共卫生安全保障能力。</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3.构建有序的分级诊疗模式</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以家庭医生签约服务为基础、医疗联合体为平台，建立不同级别、类别医疗卫生机构分工协作机制，建立完善分级诊疗技术标准和工作机制。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探索推进“三医联动”(医疗、医保、医药改革联动)，深化公立医院综合改革，提高基层医疗卫生服务能力，推进紧密型县域医共体建设，畅通双向转诊渠道，通过医保支付引导分级诊疗，在推进分级诊疗方面迈出更大步伐。</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4.推动优质医疗资源互联共享</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快医疗卫生信息化建设，构建新型“互联网+医疗”服务模式。以信息化手段促进医疗资源合理配置。建设市级区域医疗卫生信息平台(二期)项目，以市级平台为核心点，实现全市二级及以上医院与卫生院、社区卫生服务中心的信息互联互通，融入省-市-县-镇-村五级医疗卫生机构远程医疗服务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鼓励市三甲医院与县级医院建立对口帮扶、巡回医疗和远程医疗机制，加快县域医共体、农村医疗卫生机构建设，推进村卫生站投入使用。开展县级疾控中心升级改造，完善县级公共卫生临床中心（慢性病防治院），提升县级医院应对突发公共卫生事件能力。加大县域医疗卫生信息化投入。</w:t>
      </w:r>
    </w:p>
    <w:p>
      <w:pPr>
        <w:pageBreakBefore w:val="0"/>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5.完善婴幼儿和养老照护设施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将统筹规划建设社区婴幼儿照护服务设施纳入规划中，根据《汕头市人民政府办公室关于促进3岁以下婴幼儿照护服务发展的实施意见》(汕府办[2020]51号文）要在新建居住区规划建设与常住人口规模相适应的婴幼儿照护服务设施和配套安全设施，与住宅同步设计、同步建设、同步验收、同步交付使用。同时，在社区、农村综合服务设施建设中，统筹考虑婴幼儿照护服务设施建设。在家庭照护为主、社会供养为辅的前提下</w:t>
      </w:r>
      <w:r>
        <w:rPr>
          <w:rFonts w:ascii="仿宋_GB2312" w:hAnsi="宋体" w:eastAsia="仿宋_GB2312" w:cs="宋体"/>
          <w:color w:val="auto"/>
          <w:spacing w:val="-6"/>
          <w:kern w:val="0"/>
          <w:sz w:val="32"/>
          <w:szCs w:val="32"/>
        </w:rPr>
        <w:t>提高养老服务质量，扩充护理型床位，配置消防设施和辅助设施</w:t>
      </w:r>
      <w:r>
        <w:rPr>
          <w:rFonts w:hint="eastAsia" w:ascii="仿宋_GB2312" w:hAnsi="宋体" w:eastAsia="仿宋_GB2312" w:cs="宋体"/>
          <w:color w:val="auto"/>
          <w:spacing w:val="-6"/>
          <w:kern w:val="0"/>
          <w:sz w:val="32"/>
          <w:szCs w:val="32"/>
        </w:rPr>
        <w:t>，</w:t>
      </w:r>
      <w:r>
        <w:rPr>
          <w:rFonts w:ascii="仿宋_GB2312" w:hAnsi="宋体" w:eastAsia="仿宋_GB2312" w:cs="宋体"/>
          <w:color w:val="auto"/>
          <w:spacing w:val="-6"/>
          <w:kern w:val="0"/>
          <w:sz w:val="32"/>
          <w:szCs w:val="32"/>
        </w:rPr>
        <w:t>建设县级特困人员供养服务设施（敬老院）。</w:t>
      </w:r>
      <w:r>
        <w:rPr>
          <w:rFonts w:hint="eastAsia" w:ascii="仿宋_GB2312" w:hAnsi="宋体" w:eastAsia="仿宋_GB2312" w:cs="宋体"/>
          <w:color w:val="auto"/>
          <w:spacing w:val="-6"/>
          <w:kern w:val="0"/>
          <w:sz w:val="32"/>
          <w:szCs w:val="32"/>
        </w:rPr>
        <w:t>支持县城养老机构提供社区和居家养老“嵌入式”服务，加快推进各区（县）居家养老服务指导中心建设，推动养老机构、社区养老服务机构将业务服务延伸到家庭，鼓励医疗卫生机构、养老机构开展多种形式的签约合作。</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6.鼓励社会力量参与医疗体系建设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鼓励社会力量建设高水平医院，培育一批具有竞争优势的专科医疗品牌。支持发展高水平、国际化、集团化的医学检验、病理诊断、医学影像、消毒供应、血液净化、安宁疗护等第三方专业机构。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支持和规范社会医疗机构与公立医院展开多种类型的医疗业务、学科建设、人才培养等合作，使社会办医成为公立医疗服务体系的有益补充，满足群众多层次、多样化、差异化的健康服务需求。</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6" w:name="_Toc75424420"/>
      <w:r>
        <w:rPr>
          <w:rFonts w:hint="eastAsia"/>
          <w:color w:val="auto"/>
        </w:rPr>
        <w:t>第三节 加快城乡市政设施建设，促进城乡一体化发展</w:t>
      </w:r>
      <w:bookmarkEnd w:id="2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在衔接好《汕头市县城新型城镇化补短板强弱项实施方案》、《汕头市水利改革发展“十四五”规划》、《汕头市城市供水发展“十四五”规划》、《汕头市智能电网发展“十四五”规划》、《汕头市城乡生活垃圾处理指导性专项规划》、《汕头市燃气专项规划》、《汕头市“十四五”消防规划》、《汕头市消防专项规划（2016-2030）》等基础上，重点关注城乡市政设施一体化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“十四五”期间需抓住“亚青会”契机，创新理念，统筹全市域范围的市政基础设施规划，打破区划限制，填补供给缺口，均衡城乡区域发展，统筹推进传统基础设施建设和新型基础设施建设。</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1.紧抓“亚青会”契机，完善公共设施配套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需紧紧抓住汕头市承办“2021年亚青会”的契机，坚持以人民为中心，以满足人民群众对美丽城乡环境需求为努力方向，创新公共基础设施建设发展理念，运用新技术新手段推进新型基础设施建设，不断促进城乡公共设施提质升级，提升城市精细化管理水平。</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2.紧抓“亚青会”契机，布局城乡均优市政设施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立足全市域，统筹规划城乡的通信、供水、供电、防洪、消防、垃圾污水处理等设施建设，统筹布局大型市政公用设施。将市辖区村镇基础设施配套建设纳入城市基础设施专项规划，向镇域乡村延伸。</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w:t>
      </w:r>
      <w:r>
        <w:rPr>
          <w:rFonts w:ascii="仿宋_GB2312" w:hAnsi="宋体" w:eastAsia="仿宋_GB2312" w:cs="宋体"/>
          <w:color w:val="auto"/>
          <w:spacing w:val="-6"/>
          <w:kern w:val="0"/>
          <w:sz w:val="32"/>
          <w:szCs w:val="32"/>
        </w:rPr>
        <w:t>.</w:t>
      </w:r>
      <w:r>
        <w:rPr>
          <w:rFonts w:hint="eastAsia" w:ascii="仿宋_GB2312" w:hAnsi="宋体" w:eastAsia="仿宋_GB2312" w:cs="宋体"/>
          <w:color w:val="auto"/>
          <w:spacing w:val="-6"/>
          <w:kern w:val="0"/>
          <w:sz w:val="32"/>
          <w:szCs w:val="32"/>
        </w:rPr>
        <w:t>紧抓“亚青会”契机，增强城市防灾减灾能力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建立城市安全风险评估机制，逐步推广“城市体检”，提高城市自然灾害和重大事故预测预警能力，制定重大风险应对预案。推动南澳县深入开展全国综合减灾示范县试点建设</w:t>
      </w:r>
      <w:r>
        <w:rPr>
          <w:rFonts w:hint="eastAsia" w:ascii="仿宋_GB2312" w:hAnsi="宋体" w:eastAsia="仿宋_GB2312" w:cs="宋体"/>
          <w:color w:val="auto"/>
          <w:spacing w:val="-6"/>
          <w:kern w:val="0"/>
          <w:sz w:val="32"/>
          <w:szCs w:val="32"/>
          <w:lang w:eastAsia="zh-CN"/>
        </w:rPr>
        <w:t>。</w:t>
      </w:r>
      <w:r>
        <w:rPr>
          <w:rFonts w:hint="eastAsia" w:ascii="仿宋_GB2312" w:hAnsi="宋体" w:eastAsia="仿宋_GB2312" w:cs="宋体"/>
          <w:color w:val="auto"/>
          <w:spacing w:val="-6"/>
          <w:kern w:val="0"/>
          <w:sz w:val="32"/>
          <w:szCs w:val="32"/>
        </w:rPr>
        <w:t>出台系统性优化提升城市排水防涝能力实施方案，到2</w:t>
      </w:r>
      <w:r>
        <w:rPr>
          <w:rFonts w:ascii="仿宋_GB2312" w:hAnsi="宋体" w:eastAsia="仿宋_GB2312" w:cs="宋体"/>
          <w:color w:val="auto"/>
          <w:spacing w:val="-6"/>
          <w:kern w:val="0"/>
          <w:sz w:val="32"/>
          <w:szCs w:val="32"/>
        </w:rPr>
        <w:t>025</w:t>
      </w:r>
      <w:r>
        <w:rPr>
          <w:rFonts w:hint="eastAsia" w:ascii="仿宋_GB2312" w:hAnsi="宋体" w:eastAsia="仿宋_GB2312" w:cs="宋体"/>
          <w:color w:val="auto"/>
          <w:spacing w:val="-6"/>
          <w:kern w:val="0"/>
          <w:sz w:val="32"/>
          <w:szCs w:val="32"/>
        </w:rPr>
        <w:t>年建立完善城市排水防涝动态监测机制，城市建成区严重影响生产生活秩序的易涝积水点达到1</w:t>
      </w:r>
      <w:r>
        <w:rPr>
          <w:rFonts w:ascii="仿宋_GB2312" w:hAnsi="宋体" w:eastAsia="仿宋_GB2312" w:cs="宋体"/>
          <w:color w:val="auto"/>
          <w:spacing w:val="-6"/>
          <w:kern w:val="0"/>
          <w:sz w:val="32"/>
          <w:szCs w:val="32"/>
        </w:rPr>
        <w:t>00%</w:t>
      </w:r>
      <w:r>
        <w:rPr>
          <w:rFonts w:hint="eastAsia" w:ascii="仿宋_GB2312" w:hAnsi="宋体" w:eastAsia="仿宋_GB2312" w:cs="宋体"/>
          <w:color w:val="auto"/>
          <w:spacing w:val="-6"/>
          <w:kern w:val="0"/>
          <w:sz w:val="32"/>
          <w:szCs w:val="32"/>
        </w:rPr>
        <w:t>消除，城市建成区3</w:t>
      </w:r>
      <w:r>
        <w:rPr>
          <w:rFonts w:ascii="仿宋_GB2312" w:hAnsi="宋体" w:eastAsia="仿宋_GB2312" w:cs="宋体"/>
          <w:color w:val="auto"/>
          <w:spacing w:val="-6"/>
          <w:kern w:val="0"/>
          <w:sz w:val="32"/>
          <w:szCs w:val="32"/>
        </w:rPr>
        <w:t>0%</w:t>
      </w:r>
      <w:r>
        <w:rPr>
          <w:rFonts w:hint="eastAsia" w:ascii="仿宋_GB2312" w:hAnsi="宋体" w:eastAsia="仿宋_GB2312" w:cs="宋体"/>
          <w:color w:val="auto"/>
          <w:spacing w:val="-6"/>
          <w:kern w:val="0"/>
          <w:sz w:val="32"/>
          <w:szCs w:val="32"/>
        </w:rPr>
        <w:t>以上面积达到海绵城市建设要求。</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打破区划限制，“十四五”期间各区完成核心市政设施建设；中心城区结合道路、水体景观建设设置视频采集器、空气传感器、水系传感器等，建立城市感觉神经系统；同时推进城中村及半城半乡地区大型市政配套设施及公共服务设施更新改造建设。</w:t>
      </w:r>
    </w:p>
    <w:p>
      <w:pPr>
        <w:spacing w:line="560" w:lineRule="exact"/>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br w:type="page"/>
      </w:r>
    </w:p>
    <w:tbl>
      <w:tblPr>
        <w:tblStyle w:val="11"/>
        <w:tblW w:w="8894" w:type="dxa"/>
        <w:tblInd w:w="-17" w:type="dxa"/>
        <w:tblLayout w:type="autofit"/>
        <w:tblCellMar>
          <w:top w:w="15" w:type="dxa"/>
          <w:left w:w="15" w:type="dxa"/>
          <w:bottom w:w="15" w:type="dxa"/>
          <w:right w:w="15" w:type="dxa"/>
        </w:tblCellMar>
      </w:tblPr>
      <w:tblGrid>
        <w:gridCol w:w="8894"/>
      </w:tblGrid>
      <w:tr>
        <w:tblPrEx>
          <w:tblCellMar>
            <w:top w:w="15" w:type="dxa"/>
            <w:left w:w="15" w:type="dxa"/>
            <w:bottom w:w="15" w:type="dxa"/>
            <w:right w:w="15" w:type="dxa"/>
          </w:tblCellMar>
        </w:tblPrEx>
        <w:trPr>
          <w:trHeight w:val="406" w:hRule="atLeast"/>
        </w:trPr>
        <w:tc>
          <w:tcPr>
            <w:tcW w:w="889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center"/>
          </w:tcPr>
          <w:p>
            <w:pPr>
              <w:widowControl/>
              <w:ind w:firstLine="480"/>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市政公用设施专栏：“十四五”时期市政公用设施项目表</w:t>
            </w:r>
          </w:p>
        </w:tc>
      </w:tr>
      <w:tr>
        <w:trPr>
          <w:trHeight w:val="12114" w:hRule="atLeast"/>
        </w:trPr>
        <w:tc>
          <w:tcPr>
            <w:tcW w:w="889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45" w:type="dxa"/>
              <w:right w:w="60" w:type="dxa"/>
            </w:tcMar>
            <w:vAlign w:val="top"/>
          </w:tcPr>
          <w:p>
            <w:pPr>
              <w:keepNext w:val="0"/>
              <w:keepLines w:val="0"/>
              <w:pageBreakBefore w:val="0"/>
              <w:widowControl/>
              <w:kinsoku/>
              <w:wordWrap/>
              <w:overflowPunct/>
              <w:topLinePunct w:val="0"/>
              <w:autoSpaceDE/>
              <w:autoSpaceDN/>
              <w:bidi w:val="0"/>
              <w:adjustRightInd/>
              <w:snapToGrid/>
              <w:spacing w:line="320" w:lineRule="exact"/>
              <w:ind w:firstLine="482" w:firstLineChars="20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szCs w:val="24"/>
              </w:rPr>
              <w:t>中心城区及各区：</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1.通信：5G网络建设10项（规划相关项目，需同其他部门共同推进）；亚洲直达海缆（Asia Direct Cable，简称ADC）（规划相关项目，需同工信部门共同推进）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2.能源：中心城区市政燃气管道项目（规划相关项目，需同其他部门共同推进）；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3.给排水：排水防涝项目共计9项（其中中心城区5项、澄海1项、潮阳2项、南澳1项），城市供水项目共计14项（其中全市共建6项、龙湖区1项、澄海5项、潮阳区2项）以及汕头市潮南区“十四五”农村供水工程等</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4.环卫：潮阳区和平镇施茶路至垃圾焚烧发电厂道路升级改造建设项目（规划相关项目，需同其他部门共同推进）；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5.商业服务：市区级大型综合商业服务中心（CBD）、社区联合生活服务设施建设综合服务中心（规划相关项目，需同其他部门共同推进）；</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rPr>
            </w:pPr>
            <w:r>
              <w:rPr>
                <w:rFonts w:hint="eastAsia" w:ascii="楷体" w:hAnsi="楷体" w:eastAsia="楷体" w:cs="楷体"/>
                <w:b/>
                <w:bCs/>
                <w:color w:val="auto"/>
                <w:kern w:val="0"/>
                <w:sz w:val="24"/>
              </w:rPr>
              <w:t>6.消防队站：</w:t>
            </w:r>
            <w:r>
              <w:rPr>
                <w:rFonts w:hint="eastAsia" w:ascii="楷体" w:hAnsi="楷体" w:eastAsia="楷体" w:cs="楷体"/>
                <w:color w:val="auto"/>
                <w:kern w:val="0"/>
                <w:sz w:val="24"/>
              </w:rPr>
              <w:t>依据汕头市人民政府办公室印发的《〈汕头市消防专项</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楷体" w:hAnsi="楷体" w:eastAsia="楷体" w:cs="楷体"/>
                <w:color w:val="auto"/>
                <w:kern w:val="0"/>
                <w:sz w:val="24"/>
              </w:rPr>
            </w:pPr>
            <w:r>
              <w:rPr>
                <w:rFonts w:hint="eastAsia" w:ascii="楷体" w:hAnsi="楷体" w:eastAsia="楷体" w:cs="楷体"/>
                <w:color w:val="auto"/>
                <w:kern w:val="0"/>
                <w:sz w:val="24"/>
              </w:rPr>
              <w:t>规划（2016—2030）〉2019—2021年度实施计划》文件要求,加快以下消防队站建设：（</w:t>
            </w:r>
            <w:r>
              <w:rPr>
                <w:rFonts w:hint="eastAsia" w:ascii="楷体" w:hAnsi="楷体" w:eastAsia="楷体" w:cs="楷体"/>
                <w:b/>
                <w:bCs/>
                <w:color w:val="auto"/>
                <w:kern w:val="0"/>
                <w:sz w:val="24"/>
              </w:rPr>
              <w:t>市级：</w:t>
            </w:r>
            <w:r>
              <w:rPr>
                <w:rFonts w:hint="eastAsia" w:ascii="楷体" w:hAnsi="楷体" w:eastAsia="楷体" w:cs="楷体"/>
                <w:color w:val="auto"/>
                <w:kern w:val="0"/>
                <w:sz w:val="24"/>
              </w:rPr>
              <w:t>塔岗围消防站（东海岸新城塔岗围片区）、消防训练基地（汕湛高速旁，河浦大道南侧）、新津消防站（东海岸新城新津片区东部）、黄厝围消防站（海碧路与邹鲁路交叉口东南片区）；</w:t>
            </w:r>
            <w:r>
              <w:rPr>
                <w:rFonts w:hint="eastAsia" w:ascii="楷体" w:hAnsi="楷体" w:eastAsia="楷体" w:cs="楷体"/>
                <w:b/>
                <w:bCs/>
                <w:color w:val="auto"/>
                <w:kern w:val="0"/>
                <w:sz w:val="24"/>
              </w:rPr>
              <w:t>金平区：</w:t>
            </w:r>
            <w:r>
              <w:rPr>
                <w:rFonts w:hint="eastAsia" w:ascii="楷体" w:hAnsi="楷体" w:eastAsia="楷体" w:cs="楷体"/>
                <w:color w:val="auto"/>
                <w:kern w:val="0"/>
                <w:sz w:val="24"/>
              </w:rPr>
              <w:t>广厦消防站（华山北路南侧）、金园消防站（南澳路北侧）、汕大南侧消防站（牛田洋片区鮀次路东侧）；</w:t>
            </w:r>
            <w:r>
              <w:rPr>
                <w:rFonts w:hint="eastAsia" w:ascii="楷体" w:hAnsi="楷体" w:eastAsia="楷体" w:cs="楷体"/>
                <w:b/>
                <w:bCs/>
                <w:color w:val="auto"/>
                <w:kern w:val="0"/>
                <w:sz w:val="24"/>
              </w:rPr>
              <w:t>龙湖区：</w:t>
            </w:r>
            <w:r>
              <w:rPr>
                <w:rFonts w:hint="eastAsia" w:ascii="楷体" w:hAnsi="楷体" w:eastAsia="楷体" w:cs="楷体"/>
                <w:color w:val="auto"/>
                <w:kern w:val="0"/>
                <w:sz w:val="24"/>
              </w:rPr>
              <w:t>外砂南消防站（外砂机场北侧）、新溪南消防站（金鸿公路—金新路西北片区）、新溪一消防站（兼消防指挥中心）（华侨大道—武夷山路西北片区）；</w:t>
            </w:r>
            <w:r>
              <w:rPr>
                <w:rFonts w:hint="eastAsia" w:ascii="楷体" w:hAnsi="楷体" w:eastAsia="楷体" w:cs="楷体"/>
                <w:b/>
                <w:bCs/>
                <w:color w:val="auto"/>
                <w:kern w:val="0"/>
                <w:sz w:val="24"/>
              </w:rPr>
              <w:t>濠江区：</w:t>
            </w:r>
            <w:r>
              <w:rPr>
                <w:rFonts w:hint="eastAsia" w:ascii="楷体" w:hAnsi="楷体" w:eastAsia="楷体" w:cs="楷体"/>
                <w:color w:val="auto"/>
                <w:kern w:val="0"/>
                <w:sz w:val="24"/>
              </w:rPr>
              <w:t>南滨一消防站（南滨南路北侧）、马窖消防站（中心路与珠河路交界）、广澳专职消防站（广澳港口）、河浦消防站（河浦大道与三河路交界）；</w:t>
            </w:r>
            <w:r>
              <w:rPr>
                <w:rFonts w:hint="eastAsia" w:ascii="楷体" w:hAnsi="楷体" w:eastAsia="楷体" w:cs="楷体"/>
                <w:b/>
                <w:bCs/>
                <w:color w:val="auto"/>
                <w:kern w:val="0"/>
                <w:sz w:val="24"/>
              </w:rPr>
              <w:t>潮阳区：</w:t>
            </w:r>
            <w:r>
              <w:rPr>
                <w:rFonts w:hint="eastAsia" w:ascii="楷体" w:hAnsi="楷体" w:eastAsia="楷体" w:cs="楷体"/>
                <w:color w:val="auto"/>
                <w:kern w:val="0"/>
                <w:sz w:val="24"/>
              </w:rPr>
              <w:t>贵屿一消防站（谷贵路与北环路交界）、城西一消防站（环城西路南侧）、关埠一消防站（关埠镇东部片区省道S324南侧）、海门消防站（东山大道东侧）；</w:t>
            </w:r>
            <w:r>
              <w:rPr>
                <w:rFonts w:hint="eastAsia" w:ascii="楷体" w:hAnsi="楷体" w:eastAsia="楷体" w:cs="楷体"/>
                <w:b/>
                <w:bCs/>
                <w:color w:val="auto"/>
                <w:kern w:val="0"/>
                <w:sz w:val="24"/>
              </w:rPr>
              <w:t>潮南区：</w:t>
            </w:r>
            <w:r>
              <w:rPr>
                <w:rFonts w:hint="eastAsia" w:ascii="楷体" w:hAnsi="楷体" w:eastAsia="楷体" w:cs="楷体"/>
                <w:color w:val="auto"/>
                <w:kern w:val="0"/>
                <w:sz w:val="24"/>
              </w:rPr>
              <w:t>峡山二消防站（峡山街道东部）、成田消防站（成田镇区南部，陈沙公路北侧）、井都一消防站（井都镇区东部，省道337北侧）、陈店一消防站（陈店镇北部，西环路东侧）、胪岗一消防站（胪岗镇南部，峡西路东侧）；</w:t>
            </w:r>
            <w:r>
              <w:rPr>
                <w:rFonts w:hint="eastAsia" w:ascii="楷体" w:hAnsi="楷体" w:eastAsia="楷体" w:cs="楷体"/>
                <w:b/>
                <w:bCs/>
                <w:color w:val="auto"/>
                <w:kern w:val="0"/>
                <w:sz w:val="24"/>
              </w:rPr>
              <w:t>澄海区：</w:t>
            </w:r>
            <w:r>
              <w:rPr>
                <w:rFonts w:hint="eastAsia" w:ascii="楷体" w:hAnsi="楷体" w:eastAsia="楷体" w:cs="楷体"/>
                <w:color w:val="auto"/>
                <w:kern w:val="0"/>
                <w:sz w:val="24"/>
              </w:rPr>
              <w:t>隆都消防站（隆都人民法院东侧）、湾头消防站（莲下镇鸿利工业区西侧）、澄华一消防站（文冠路—沈海高速公路东南片区）、东里消防站（东里镇南洋工业城北侧）；</w:t>
            </w:r>
            <w:r>
              <w:rPr>
                <w:rFonts w:hint="eastAsia" w:ascii="楷体" w:hAnsi="楷体" w:eastAsia="楷体" w:cs="楷体"/>
                <w:b/>
                <w:bCs/>
                <w:color w:val="auto"/>
                <w:kern w:val="0"/>
                <w:sz w:val="24"/>
              </w:rPr>
              <w:t>南澳县：</w:t>
            </w:r>
            <w:r>
              <w:rPr>
                <w:rFonts w:hint="eastAsia" w:ascii="楷体" w:hAnsi="楷体" w:eastAsia="楷体" w:cs="楷体"/>
                <w:color w:val="auto"/>
                <w:kern w:val="0"/>
                <w:sz w:val="24"/>
              </w:rPr>
              <w:t>深澳消防站（深澳镇吴平寨），云澳消防站（隆云公路旁））</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both"/>
              <w:textAlignment w:val="auto"/>
              <w:rPr>
                <w:rFonts w:ascii="楷体" w:hAnsi="楷体" w:eastAsia="楷体" w:cs="楷体"/>
                <w:color w:val="auto"/>
                <w:kern w:val="0"/>
                <w:sz w:val="24"/>
              </w:rPr>
            </w:pPr>
            <w:r>
              <w:rPr>
                <w:rFonts w:hint="eastAsia" w:ascii="楷体" w:hAnsi="楷体" w:eastAsia="楷体" w:cs="楷体"/>
                <w:color w:val="auto"/>
                <w:kern w:val="0"/>
                <w:sz w:val="24"/>
              </w:rPr>
              <w:t xml:space="preserve">同时根据《汕头市消防专项规划（2016-2030）》、《城市消防站建设标准》（建标152-2017）和市委市政府“1146”工程及有关产业规划政策文件，及时将消防站队规划和建设纳入经济社会发展中同步推进。 </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rPr>
              <w:t>7、消防车辆装备建设。</w:t>
            </w:r>
            <w:r>
              <w:rPr>
                <w:rFonts w:hint="eastAsia" w:ascii="楷体" w:hAnsi="楷体" w:eastAsia="楷体" w:cs="楷体"/>
                <w:color w:val="auto"/>
                <w:kern w:val="0"/>
                <w:sz w:val="24"/>
              </w:rPr>
              <w:t>规划消防站车辆装备配置按照《城市消防站建设标准》（建标152-2017）、《消防员个人防护装备配备标准》等现行标准执行标准化配备，逐步补充一批紧缺应急消防救援装备；</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b/>
                <w:bCs/>
                <w:color w:val="auto"/>
                <w:kern w:val="0"/>
                <w:sz w:val="24"/>
                <w:szCs w:val="24"/>
              </w:rPr>
              <w:t>镇域乡村地区：</w:t>
            </w:r>
          </w:p>
          <w:p>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rPr>
                <w:rFonts w:ascii="楷体" w:hAnsi="楷体" w:eastAsia="楷体" w:cs="楷体"/>
                <w:color w:val="auto"/>
                <w:kern w:val="0"/>
                <w:sz w:val="24"/>
                <w:szCs w:val="24"/>
              </w:rPr>
            </w:pPr>
            <w:r>
              <w:rPr>
                <w:rFonts w:hint="eastAsia" w:ascii="楷体" w:hAnsi="楷体" w:eastAsia="楷体" w:cs="楷体"/>
                <w:color w:val="auto"/>
                <w:kern w:val="0"/>
                <w:sz w:val="24"/>
                <w:szCs w:val="24"/>
              </w:rPr>
              <w:t>农村基础设施建设项目共计27项，潮南区一级农贸市场、潮南仙门城10亩农贸市场、潮阳区海门镇洪洞村生活市场及工业生活配套区、潮阳区海门镇西南门农贸市场等商业服务设施建设项目（规划相关项目，需同其他部门共同推进）。</w:t>
            </w:r>
          </w:p>
        </w:tc>
      </w:tr>
    </w:tbl>
    <w:p>
      <w:pPr>
        <w:pStyle w:val="2"/>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44"/>
        </w:rPr>
      </w:pPr>
      <w:bookmarkStart w:id="27" w:name="_Toc75424421"/>
      <w:r>
        <w:rPr>
          <w:rFonts w:hint="eastAsia"/>
          <w:b w:val="0"/>
          <w:bCs w:val="0"/>
          <w:color w:val="auto"/>
          <w:sz w:val="44"/>
        </w:rPr>
        <w:t>第四篇</w:t>
      </w:r>
      <w:r>
        <w:rPr>
          <w:rFonts w:hint="eastAsia" w:ascii="Times New Roman" w:hAnsi="Times New Roman" w:eastAsia="宋体" w:cs="Times New Roman"/>
          <w:b w:val="0"/>
          <w:bCs w:val="0"/>
          <w:color w:val="auto"/>
          <w:sz w:val="44"/>
        </w:rPr>
        <w:t xml:space="preserve"> </w:t>
      </w:r>
      <w:r>
        <w:rPr>
          <w:rFonts w:hint="eastAsia"/>
          <w:b w:val="0"/>
          <w:bCs w:val="0"/>
          <w:color w:val="auto"/>
          <w:sz w:val="44"/>
        </w:rPr>
        <w:t>突出文化引领，打造精致汕头</w:t>
      </w:r>
      <w:bookmarkEnd w:id="27"/>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b w:val="0"/>
          <w:bCs w:val="0"/>
          <w:color w:val="auto"/>
          <w:sz w:val="32"/>
        </w:rPr>
      </w:pPr>
      <w:bookmarkStart w:id="28" w:name="_Toc75424422"/>
      <w:r>
        <w:rPr>
          <w:rFonts w:hint="eastAsia"/>
          <w:b w:val="0"/>
          <w:bCs w:val="0"/>
          <w:color w:val="auto"/>
          <w:sz w:val="32"/>
        </w:rPr>
        <w:t>第八章 潮汕文化与宜居</w:t>
      </w:r>
      <w:bookmarkEnd w:id="28"/>
      <w:r>
        <w:rPr>
          <w:rFonts w:hint="eastAsia"/>
          <w:b w:val="0"/>
          <w:bCs w:val="0"/>
          <w:color w:val="auto"/>
          <w:sz w:val="32"/>
        </w:rPr>
        <w:t>城乡</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“十四五”期间，要以开放进取、精致创新的潮汕精神发展当代潮汕文化，建设文化高地，打造精致多元的包容之城、安养乐趣的老幼天堂之城。</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建立布局有机、用地有序、特色人性的宜居空间供给体系；弘扬、发展汕头的人文性，积极为保护传承潮汕文化提供空间载体；营造出具有鲜明的本地文化特色的人性品质家园。</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29" w:name="_Toc75424423"/>
      <w:r>
        <w:rPr>
          <w:rFonts w:hint="eastAsia"/>
          <w:color w:val="auto"/>
        </w:rPr>
        <w:t>第一节 改善城乡人居环境，提升城乡生活品质</w:t>
      </w:r>
      <w:bookmarkEnd w:id="29"/>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统筹城区重点片区和内海湾整体形象设计，构筑生态宜居、山水交融的城市景观，全面推进城市更新，加快老旧小区改造。“十四五”期间，继续稳步、有序、统筹推进城乡老旧危住宅“应改尽改”、“应整尽整”，实现居民从“住有所居”向“住有宜居”转变。</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1.推进老旧小区改造项目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针对老旧小区特点，稳步、有序推进老旧区改造提升项目。“十四五”期间完成对金平区光华、金砂等1</w:t>
      </w:r>
      <w:r>
        <w:rPr>
          <w:rFonts w:ascii="仿宋_GB2312" w:hAnsi="宋体" w:eastAsia="仿宋_GB2312" w:cs="宋体"/>
          <w:color w:val="auto"/>
          <w:spacing w:val="-6"/>
          <w:kern w:val="0"/>
          <w:sz w:val="32"/>
          <w:szCs w:val="32"/>
        </w:rPr>
        <w:t>9</w:t>
      </w:r>
      <w:r>
        <w:rPr>
          <w:rFonts w:hint="eastAsia" w:ascii="仿宋_GB2312" w:hAnsi="宋体" w:eastAsia="仿宋_GB2312" w:cs="宋体"/>
          <w:color w:val="auto"/>
          <w:spacing w:val="-6"/>
          <w:kern w:val="0"/>
          <w:sz w:val="32"/>
          <w:szCs w:val="32"/>
        </w:rPr>
        <w:t>个街道、濠江区达濠街道、潮阳区新华街道和文光街道的老旧小区进行分类治理，提质提标。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要统筹、整合周边资源，通过国有资产调剂、闲置用房改造等形式解决社区公共空间不足的问题。</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要探索社会力量参与建设，组织社会力量与街道、政府部门、居民联动，共同制定高质量生活“需求、资源、项目”三张服务清单，调动群众参与老旧小区治理的积极性，不断提升居民幸福感与获得感。</w:t>
      </w:r>
    </w:p>
    <w:tbl>
      <w:tblPr>
        <w:tblStyle w:val="11"/>
        <w:tblW w:w="8813" w:type="dxa"/>
        <w:tblInd w:w="0" w:type="dxa"/>
        <w:tblLayout w:type="fixed"/>
        <w:tblCellMar>
          <w:top w:w="15" w:type="dxa"/>
          <w:left w:w="15" w:type="dxa"/>
          <w:bottom w:w="15" w:type="dxa"/>
          <w:right w:w="15" w:type="dxa"/>
        </w:tblCellMar>
      </w:tblPr>
      <w:tblGrid>
        <w:gridCol w:w="418"/>
        <w:gridCol w:w="1121"/>
        <w:gridCol w:w="3481"/>
        <w:gridCol w:w="1557"/>
        <w:gridCol w:w="1087"/>
        <w:gridCol w:w="1149"/>
      </w:tblGrid>
      <w:tr>
        <w:tblPrEx>
          <w:tblCellMar>
            <w:top w:w="15" w:type="dxa"/>
            <w:left w:w="15" w:type="dxa"/>
            <w:bottom w:w="15" w:type="dxa"/>
            <w:right w:w="15" w:type="dxa"/>
          </w:tblCellMar>
        </w:tblPrEx>
        <w:trPr>
          <w:trHeight w:val="269" w:hRule="atLeast"/>
        </w:trPr>
        <w:tc>
          <w:tcPr>
            <w:tcW w:w="8813" w:type="dxa"/>
            <w:gridSpan w:val="6"/>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Helvetica" w:eastAsia="楷体_GB2312" w:cs="Helvetica"/>
                <w:b/>
                <w:color w:val="auto"/>
                <w:kern w:val="0"/>
                <w:sz w:val="24"/>
                <w:szCs w:val="24"/>
              </w:rPr>
            </w:pPr>
            <w:r>
              <w:rPr>
                <w:rFonts w:hint="eastAsia" w:ascii="宋体" w:hAnsi="宋体" w:eastAsia="宋体" w:cs="宋体"/>
                <w:b/>
                <w:bCs/>
                <w:color w:val="auto"/>
                <w:kern w:val="0"/>
                <w:sz w:val="24"/>
                <w:szCs w:val="24"/>
              </w:rPr>
              <w:t>老旧小区改造专栏：“十四五”时期汕头老旧小区改造项目表</w:t>
            </w:r>
          </w:p>
        </w:tc>
      </w:tr>
      <w:tr>
        <w:tblPrEx>
          <w:tblCellMar>
            <w:top w:w="15" w:type="dxa"/>
            <w:left w:w="15" w:type="dxa"/>
            <w:bottom w:w="15" w:type="dxa"/>
            <w:right w:w="15" w:type="dxa"/>
          </w:tblCellMar>
        </w:tblPrEx>
        <w:trPr>
          <w:trHeight w:val="136"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序号</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项目名称</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建设规模</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建设起止年限</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建设单位</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楷体_GB2312" w:hAnsi="宋体" w:eastAsia="楷体_GB2312" w:cs="宋体"/>
                <w:b/>
                <w:color w:val="auto"/>
                <w:kern w:val="0"/>
                <w:sz w:val="24"/>
                <w:szCs w:val="24"/>
              </w:rPr>
            </w:pPr>
            <w:r>
              <w:rPr>
                <w:rFonts w:hint="eastAsia" w:ascii="楷体_GB2312" w:hAnsi="Helvetica" w:eastAsia="楷体_GB2312" w:cs="Helvetica"/>
                <w:b/>
                <w:color w:val="auto"/>
                <w:kern w:val="0"/>
                <w:sz w:val="24"/>
                <w:szCs w:val="24"/>
              </w:rPr>
              <w:t>管理责任单位</w:t>
            </w:r>
          </w:p>
        </w:tc>
      </w:tr>
      <w:tr>
        <w:tblPrEx>
          <w:tblCellMar>
            <w:top w:w="15" w:type="dxa"/>
            <w:left w:w="15" w:type="dxa"/>
            <w:bottom w:w="15" w:type="dxa"/>
            <w:right w:w="15" w:type="dxa"/>
          </w:tblCellMar>
        </w:tblPrEx>
        <w:trPr>
          <w:trHeight w:val="545"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该项目包括光华、金砂等街道17个片区，涉及小区数19个，楼栋数516栋，户数14454户。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2020-2021.6</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金平区住建局</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金平区政府</w:t>
            </w:r>
          </w:p>
        </w:tc>
      </w:tr>
      <w:tr>
        <w:tblPrEx>
          <w:tblCellMar>
            <w:top w:w="15" w:type="dxa"/>
            <w:left w:w="15" w:type="dxa"/>
            <w:bottom w:w="15" w:type="dxa"/>
            <w:right w:w="15" w:type="dxa"/>
          </w:tblCellMar>
        </w:tblPrEx>
        <w:trPr>
          <w:trHeight w:val="158"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该项目包括光华、金砂、金东等街道19个片区，涉及小区数123个，楼栋数1136栋，户数28293户。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2021.6-2021底</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金平区住建局</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金平区政府</w:t>
            </w:r>
          </w:p>
        </w:tc>
      </w:tr>
      <w:tr>
        <w:tblPrEx>
          <w:tblCellMar>
            <w:top w:w="15" w:type="dxa"/>
            <w:left w:w="15" w:type="dxa"/>
            <w:bottom w:w="15" w:type="dxa"/>
            <w:right w:w="15" w:type="dxa"/>
          </w:tblCellMar>
        </w:tblPrEx>
        <w:trPr>
          <w:trHeight w:val="561"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濠江区达濠街道西苑里片区改造项目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该项目涉及小区数2个，楼栋数9栋，户数212户。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2020-2021.9</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濠江区达濠街道办事处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濠江区政府</w:t>
            </w:r>
          </w:p>
        </w:tc>
      </w:tr>
      <w:tr>
        <w:tblPrEx>
          <w:tblCellMar>
            <w:top w:w="15" w:type="dxa"/>
            <w:left w:w="15" w:type="dxa"/>
            <w:bottom w:w="15" w:type="dxa"/>
            <w:right w:w="15" w:type="dxa"/>
          </w:tblCellMar>
        </w:tblPrEx>
        <w:trPr>
          <w:trHeight w:val="1126"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潮阳区新华西路老旧小区配套道路改造项目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该项目新华西路道路规划宽度44至50米，双向6至8车道，两侧设置非机动车道和人行道。全路段应拆房屋63394.7平方米。</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2020-2022</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潮阳区政府</w:t>
            </w:r>
          </w:p>
        </w:tc>
      </w:tr>
      <w:tr>
        <w:tblPrEx>
          <w:tblCellMar>
            <w:top w:w="15" w:type="dxa"/>
            <w:left w:w="15" w:type="dxa"/>
            <w:bottom w:w="15" w:type="dxa"/>
            <w:right w:w="15" w:type="dxa"/>
          </w:tblCellMar>
        </w:tblPrEx>
        <w:trPr>
          <w:trHeight w:val="738" w:hRule="atLeast"/>
        </w:trPr>
        <w:tc>
          <w:tcPr>
            <w:tcW w:w="41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1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潮阳区文光街道老旧小区改造项目</w:t>
            </w:r>
          </w:p>
        </w:tc>
        <w:tc>
          <w:tcPr>
            <w:tcW w:w="348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该项目涉及小区数57个，楼栋数541栋，户数22913户。</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2020-2023</w:t>
            </w:r>
          </w:p>
        </w:tc>
        <w:tc>
          <w:tcPr>
            <w:tcW w:w="108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潮阳区文光街道办事处</w:t>
            </w:r>
          </w:p>
        </w:tc>
        <w:tc>
          <w:tcPr>
            <w:tcW w:w="114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潮阳区政府</w:t>
            </w:r>
          </w:p>
        </w:tc>
      </w:tr>
    </w:tbl>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hint="eastAsia" w:ascii="仿宋_GB2312" w:hAnsi="宋体" w:eastAsia="仿宋_GB2312" w:cs="宋体"/>
          <w:b/>
          <w:bCs/>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2.持续推进农村人居环境整治项目</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实施农村人居环境整治提升五年行动，深化“三清三拆三整治”；要按照“清垃圾、治污水、建厕所、修村道”总体要求，补齐农村基础设施短板，农村生活污水治理率达到95%以上；完善农村教育、卫生、交通、文体等公共服务配套，提档升级“四好农村路”建设，新增硬底化村内道路2000公里提升潮汕乡村整体的村容村貌。</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完成对金平区44个涉农社区、龙湖区78个涉农村居、澄海区172个村、濠江区54个村、潮阳区253个村（涉农社区）、潮南区230个村（涉农社区）、南澳县全县41个乡村，全市共872个村（涉农社区）的人居环境整治工作。实现80%以上行政村达到美丽宜居村标准，建成100个以上特色精品村。</w:t>
      </w: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1"/>
        <w:tblpPr w:leftFromText="180" w:rightFromText="180" w:vertAnchor="text" w:horzAnchor="page" w:tblpX="1985" w:tblpY="1"/>
        <w:tblOverlap w:val="never"/>
        <w:tblW w:w="8471" w:type="dxa"/>
        <w:tblInd w:w="0" w:type="dxa"/>
        <w:tblLayout w:type="fixed"/>
        <w:tblCellMar>
          <w:top w:w="0" w:type="dxa"/>
          <w:left w:w="108" w:type="dxa"/>
          <w:bottom w:w="0" w:type="dxa"/>
          <w:right w:w="108" w:type="dxa"/>
        </w:tblCellMar>
      </w:tblPr>
      <w:tblGrid>
        <w:gridCol w:w="426"/>
        <w:gridCol w:w="1701"/>
        <w:gridCol w:w="2853"/>
        <w:gridCol w:w="1161"/>
        <w:gridCol w:w="1230"/>
        <w:gridCol w:w="1100"/>
      </w:tblGrid>
      <w:tr>
        <w:tblPrEx>
          <w:tblCellMar>
            <w:top w:w="0" w:type="dxa"/>
            <w:left w:w="108" w:type="dxa"/>
            <w:bottom w:w="0" w:type="dxa"/>
            <w:right w:w="108" w:type="dxa"/>
          </w:tblCellMar>
        </w:tblPrEx>
        <w:trPr>
          <w:trHeight w:val="731" w:hRule="atLeast"/>
        </w:trPr>
        <w:tc>
          <w:tcPr>
            <w:tcW w:w="84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4"/>
              </w:rPr>
            </w:pPr>
            <w:r>
              <w:rPr>
                <w:rFonts w:hint="eastAsia" w:ascii="宋体" w:hAnsi="宋体" w:eastAsia="宋体"/>
                <w:b/>
                <w:color w:val="auto"/>
                <w:sz w:val="24"/>
                <w:szCs w:val="24"/>
              </w:rPr>
              <w:t>农村人居环境整治专栏：“十四五”期间农村人居环境整治项目表</w:t>
            </w:r>
          </w:p>
        </w:tc>
      </w:tr>
      <w:tr>
        <w:tblPrEx>
          <w:tblCellMar>
            <w:top w:w="0" w:type="dxa"/>
            <w:left w:w="108" w:type="dxa"/>
            <w:bottom w:w="0" w:type="dxa"/>
            <w:right w:w="108" w:type="dxa"/>
          </w:tblCellMar>
        </w:tblPrEx>
        <w:trPr>
          <w:trHeight w:val="43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项目名称</w:t>
            </w:r>
          </w:p>
        </w:tc>
        <w:tc>
          <w:tcPr>
            <w:tcW w:w="2853" w:type="dxa"/>
            <w:tcBorders>
              <w:top w:val="single" w:color="auto" w:sz="4" w:space="0"/>
              <w:left w:val="nil"/>
              <w:bottom w:val="single" w:color="auto" w:sz="4" w:space="0"/>
              <w:right w:val="single" w:color="auto" w:sz="4" w:space="0"/>
            </w:tcBorders>
            <w:shd w:val="clear" w:color="auto" w:fill="auto"/>
            <w:vAlign w:val="center"/>
          </w:tcPr>
          <w:p>
            <w:pPr>
              <w:adjustRightInd w:val="0"/>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建设内容及规模</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建设起</w:t>
            </w:r>
          </w:p>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止年限</w:t>
            </w:r>
          </w:p>
        </w:tc>
        <w:tc>
          <w:tcPr>
            <w:tcW w:w="123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建设单位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管理责</w:t>
            </w:r>
          </w:p>
          <w:p>
            <w:pPr>
              <w:jc w:val="center"/>
              <w:rPr>
                <w:rFonts w:ascii="Times New Roman" w:hAnsi="Times New Roman" w:eastAsia="楷体_GB2312" w:cs="Times New Roman"/>
                <w:b/>
                <w:bCs/>
                <w:color w:val="auto"/>
                <w:sz w:val="24"/>
                <w:szCs w:val="21"/>
              </w:rPr>
            </w:pPr>
            <w:r>
              <w:rPr>
                <w:rFonts w:hint="eastAsia" w:ascii="Times New Roman" w:hAnsi="Times New Roman" w:eastAsia="楷体_GB2312" w:cs="Times New Roman"/>
                <w:b/>
                <w:bCs/>
                <w:color w:val="auto"/>
                <w:sz w:val="24"/>
                <w:szCs w:val="21"/>
              </w:rPr>
              <w:t>任单位</w:t>
            </w:r>
          </w:p>
        </w:tc>
      </w:tr>
      <w:tr>
        <w:tblPrEx>
          <w:tblCellMar>
            <w:top w:w="0" w:type="dxa"/>
            <w:left w:w="108" w:type="dxa"/>
            <w:bottom w:w="0" w:type="dxa"/>
            <w:right w:w="108" w:type="dxa"/>
          </w:tblCellMar>
        </w:tblPrEx>
        <w:trPr>
          <w:trHeight w:val="1465"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金平区人居环境综合整治“美丽乡村”建设项目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对44个涉农社区进行人居环境综合整治，建设内容主要为村容村貌提升、污水管道建设、道路硬化、池塘整治、社区卫生站和街心公园建设。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2017-2021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金平区各涉农街道</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金平区政府</w:t>
            </w:r>
          </w:p>
        </w:tc>
      </w:tr>
      <w:tr>
        <w:tblPrEx>
          <w:tblCellMar>
            <w:top w:w="0" w:type="dxa"/>
            <w:left w:w="108" w:type="dxa"/>
            <w:bottom w:w="0" w:type="dxa"/>
            <w:right w:w="108" w:type="dxa"/>
          </w:tblCellMar>
        </w:tblPrEx>
        <w:trPr>
          <w:trHeight w:val="941"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龙湖区第二、三、四批美丽乡村建设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龙湖区68个涉农村居乡村建设项目。</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2019-2021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龙湖区各街道</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龙湖区政府</w:t>
            </w:r>
          </w:p>
        </w:tc>
      </w:tr>
      <w:tr>
        <w:tblPrEx>
          <w:tblCellMar>
            <w:top w:w="0" w:type="dxa"/>
            <w:left w:w="108" w:type="dxa"/>
            <w:bottom w:w="0" w:type="dxa"/>
            <w:right w:w="108" w:type="dxa"/>
          </w:tblCellMar>
        </w:tblPrEx>
        <w:trPr>
          <w:trHeight w:val="944"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澄海区美丽乡村建设工程</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美丽乡村建设。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2018-2027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澄海区农业农村局</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澄海区政府</w:t>
            </w:r>
          </w:p>
        </w:tc>
      </w:tr>
      <w:tr>
        <w:tblPrEx>
          <w:tblCellMar>
            <w:top w:w="0" w:type="dxa"/>
            <w:left w:w="108" w:type="dxa"/>
            <w:bottom w:w="0" w:type="dxa"/>
            <w:right w:w="108" w:type="dxa"/>
          </w:tblCellMar>
        </w:tblPrEx>
        <w:trPr>
          <w:trHeight w:val="1139"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潮阳区“百村示范、千村整治”美丽宜居村建设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继续推进253个村（涉农社区）农村人居环境整治建设美丽宜居乡村及提升村庄风貌建设。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各村（涉农社区）</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潮阳区政府</w:t>
            </w:r>
          </w:p>
        </w:tc>
      </w:tr>
      <w:tr>
        <w:tblPrEx>
          <w:tblCellMar>
            <w:top w:w="0" w:type="dxa"/>
            <w:left w:w="108" w:type="dxa"/>
            <w:bottom w:w="0" w:type="dxa"/>
            <w:right w:w="108" w:type="dxa"/>
          </w:tblCellMar>
        </w:tblPrEx>
        <w:trPr>
          <w:trHeight w:val="1085"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潮南区“百村示范、千村整治”美丽宜居村建设</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继续推进230个村（涉农社区）农村人居环境整治建设美丽宜居乡村及提升村庄风貌建设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2020-2027</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各村（涉农社区）</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潮南区政府</w:t>
            </w:r>
          </w:p>
        </w:tc>
      </w:tr>
      <w:tr>
        <w:tblPrEx>
          <w:tblCellMar>
            <w:top w:w="0" w:type="dxa"/>
            <w:left w:w="108" w:type="dxa"/>
            <w:bottom w:w="0" w:type="dxa"/>
            <w:right w:w="108" w:type="dxa"/>
          </w:tblCellMar>
        </w:tblPrEx>
        <w:trPr>
          <w:trHeight w:val="999"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潮南区新农村连片开发项目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道路交通、环保等设施建设，旅游产业配套建设、农村住居规划建设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2021-2022</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仙城镇人民政府</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潮南区政府</w:t>
            </w:r>
          </w:p>
        </w:tc>
      </w:tr>
      <w:tr>
        <w:tblPrEx>
          <w:tblCellMar>
            <w:top w:w="0" w:type="dxa"/>
            <w:left w:w="108" w:type="dxa"/>
            <w:bottom w:w="0" w:type="dxa"/>
            <w:right w:w="108" w:type="dxa"/>
          </w:tblCellMar>
        </w:tblPrEx>
        <w:trPr>
          <w:trHeight w:val="1313"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南澳县生态宜居美丽乡村示范带（环岛南线）建设工程</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1.环岛南线各村庄的外立面、入村口的品质提升项目。2.重点村落的基础设施补短板及村内环境整治项目。</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2021-2021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南澳县乡村振兴指导服务中心</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南澳县政府</w:t>
            </w:r>
          </w:p>
        </w:tc>
      </w:tr>
      <w:tr>
        <w:tblPrEx>
          <w:tblCellMar>
            <w:top w:w="0" w:type="dxa"/>
            <w:left w:w="108" w:type="dxa"/>
            <w:bottom w:w="0" w:type="dxa"/>
            <w:right w:w="108" w:type="dxa"/>
          </w:tblCellMar>
        </w:tblPrEx>
        <w:trPr>
          <w:trHeight w:val="1563" w:hRule="atLeast"/>
        </w:trPr>
        <w:tc>
          <w:tcPr>
            <w:tcW w:w="42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701"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南澳县美丽宜居建设项目</w:t>
            </w:r>
          </w:p>
        </w:tc>
        <w:tc>
          <w:tcPr>
            <w:tcW w:w="2853" w:type="dxa"/>
            <w:tcBorders>
              <w:top w:val="nil"/>
              <w:left w:val="nil"/>
              <w:bottom w:val="single" w:color="auto" w:sz="4" w:space="0"/>
              <w:right w:val="single" w:color="auto" w:sz="4" w:space="0"/>
            </w:tcBorders>
            <w:shd w:val="clear" w:color="000000" w:fill="FFFFFF"/>
            <w:vAlign w:val="center"/>
          </w:tcPr>
          <w:p>
            <w:pPr>
              <w:adjustRightInd w:val="0"/>
              <w:rPr>
                <w:rFonts w:ascii="宋体" w:hAnsi="宋体" w:eastAsia="宋体" w:cs="宋体"/>
                <w:bCs/>
                <w:color w:val="auto"/>
                <w:szCs w:val="21"/>
              </w:rPr>
            </w:pPr>
            <w:r>
              <w:rPr>
                <w:rFonts w:hint="eastAsia" w:ascii="宋体" w:hAnsi="宋体" w:eastAsia="宋体" w:cs="宋体"/>
                <w:bCs/>
                <w:color w:val="auto"/>
                <w:szCs w:val="21"/>
              </w:rPr>
              <w:t>全县8个村美丽宜居建设</w:t>
            </w:r>
          </w:p>
        </w:tc>
        <w:tc>
          <w:tcPr>
            <w:tcW w:w="1161"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2020-2021</w:t>
            </w:r>
          </w:p>
        </w:tc>
        <w:tc>
          <w:tcPr>
            <w:tcW w:w="123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后宅镇、云澳镇、深澳镇人民政府、青澳管委</w:t>
            </w:r>
          </w:p>
        </w:tc>
        <w:tc>
          <w:tcPr>
            <w:tcW w:w="1100" w:type="dxa"/>
            <w:tcBorders>
              <w:top w:val="nil"/>
              <w:left w:val="nil"/>
              <w:bottom w:val="single" w:color="auto" w:sz="4" w:space="0"/>
              <w:right w:val="single" w:color="auto" w:sz="4" w:space="0"/>
            </w:tcBorders>
            <w:shd w:val="clear" w:color="000000" w:fill="FFFFFF"/>
            <w:vAlign w:val="center"/>
          </w:tcPr>
          <w:p>
            <w:pPr>
              <w:adjustRightInd w:val="0"/>
              <w:jc w:val="center"/>
              <w:rPr>
                <w:rFonts w:ascii="宋体" w:hAnsi="宋体" w:eastAsia="宋体" w:cs="宋体"/>
                <w:bCs/>
                <w:color w:val="auto"/>
                <w:szCs w:val="21"/>
              </w:rPr>
            </w:pPr>
            <w:r>
              <w:rPr>
                <w:rFonts w:hint="eastAsia" w:ascii="宋体" w:hAnsi="宋体" w:eastAsia="宋体" w:cs="宋体"/>
                <w:bCs/>
                <w:color w:val="auto"/>
                <w:szCs w:val="21"/>
              </w:rPr>
              <w:t>南澳县政府</w:t>
            </w:r>
          </w:p>
        </w:tc>
      </w:tr>
    </w:tbl>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0" w:name="_Toc75424424"/>
      <w:r>
        <w:rPr>
          <w:rFonts w:hint="eastAsia"/>
          <w:color w:val="auto"/>
        </w:rPr>
        <w:t>第二节 多措并举多元共促，优化住房供给结构</w:t>
      </w:r>
      <w:bookmarkEnd w:id="3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在坚持“房住不炒”的前提下，推动居住空间特色化、多元化、人性化发展，促进各区（县）住房规划建设与轨道交通建设、就业岗位分布、公共设施配套联动发展，引导人口和住房合理分布，严防质量低、服务差的住房开发。</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1.持续优化住房供给结构</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针对多层次住房需求建立多主体供应、多渠道保障、租购并举的住房制度。加大公租房建设规模，鼓励和引导各地在城市更新中配建公租房，继续做好城镇中等偏下及以下收入住房困难家庭和新市民的保障工作。2025年末，汕头要实现正在享受公租房租赁补贴家庭计划2931户；新增开工公租房250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大住房用地的多元化供给，调控、引导市场提供高品质、特色化的国际社区、创业社区等住宅产品，并参与公共租赁住房、经济适用住房与人才公寓等居住产品的开发，保持各区房地产市场平稳健康发展。同时，防范炒地炒房投机行为，鼓励侨资等民间资本通过新建、改建、购买以及租赁等方式参与投资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9004" w:type="dxa"/>
            <w:vAlign w:val="center"/>
          </w:tcPr>
          <w:p>
            <w:pPr>
              <w:widowControl/>
              <w:ind w:firstLine="480" w:firstLineChars="0"/>
              <w:jc w:val="center"/>
              <w:rPr>
                <w:rFonts w:hint="eastAsia" w:ascii="仿宋_GB2312" w:hAnsi="宋体" w:eastAsia="仿宋_GB2312" w:cs="宋体"/>
                <w:color w:val="auto"/>
                <w:spacing w:val="-6"/>
                <w:kern w:val="0"/>
                <w:sz w:val="32"/>
                <w:szCs w:val="32"/>
                <w:vertAlign w:val="baseline"/>
              </w:rPr>
            </w:pPr>
            <w:r>
              <w:rPr>
                <w:rFonts w:hint="eastAsia" w:ascii="宋体" w:hAnsi="宋体" w:eastAsia="宋体" w:cs="宋体"/>
                <w:b/>
                <w:bCs/>
                <w:color w:val="auto"/>
                <w:kern w:val="0"/>
                <w:sz w:val="24"/>
                <w:szCs w:val="24"/>
              </w:rPr>
              <w:t>“三旧改造”专栏：“十四五”期间“三旧改造”项目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vAlign w:val="center"/>
          </w:tcPr>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金平区：</w:t>
            </w:r>
          </w:p>
          <w:p>
            <w:pPr>
              <w:widowControl/>
              <w:spacing w:line="330" w:lineRule="exact"/>
              <w:ind w:firstLine="482"/>
              <w:rPr>
                <w:rFonts w:ascii="楷体_GB2312" w:hAnsi="Times New Roman" w:eastAsia="楷体_GB2312" w:cs="Times New Roman"/>
                <w:color w:val="auto"/>
                <w:kern w:val="0"/>
                <w:sz w:val="24"/>
                <w:szCs w:val="24"/>
              </w:rPr>
            </w:pPr>
            <w:r>
              <w:rPr>
                <w:rFonts w:hint="eastAsia" w:ascii="楷体_GB2312" w:hAnsi="Times New Roman" w:eastAsia="楷体_GB2312" w:cs="Times New Roman"/>
                <w:color w:val="auto"/>
                <w:kern w:val="0"/>
                <w:sz w:val="24"/>
                <w:szCs w:val="24"/>
              </w:rPr>
              <w:t>共计2</w:t>
            </w:r>
            <w:r>
              <w:rPr>
                <w:rFonts w:ascii="楷体_GB2312" w:hAnsi="Times New Roman" w:eastAsia="楷体_GB2312" w:cs="Times New Roman"/>
                <w:color w:val="auto"/>
                <w:kern w:val="0"/>
                <w:sz w:val="24"/>
                <w:szCs w:val="24"/>
              </w:rPr>
              <w:t>5</w:t>
            </w:r>
            <w:r>
              <w:rPr>
                <w:rFonts w:hint="eastAsia" w:ascii="楷体_GB2312" w:hAnsi="Times New Roman" w:eastAsia="楷体_GB2312" w:cs="Times New Roman"/>
                <w:color w:val="auto"/>
                <w:kern w:val="0"/>
                <w:sz w:val="24"/>
                <w:szCs w:val="24"/>
              </w:rPr>
              <w:t>项：金砂侨社片区“三旧”改造项目；金丰路</w:t>
            </w:r>
            <w:r>
              <w:rPr>
                <w:rFonts w:ascii="楷体_GB2312" w:hAnsi="Times New Roman" w:eastAsia="楷体_GB2312" w:cs="Times New Roman"/>
                <w:color w:val="auto"/>
                <w:kern w:val="0"/>
                <w:sz w:val="24"/>
                <w:szCs w:val="24"/>
              </w:rPr>
              <w:t>13号和金埕里6号“三旧”改造项目</w:t>
            </w:r>
            <w:r>
              <w:rPr>
                <w:rFonts w:hint="eastAsia" w:ascii="楷体_GB2312" w:hAnsi="Times New Roman" w:eastAsia="楷体_GB2312" w:cs="Times New Roman"/>
                <w:color w:val="auto"/>
                <w:kern w:val="0"/>
                <w:sz w:val="24"/>
                <w:szCs w:val="24"/>
              </w:rPr>
              <w:t>；光华北一路“三旧”改造项目（华悦春天花园）；“新乡小学旁西侧旧厂房片区”三旧改造项目；大窖东围片区旧厂房“三旧”改造项目；龙眼路</w:t>
            </w:r>
            <w:r>
              <w:rPr>
                <w:rFonts w:ascii="楷体_GB2312" w:hAnsi="Times New Roman" w:eastAsia="楷体_GB2312" w:cs="Times New Roman"/>
                <w:color w:val="auto"/>
                <w:kern w:val="0"/>
                <w:sz w:val="24"/>
                <w:szCs w:val="24"/>
              </w:rPr>
              <w:t>39、41号“三旧”改造项目（浔洄综合商住楼）</w:t>
            </w:r>
            <w:r>
              <w:rPr>
                <w:rFonts w:hint="eastAsia" w:ascii="楷体_GB2312" w:hAnsi="Times New Roman" w:eastAsia="楷体_GB2312" w:cs="Times New Roman"/>
                <w:color w:val="auto"/>
                <w:kern w:val="0"/>
                <w:sz w:val="24"/>
                <w:szCs w:val="24"/>
              </w:rPr>
              <w:t>；汕樟路浮东经联社旧村庄“三旧”成片改造项目；金平区新世界家私城片区“三旧”改造项目；金平区大学路</w:t>
            </w:r>
            <w:r>
              <w:rPr>
                <w:rFonts w:ascii="楷体_GB2312" w:hAnsi="Times New Roman" w:eastAsia="楷体_GB2312" w:cs="Times New Roman"/>
                <w:color w:val="auto"/>
                <w:kern w:val="0"/>
                <w:sz w:val="24"/>
                <w:szCs w:val="24"/>
              </w:rPr>
              <w:t>44号“三旧”改造项目</w:t>
            </w:r>
            <w:r>
              <w:rPr>
                <w:rFonts w:hint="eastAsia" w:ascii="楷体_GB2312" w:hAnsi="Times New Roman" w:eastAsia="楷体_GB2312" w:cs="Times New Roman"/>
                <w:color w:val="auto"/>
                <w:kern w:val="0"/>
                <w:sz w:val="24"/>
                <w:szCs w:val="24"/>
              </w:rPr>
              <w:t>；金平区大学路</w:t>
            </w:r>
            <w:r>
              <w:rPr>
                <w:rFonts w:ascii="楷体_GB2312" w:hAnsi="Times New Roman" w:eastAsia="楷体_GB2312" w:cs="Times New Roman"/>
                <w:color w:val="auto"/>
                <w:kern w:val="0"/>
                <w:sz w:val="24"/>
                <w:szCs w:val="24"/>
              </w:rPr>
              <w:t>44号“三旧”改造项目（二期）</w:t>
            </w:r>
            <w:r>
              <w:rPr>
                <w:rFonts w:hint="eastAsia" w:ascii="楷体_GB2312" w:hAnsi="Times New Roman" w:eastAsia="楷体_GB2312" w:cs="Times New Roman"/>
                <w:color w:val="auto"/>
                <w:kern w:val="0"/>
                <w:sz w:val="24"/>
                <w:szCs w:val="24"/>
              </w:rPr>
              <w:t>；金平区护堤路</w:t>
            </w:r>
            <w:r>
              <w:rPr>
                <w:rFonts w:ascii="楷体_GB2312" w:hAnsi="Times New Roman" w:eastAsia="楷体_GB2312" w:cs="Times New Roman"/>
                <w:color w:val="auto"/>
                <w:kern w:val="0"/>
                <w:sz w:val="24"/>
                <w:szCs w:val="24"/>
              </w:rPr>
              <w:t>40-42号旧厂房“三旧”改造项目</w:t>
            </w:r>
            <w:r>
              <w:rPr>
                <w:rFonts w:hint="eastAsia" w:ascii="楷体_GB2312" w:hAnsi="Times New Roman" w:eastAsia="楷体_GB2312" w:cs="Times New Roman"/>
                <w:color w:val="auto"/>
                <w:kern w:val="0"/>
                <w:sz w:val="24"/>
                <w:szCs w:val="24"/>
              </w:rPr>
              <w:t>；光华北一路“三旧”改造项目（二期）；金平区东厦路</w:t>
            </w:r>
            <w:r>
              <w:rPr>
                <w:rFonts w:ascii="楷体_GB2312" w:hAnsi="Times New Roman" w:eastAsia="楷体_GB2312" w:cs="Times New Roman"/>
                <w:color w:val="auto"/>
                <w:kern w:val="0"/>
                <w:sz w:val="24"/>
                <w:szCs w:val="24"/>
              </w:rPr>
              <w:t>100号片区“三旧”改造项目（二期）</w:t>
            </w:r>
            <w:r>
              <w:rPr>
                <w:rFonts w:hint="eastAsia" w:ascii="楷体_GB2312" w:hAnsi="Times New Roman" w:eastAsia="楷体_GB2312" w:cs="Times New Roman"/>
                <w:color w:val="auto"/>
                <w:kern w:val="0"/>
                <w:sz w:val="24"/>
                <w:szCs w:val="24"/>
              </w:rPr>
              <w:t>；金平区大华路</w:t>
            </w:r>
            <w:r>
              <w:rPr>
                <w:rFonts w:ascii="楷体_GB2312" w:hAnsi="Times New Roman" w:eastAsia="楷体_GB2312" w:cs="Times New Roman"/>
                <w:color w:val="auto"/>
                <w:kern w:val="0"/>
                <w:sz w:val="24"/>
                <w:szCs w:val="24"/>
              </w:rPr>
              <w:t>86号“三旧”改造项目（旭盛园）</w:t>
            </w:r>
            <w:r>
              <w:rPr>
                <w:rFonts w:hint="eastAsia" w:ascii="楷体_GB2312" w:hAnsi="Times New Roman" w:eastAsia="楷体_GB2312" w:cs="Times New Roman"/>
                <w:color w:val="auto"/>
                <w:kern w:val="0"/>
                <w:sz w:val="24"/>
                <w:szCs w:val="24"/>
              </w:rPr>
              <w:t>；金平区光华路</w:t>
            </w:r>
            <w:r>
              <w:rPr>
                <w:rFonts w:ascii="楷体_GB2312" w:hAnsi="Times New Roman" w:eastAsia="楷体_GB2312" w:cs="Times New Roman"/>
                <w:color w:val="auto"/>
                <w:kern w:val="0"/>
                <w:sz w:val="24"/>
                <w:szCs w:val="24"/>
              </w:rPr>
              <w:t>45、47号用地“三旧”改造项目</w:t>
            </w:r>
            <w:r>
              <w:rPr>
                <w:rFonts w:hint="eastAsia" w:ascii="楷体_GB2312" w:hAnsi="Times New Roman" w:eastAsia="楷体_GB2312" w:cs="Times New Roman"/>
                <w:color w:val="auto"/>
                <w:kern w:val="0"/>
                <w:sz w:val="24"/>
                <w:szCs w:val="24"/>
              </w:rPr>
              <w:t>；金平区金园路北侧用地“三旧”改造项目；西港路</w:t>
            </w:r>
            <w:r>
              <w:rPr>
                <w:rFonts w:ascii="楷体_GB2312" w:hAnsi="Times New Roman" w:eastAsia="楷体_GB2312" w:cs="Times New Roman"/>
                <w:color w:val="auto"/>
                <w:kern w:val="0"/>
                <w:sz w:val="24"/>
                <w:szCs w:val="24"/>
              </w:rPr>
              <w:t>87号精细片区“三旧”改造项目</w:t>
            </w:r>
            <w:r>
              <w:rPr>
                <w:rFonts w:hint="eastAsia" w:ascii="楷体_GB2312" w:hAnsi="Times New Roman" w:eastAsia="楷体_GB2312" w:cs="Times New Roman"/>
                <w:color w:val="auto"/>
                <w:kern w:val="0"/>
                <w:sz w:val="24"/>
                <w:szCs w:val="24"/>
              </w:rPr>
              <w:t>；金平区北墩莲池片区“三旧”改造项目（一、二期）；金湖路</w:t>
            </w:r>
            <w:r>
              <w:rPr>
                <w:rFonts w:ascii="楷体_GB2312" w:hAnsi="Times New Roman" w:eastAsia="楷体_GB2312" w:cs="Times New Roman"/>
                <w:color w:val="auto"/>
                <w:kern w:val="0"/>
                <w:sz w:val="24"/>
                <w:szCs w:val="24"/>
              </w:rPr>
              <w:t>68号、金湖桥南面韩江旁用地“三旧”改造项</w:t>
            </w:r>
            <w:r>
              <w:rPr>
                <w:rFonts w:hint="eastAsia" w:ascii="楷体_GB2312" w:hAnsi="Times New Roman" w:eastAsia="楷体_GB2312" w:cs="Times New Roman"/>
                <w:color w:val="auto"/>
                <w:kern w:val="0"/>
                <w:sz w:val="24"/>
                <w:szCs w:val="24"/>
              </w:rPr>
              <w:t>目；鮀浦蓬洲村龙泉岩前片区综合开发建设项目（林语苑）；汕头拓茂金凤半岛片区综合开发项目；汕头金科金凤半岛片区综合开发项目；金平区潮汕路东侧城市综合开发项目；汕头市金平区西河路6号、7号“三旧”改造项目；金平区“三旧”改造项目配建公共基础设施项目</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龙湖区：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Times New Roman" w:eastAsia="楷体_GB2312" w:cs="Times New Roman"/>
                <w:color w:val="auto"/>
                <w:kern w:val="0"/>
                <w:sz w:val="24"/>
                <w:szCs w:val="24"/>
              </w:rPr>
              <w:t>14</w:t>
            </w:r>
            <w:r>
              <w:rPr>
                <w:rFonts w:hint="eastAsia" w:ascii="楷体_GB2312" w:hAnsi="Helvetica" w:eastAsia="楷体_GB2312" w:cs="Helvetica"/>
                <w:color w:val="auto"/>
                <w:kern w:val="0"/>
                <w:sz w:val="24"/>
                <w:szCs w:val="24"/>
              </w:rPr>
              <w:t>项，汕头市金钿房地产开发有限公司“三旧”改造项目福田里；龙湖区</w:t>
            </w:r>
            <w:r>
              <w:rPr>
                <w:rFonts w:ascii="楷体_GB2312" w:hAnsi="Helvetica" w:eastAsia="楷体_GB2312" w:cs="Helvetica"/>
                <w:color w:val="auto"/>
                <w:kern w:val="0"/>
                <w:sz w:val="24"/>
                <w:szCs w:val="24"/>
              </w:rPr>
              <w:t>32街区D06-2三旧改造项目</w:t>
            </w:r>
            <w:r>
              <w:rPr>
                <w:rFonts w:hint="eastAsia" w:ascii="楷体_GB2312" w:hAnsi="Helvetica" w:eastAsia="楷体_GB2312" w:cs="Helvetica"/>
                <w:color w:val="auto"/>
                <w:kern w:val="0"/>
                <w:sz w:val="24"/>
                <w:szCs w:val="24"/>
              </w:rPr>
              <w:t>；旋达房地产龙湖区珠业一街</w:t>
            </w:r>
            <w:r>
              <w:rPr>
                <w:rFonts w:ascii="楷体_GB2312" w:hAnsi="Helvetica" w:eastAsia="楷体_GB2312" w:cs="Helvetica"/>
                <w:color w:val="auto"/>
                <w:kern w:val="0"/>
                <w:sz w:val="24"/>
                <w:szCs w:val="24"/>
              </w:rPr>
              <w:t>15、17号地块“三旧”改造项目</w:t>
            </w:r>
            <w:r>
              <w:rPr>
                <w:rFonts w:hint="eastAsia" w:ascii="楷体_GB2312" w:hAnsi="Helvetica" w:eastAsia="楷体_GB2312" w:cs="Helvetica"/>
                <w:color w:val="auto"/>
                <w:kern w:val="0"/>
                <w:sz w:val="24"/>
                <w:szCs w:val="24"/>
              </w:rPr>
              <w:t>；丽水庄珠华工业区</w:t>
            </w:r>
            <w:r>
              <w:rPr>
                <w:rFonts w:ascii="楷体_GB2312" w:hAnsi="Helvetica" w:eastAsia="楷体_GB2312" w:cs="Helvetica"/>
                <w:color w:val="auto"/>
                <w:kern w:val="0"/>
                <w:sz w:val="24"/>
                <w:szCs w:val="24"/>
              </w:rPr>
              <w:t>B地块C幢用地“三旧”改造项目</w:t>
            </w:r>
            <w:r>
              <w:rPr>
                <w:rFonts w:hint="eastAsia" w:ascii="楷体_GB2312" w:hAnsi="Helvetica" w:eastAsia="楷体_GB2312" w:cs="Helvetica"/>
                <w:color w:val="auto"/>
                <w:kern w:val="0"/>
                <w:sz w:val="24"/>
                <w:szCs w:val="24"/>
              </w:rPr>
              <w:t>；荷悦里（暂名）三旧改造项目；汕头鳗联股份有限公司龙湖</w:t>
            </w:r>
            <w:r>
              <w:rPr>
                <w:rFonts w:ascii="楷体_GB2312" w:hAnsi="Helvetica" w:eastAsia="楷体_GB2312" w:cs="Helvetica"/>
                <w:color w:val="auto"/>
                <w:kern w:val="0"/>
                <w:sz w:val="24"/>
                <w:szCs w:val="24"/>
              </w:rPr>
              <w:t>31街区“三旧”改造项目</w:t>
            </w:r>
            <w:r>
              <w:rPr>
                <w:rFonts w:hint="eastAsia" w:ascii="楷体_GB2312" w:hAnsi="Helvetica" w:eastAsia="楷体_GB2312" w:cs="Helvetica"/>
                <w:color w:val="auto"/>
                <w:kern w:val="0"/>
                <w:sz w:val="24"/>
                <w:szCs w:val="24"/>
              </w:rPr>
              <w:t>；（7）龙湖区黄山路西侧珠池新村旧厂房“三旧”改造项目；龙湖区珠池街道珠东洪门片“三旧”改造项目；汕头市衡山路</w:t>
            </w:r>
            <w:r>
              <w:rPr>
                <w:rFonts w:ascii="楷体_GB2312" w:hAnsi="Helvetica" w:eastAsia="楷体_GB2312" w:cs="Helvetica"/>
                <w:color w:val="auto"/>
                <w:kern w:val="0"/>
                <w:sz w:val="24"/>
                <w:szCs w:val="24"/>
              </w:rPr>
              <w:t>45号“三旧”改造项目</w:t>
            </w:r>
            <w:r>
              <w:rPr>
                <w:rFonts w:hint="eastAsia" w:ascii="楷体_GB2312" w:hAnsi="Helvetica" w:eastAsia="楷体_GB2312" w:cs="Helvetica"/>
                <w:color w:val="auto"/>
                <w:kern w:val="0"/>
                <w:sz w:val="24"/>
                <w:szCs w:val="24"/>
              </w:rPr>
              <w:t>；龙湖区</w:t>
            </w:r>
            <w:r>
              <w:rPr>
                <w:rFonts w:ascii="楷体_GB2312" w:hAnsi="Helvetica" w:eastAsia="楷体_GB2312" w:cs="Helvetica"/>
                <w:color w:val="auto"/>
                <w:kern w:val="0"/>
                <w:sz w:val="24"/>
                <w:szCs w:val="24"/>
              </w:rPr>
              <w:t>30-A街区I3地块“三旧”改造项目</w:t>
            </w:r>
            <w:r>
              <w:rPr>
                <w:rFonts w:hint="eastAsia" w:ascii="楷体_GB2312" w:hAnsi="Helvetica" w:eastAsia="楷体_GB2312" w:cs="Helvetica"/>
                <w:color w:val="auto"/>
                <w:kern w:val="0"/>
                <w:sz w:val="24"/>
                <w:szCs w:val="24"/>
              </w:rPr>
              <w:t>；经纬源家园“三旧”改造项目；东岸名居“三旧”改造项目；汕头市泰山路</w:t>
            </w:r>
            <w:r>
              <w:rPr>
                <w:rFonts w:ascii="楷体_GB2312" w:hAnsi="Helvetica" w:eastAsia="楷体_GB2312" w:cs="Helvetica"/>
                <w:color w:val="auto"/>
                <w:kern w:val="0"/>
                <w:sz w:val="24"/>
                <w:szCs w:val="24"/>
              </w:rPr>
              <w:t>82号地块改造项目</w:t>
            </w:r>
            <w:r>
              <w:rPr>
                <w:rFonts w:hint="eastAsia" w:ascii="楷体_GB2312" w:hAnsi="Helvetica" w:eastAsia="楷体_GB2312" w:cs="Helvetica"/>
                <w:color w:val="auto"/>
                <w:kern w:val="0"/>
                <w:sz w:val="24"/>
                <w:szCs w:val="24"/>
              </w:rPr>
              <w:t>；汕头市珠南置业有限公司旧厂房改造项目。</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澄海区：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Times New Roman" w:eastAsia="楷体_GB2312" w:cs="Times New Roman"/>
                <w:color w:val="auto"/>
                <w:kern w:val="0"/>
                <w:sz w:val="24"/>
                <w:szCs w:val="24"/>
              </w:rPr>
              <w:t>1</w:t>
            </w:r>
            <w:r>
              <w:rPr>
                <w:rFonts w:hint="eastAsia" w:ascii="楷体_GB2312" w:hAnsi="Helvetica" w:eastAsia="楷体_GB2312" w:cs="Helvetica"/>
                <w:color w:val="auto"/>
                <w:kern w:val="0"/>
                <w:sz w:val="24"/>
                <w:szCs w:val="24"/>
              </w:rPr>
              <w:t>项，旧厂房“三旧”改造主体工程（一期）。</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濠江区：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6项，红星社区三旧改造项目；塔脚池“三旧”改造项目；茂南社区磊广大道南侧土头洋“三旧”改造项目；广东东通文具有限公司“三旧”改造项目；达濠街道达西路地段三旧改造项目；汕头海悦度假村有限公司</w:t>
            </w:r>
            <w:r>
              <w:rPr>
                <w:rFonts w:ascii="楷体_GB2312" w:hAnsi="Helvetica" w:eastAsia="楷体_GB2312" w:cs="Helvetica"/>
                <w:color w:val="auto"/>
                <w:kern w:val="0"/>
                <w:sz w:val="24"/>
                <w:szCs w:val="24"/>
              </w:rPr>
              <w:t>(海悦城（“三旧”改造项目)</w:t>
            </w:r>
            <w:r>
              <w:rPr>
                <w:rFonts w:hint="eastAsia" w:ascii="楷体_GB2312" w:hAnsi="Helvetica" w:eastAsia="楷体_GB2312" w:cs="Helvetica"/>
                <w:color w:val="auto"/>
                <w:kern w:val="0"/>
                <w:sz w:val="24"/>
                <w:szCs w:val="24"/>
              </w:rPr>
              <w:t>。</w:t>
            </w:r>
          </w:p>
          <w:p>
            <w:pPr>
              <w:widowControl/>
              <w:spacing w:line="330" w:lineRule="exact"/>
              <w:ind w:firstLine="482"/>
              <w:rPr>
                <w:rFonts w:ascii="楷体_GB2312" w:hAnsi="宋体" w:eastAsia="楷体_GB2312" w:cs="宋体"/>
                <w:color w:val="auto"/>
                <w:kern w:val="0"/>
                <w:sz w:val="24"/>
                <w:szCs w:val="24"/>
              </w:rPr>
            </w:pPr>
            <w:r>
              <w:rPr>
                <w:rFonts w:hint="eastAsia" w:ascii="楷体_GB2312" w:hAnsi="Helvetica" w:eastAsia="楷体_GB2312" w:cs="Helvetica"/>
                <w:b/>
                <w:bCs/>
                <w:color w:val="auto"/>
                <w:kern w:val="0"/>
                <w:sz w:val="24"/>
                <w:szCs w:val="24"/>
              </w:rPr>
              <w:t>潮阳区：</w:t>
            </w:r>
          </w:p>
          <w:p>
            <w:pPr>
              <w:widowControl/>
              <w:spacing w:line="330" w:lineRule="exact"/>
              <w:ind w:firstLine="482"/>
              <w:rPr>
                <w:rFonts w:ascii="楷体_GB2312" w:hAnsi="Helvetica" w:eastAsia="楷体_GB2312" w:cs="Helvetica"/>
                <w:color w:val="auto"/>
                <w:kern w:val="0"/>
                <w:sz w:val="24"/>
                <w:szCs w:val="24"/>
              </w:rPr>
            </w:pPr>
            <w:r>
              <w:rPr>
                <w:rFonts w:hint="eastAsia" w:ascii="楷体_GB2312" w:hAnsi="Helvetica" w:eastAsia="楷体_GB2312" w:cs="Helvetica"/>
                <w:color w:val="auto"/>
                <w:kern w:val="0"/>
                <w:sz w:val="24"/>
                <w:szCs w:val="24"/>
              </w:rPr>
              <w:t>共计</w:t>
            </w:r>
            <w:r>
              <w:rPr>
                <w:rFonts w:ascii="楷体_GB2312" w:hAnsi="Helvetica" w:eastAsia="楷体_GB2312" w:cs="Helvetica"/>
                <w:color w:val="auto"/>
                <w:kern w:val="0"/>
                <w:sz w:val="24"/>
                <w:szCs w:val="24"/>
              </w:rPr>
              <w:t>4</w:t>
            </w:r>
            <w:r>
              <w:rPr>
                <w:rFonts w:hint="eastAsia" w:ascii="楷体_GB2312" w:hAnsi="Helvetica" w:eastAsia="楷体_GB2312" w:cs="Helvetica"/>
                <w:color w:val="auto"/>
                <w:kern w:val="0"/>
                <w:sz w:val="24"/>
                <w:szCs w:val="24"/>
              </w:rPr>
              <w:t>项，汕头潮阳区谷饶三旧改造项目；潮阳区宏虹化纤实业有限公司三旧改造项目；和平音像市场“三旧”改造项目（阳光雅园）；广东联诚实业有限公司“三旧”改造项目</w:t>
            </w:r>
          </w:p>
          <w:p>
            <w:pPr>
              <w:widowControl/>
              <w:spacing w:line="330" w:lineRule="exact"/>
              <w:ind w:firstLine="482"/>
              <w:rPr>
                <w:rFonts w:ascii="楷体_GB2312" w:hAnsi="Helvetica" w:eastAsia="楷体_GB2312" w:cs="Helvetica"/>
                <w:b/>
                <w:bCs/>
                <w:color w:val="auto"/>
                <w:kern w:val="0"/>
                <w:sz w:val="24"/>
                <w:szCs w:val="24"/>
              </w:rPr>
            </w:pPr>
            <w:r>
              <w:rPr>
                <w:rFonts w:hint="eastAsia" w:ascii="楷体_GB2312" w:hAnsi="Helvetica" w:eastAsia="楷体_GB2312" w:cs="Helvetica"/>
                <w:b/>
                <w:bCs/>
                <w:color w:val="auto"/>
                <w:kern w:val="0"/>
                <w:sz w:val="24"/>
                <w:szCs w:val="24"/>
              </w:rPr>
              <w:t>潮南区：</w:t>
            </w:r>
          </w:p>
          <w:p>
            <w:pPr>
              <w:widowControl/>
              <w:spacing w:line="330" w:lineRule="exact"/>
              <w:ind w:firstLine="482" w:firstLineChars="0"/>
              <w:rPr>
                <w:rFonts w:hint="eastAsia" w:ascii="仿宋_GB2312" w:hAnsi="宋体" w:eastAsia="仿宋_GB2312" w:cs="宋体"/>
                <w:color w:val="auto"/>
                <w:spacing w:val="-6"/>
                <w:kern w:val="0"/>
                <w:sz w:val="32"/>
                <w:szCs w:val="32"/>
                <w:vertAlign w:val="baseline"/>
              </w:rPr>
            </w:pPr>
            <w:r>
              <w:rPr>
                <w:rFonts w:hint="eastAsia" w:ascii="楷体_GB2312" w:hAnsi="Helvetica" w:eastAsia="楷体_GB2312" w:cs="Helvetica"/>
                <w:bCs/>
                <w:color w:val="auto"/>
                <w:kern w:val="0"/>
                <w:sz w:val="24"/>
                <w:szCs w:val="24"/>
              </w:rPr>
              <w:t>共计5项，</w:t>
            </w:r>
            <w:r>
              <w:rPr>
                <w:rFonts w:hint="eastAsia" w:ascii="楷体_GB2312" w:hAnsi="Helvetica" w:eastAsia="楷体_GB2312" w:cs="Helvetica"/>
                <w:color w:val="auto"/>
                <w:kern w:val="0"/>
                <w:sz w:val="24"/>
                <w:szCs w:val="24"/>
              </w:rPr>
              <w:t>寨外林老寨三旧改造项目；浮洋三旧改造；汕头市中大工贸有限公司旧厂房“三旧”改造；简朴三旧改造项目；陇田镇石坑村三旧改造。</w:t>
            </w:r>
          </w:p>
        </w:tc>
      </w:tr>
    </w:tbl>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2.高品质推进“三旧”项目改造</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三旧”改造应注重保护传统潮汕生活特色空间，居住功能的改造项目遵循“成熟一片，改造一片、建设一片、回迁一片”的原则，探索功能置换、拆旧建新等多种方式，实现低效用地向商住混合用地、居住用地的转换。其中，“十四五”期间，应有序开展金平区（25处）、濠江区（6处）、龙湖区（1</w:t>
      </w:r>
      <w:r>
        <w:rPr>
          <w:rFonts w:ascii="仿宋_GB2312" w:hAnsi="宋体" w:eastAsia="仿宋_GB2312" w:cs="宋体"/>
          <w:color w:val="auto"/>
          <w:spacing w:val="-6"/>
          <w:kern w:val="0"/>
          <w:sz w:val="32"/>
          <w:szCs w:val="32"/>
        </w:rPr>
        <w:t>4</w:t>
      </w:r>
      <w:r>
        <w:rPr>
          <w:rFonts w:hint="eastAsia" w:ascii="仿宋_GB2312" w:hAnsi="宋体" w:eastAsia="仿宋_GB2312" w:cs="宋体"/>
          <w:color w:val="auto"/>
          <w:spacing w:val="-6"/>
          <w:kern w:val="0"/>
          <w:sz w:val="32"/>
          <w:szCs w:val="32"/>
        </w:rPr>
        <w:t>处）、潮阳区（4处）、潮南区（5处）、澄海区（1处）等各区的55处“三旧”改造项目建设工作。</w:t>
      </w:r>
    </w:p>
    <w:p>
      <w:pPr>
        <w:pStyle w:val="4"/>
        <w:pageBreakBefore w:val="0"/>
        <w:kinsoku/>
        <w:wordWrap/>
        <w:overflowPunct/>
        <w:topLinePunct w:val="0"/>
        <w:autoSpaceDE/>
        <w:autoSpaceDN/>
        <w:bidi w:val="0"/>
        <w:adjustRightInd/>
        <w:snapToGrid/>
        <w:spacing w:line="600" w:lineRule="exact"/>
        <w:textAlignment w:val="auto"/>
        <w:rPr>
          <w:color w:val="auto"/>
        </w:rPr>
      </w:pPr>
      <w:bookmarkStart w:id="31" w:name="_Toc75424425"/>
      <w:r>
        <w:rPr>
          <w:rFonts w:hint="eastAsia"/>
          <w:color w:val="auto"/>
        </w:rPr>
        <w:t>第三节 保育活化城乡历史文化，打造汕头文化魅力空间</w:t>
      </w:r>
      <w:bookmarkEnd w:id="31"/>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1.保育活化历史文化街区和传统村落</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“十四五”期间，有针对性地开展一轮历史文化街区和传统村落的筛查工作。在</w:t>
      </w:r>
      <w:r>
        <w:rPr>
          <w:rFonts w:hint="eastAsia" w:ascii="仿宋" w:hAnsi="仿宋" w:eastAsia="仿宋"/>
          <w:color w:val="auto"/>
          <w:sz w:val="32"/>
          <w:szCs w:val="32"/>
        </w:rPr>
        <w:t>“小公园开埠区中山纪念亭街区”和“小公园开埠区西堤街区”</w:t>
      </w:r>
      <w:r>
        <w:rPr>
          <w:rFonts w:hint="eastAsia" w:ascii="仿宋_GB2312" w:hAnsi="宋体" w:eastAsia="仿宋_GB2312" w:cs="宋体"/>
          <w:color w:val="auto"/>
          <w:spacing w:val="-6"/>
          <w:kern w:val="0"/>
          <w:sz w:val="32"/>
          <w:szCs w:val="32"/>
        </w:rPr>
        <w:t>获批省级历史文化街区的基础上，积极创造条件再申报2－3片历史文化街区；积极谋划东里镇、隆都镇、海门镇、深澳镇等4镇国家级历史文化名镇的申报与保护建设工作；改造升级传统村落，积极申报蓬中村、珠浦社区、铜钵盂、大寮村、胪岗村等5村为省级历史文化名村；力争申报陇美村、沟南社区、柳岗村、东仙社区、樟林村等5村为国家级历史文化名村。</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在保护建设传统村落应注重以潮侨历史文化村落为空间载体，赋予潮侨乡村文化展览、宣传、旅游服务、村民集会休闲等复合功能，塑造乡村特色化公共活动空间。</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支持各区（县）打造各具特色的“红色侨乡”、“潮汕风情”美丽乡村风貌带。</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2.推进区级文化设施项目建设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全力扶持发展潮剧、潮乐和潮汕艺术，推动英歌舞、澄海灯谜、陶瓷微书、瓶内画等非物质文化遗产项目，通过合理利用、传承发展和文旅融合，积极创建潮汕文化生态保护实验区。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谋划建设六区一县区治所在地和东里镇、谷饶镇、胪岗镇等10处区级文化中心，推进公共文化资源共建共享和服务效能提升。其中，包括但不限于博物馆、图书馆、文化馆、青少年活动中心、工人文化宫、妇女儿童活动中心和老年人活动中心“三馆两宫两中心”以及图书馆等综合性设施。</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3.提高社区级文化活动站（室）覆盖率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“十四五”期间，全域推进市民文化广场、社区文化宣传角及其他各类社区级文化活动站（室）的建设，争取在2025年末，文化类公共服务设施15分钟可达覆盖率达80%。</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为民间音乐、民间舞蹈、工艺美术等非物质文化遗产提供场所，推动潮汕文化切实走进居民生活，在生活中传承和发扬。鼓励以侨资为代表的社会力量、社会团体与个人参与到保护和宣传文化遗产项目活动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倡导日常开展文明社区、创意街道等活动，激发社区居民参与社区活动和建设的热情，丰富汕头人民群众的精神文化生活。</w:t>
      </w:r>
    </w:p>
    <w:p>
      <w:pPr>
        <w:pStyle w:val="4"/>
        <w:pageBreakBefore w:val="0"/>
        <w:kinsoku/>
        <w:wordWrap/>
        <w:overflowPunct/>
        <w:topLinePunct w:val="0"/>
        <w:autoSpaceDE/>
        <w:autoSpaceDN/>
        <w:bidi w:val="0"/>
        <w:adjustRightInd/>
        <w:snapToGrid/>
        <w:spacing w:line="600" w:lineRule="exact"/>
        <w:textAlignment w:val="auto"/>
        <w:rPr>
          <w:rFonts w:ascii="宋体" w:hAnsi="宋体"/>
          <w:color w:val="auto"/>
          <w:sz w:val="24"/>
          <w:szCs w:val="24"/>
        </w:rPr>
      </w:pPr>
      <w:bookmarkStart w:id="32" w:name="_Toc75424426"/>
      <w:r>
        <w:rPr>
          <w:rFonts w:hint="eastAsia"/>
          <w:color w:val="auto"/>
        </w:rPr>
        <w:t>第四节 微易更新城市空间，打造精致</w:t>
      </w:r>
      <w:bookmarkEnd w:id="32"/>
      <w:r>
        <w:rPr>
          <w:rFonts w:hint="eastAsia"/>
          <w:color w:val="auto"/>
        </w:rPr>
        <w:t>友好汕头</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精致”“开放”是潮汕文化最具当代意义的精髓。充分考虑空间上的有限性，“不求规模，但求精致”,放弃大而无当的消极公共空间，运用微易更新等手段扎实做好不大而美、特色鲜明的精致空间，引导城市向“精致人性、精明紧凑、老人友好、儿童友好、运动友好”等方向发展。</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1.实施微易更新公园行动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持续完善城乡公共空间布局，充分发挥开敞空间和城市公园的生态效益、社会效益与经济效益，建设开放、多功能的城市公园环，串联城乡高品质空间，推动市区开敞空间焕发生机，让更多市民出门见绿、见趣。</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要大力推进活力街巷、口袋公园、慢行网络、公共设施、艺术空间等公共空间微易更新行动。其中：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依据不同片区、组团内群体对生活体验，以及老人、儿童、残疾人等特殊群体对空间的需求，打造差异化定制化的品质生活场景。充分考虑以街景艺品展示、街头艺人等活动提升空间的人气与活力；探索在空间中有机融入智慧、数字等技术，实现智慧化的面向未来的生活体验。</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2025年末，金平区、濠江区、龙湖区的公园15分钟可达覆盖率要争取达100%，全市域达80%以上。</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2.引领城市艺术实践行动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“十四五”期间，要着力提升六区一县核心片区的城市家具设计品质，塑造各区（县）个性魅力。其中：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金平区以小公园近代怀旧风格设计城市家具；龙湖区以开拓进取艺术风格设计城市家具；濠江区以渲染自然景观氛围为主调设计城市家具风格等，挖掘、梳理和提炼澄海、潮阳、潮南的精神内涵和风格特点，通过城市家具具象化的呈现从而提升城市生活空间的品质，展现汕头多元包容、特色丰富的潮汕文化内涵。</w:t>
      </w:r>
      <w:bookmarkStart w:id="33" w:name="_Toc75424427"/>
    </w:p>
    <w:p>
      <w:pPr>
        <w:pStyle w:val="4"/>
        <w:pageBreakBefore w:val="0"/>
        <w:kinsoku/>
        <w:wordWrap/>
        <w:overflowPunct/>
        <w:topLinePunct w:val="0"/>
        <w:autoSpaceDE/>
        <w:autoSpaceDN/>
        <w:bidi w:val="0"/>
        <w:adjustRightInd/>
        <w:snapToGrid/>
        <w:spacing w:line="600" w:lineRule="exact"/>
        <w:textAlignment w:val="auto"/>
        <w:rPr>
          <w:color w:val="auto"/>
        </w:rPr>
      </w:pPr>
      <w:r>
        <w:rPr>
          <w:rFonts w:hint="eastAsia"/>
          <w:color w:val="auto"/>
        </w:rPr>
        <w:t>第五节 因地制宜建设特色示范村，塑造潮韵悠扬乡村风貌</w:t>
      </w:r>
      <w:bookmarkEnd w:id="33"/>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“十四五”期间，基本完成10个以上的特色示范乡村建设，塑造潮汕特色与传统及生态充分耦合的“潮韵乡愁”的美丽乡村。</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1.近郊和城中村的城市化改造</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以城区近郊村落和城中村为主，结合乡村面貌城市化，城乡空间融合性强，交通便捷的特点，进行统一规划，统一建设，推动村落向新型城镇化转型，营造城乡同质的新的社会生活形态。</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2.山地自然村落的特色发展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莲花山、大南山山体周边村落，林地资源丰富，生态基底环境良好。宜实施生态控制与山体保护，保护好绿地生态景观、发展文化娱乐、休闲服务等特色功能，为村民及外来游客提供休闲、健身、娱乐场所。</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3.典型水乡村落的示范建设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练江流域河涌纵横、水网密布，村庄建筑布局主要沿河涌或河岸呈带状逐次展开，建筑与水体联系密切，保留着典型的逐水而居、枕河而立的水乡景观特点。应保护河网纵横或基塘密布的水乡格局，重点加强水质保护，完善沿河绿化，发展旅游特色航道，全力打造水清景美的潮汕美丽水乡。</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4.海岛村落的示范建设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分布在南澳县的村落为典型海岛型风貌，自然岸线环绕，滨海特色浓郁，要突出南澳特有海岛村落的识别性特征，以构建舒适的农村生态人居体系和优美的农村生态环境为目标，抓好垃圾处理、活动场所建设、村庄绿化等项目。以突出乡村特色为原则，拒绝大亭子、大牌坊、大公园等形象工程；拒绝照搬城市模式以破坏乡村生态与风貌为代价的建设工程。</w:t>
      </w:r>
    </w:p>
    <w:p>
      <w:pPr>
        <w:pStyle w:val="3"/>
        <w:pageBreakBefore w:val="0"/>
        <w:kinsoku/>
        <w:wordWrap/>
        <w:overflowPunct/>
        <w:topLinePunct w:val="0"/>
        <w:autoSpaceDE/>
        <w:autoSpaceDN/>
        <w:bidi w:val="0"/>
        <w:adjustRightInd/>
        <w:snapToGrid/>
        <w:spacing w:line="600" w:lineRule="exact"/>
        <w:jc w:val="center"/>
        <w:textAlignment w:val="auto"/>
        <w:rPr>
          <w:rFonts w:ascii="宋体" w:hAnsi="宋体" w:eastAsia="宋体"/>
          <w:b w:val="0"/>
          <w:bCs w:val="0"/>
          <w:color w:val="auto"/>
          <w:sz w:val="32"/>
        </w:rPr>
      </w:pPr>
      <w:bookmarkStart w:id="34" w:name="_Toc75424428"/>
      <w:r>
        <w:rPr>
          <w:rFonts w:hint="eastAsia"/>
          <w:b w:val="0"/>
          <w:bCs w:val="0"/>
          <w:color w:val="auto"/>
          <w:sz w:val="32"/>
        </w:rPr>
        <w:t>第九章 生态环境与绿色汕头</w:t>
      </w:r>
      <w:bookmarkEnd w:id="34"/>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贯彻绿水青山就是金山银山的理念，牢固树立生态优先、绿色发展导向，持续改善环境质量，巩固碧水、蓝天、净土保卫战成果，全面提升汕头滨海生态环境优势，加快发展方式与生活方式绿色转型，建设人与自然和谐共生的绿色家园。</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5" w:name="_Toc75424429"/>
      <w:r>
        <w:rPr>
          <w:rFonts w:hint="eastAsia"/>
          <w:color w:val="auto"/>
        </w:rPr>
        <w:t>第一节 加大环境整治力度，提升生态保护水平</w:t>
      </w:r>
      <w:bookmarkEnd w:id="35"/>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“十四五”期间，深入打好城乡污染防治攻坚战，</w:t>
      </w:r>
      <w:r>
        <w:rPr>
          <w:rFonts w:ascii="仿宋_GB2312" w:hAnsi="宋体" w:eastAsia="仿宋_GB2312" w:cs="宋体"/>
          <w:color w:val="auto"/>
          <w:spacing w:val="-6"/>
          <w:kern w:val="0"/>
          <w:sz w:val="32"/>
          <w:szCs w:val="32"/>
        </w:rPr>
        <w:t>基本消除城镇建成区黑臭水体</w:t>
      </w:r>
      <w:r>
        <w:rPr>
          <w:rFonts w:hint="eastAsia" w:ascii="仿宋_GB2312" w:hAnsi="宋体" w:eastAsia="仿宋_GB2312" w:cs="宋体"/>
          <w:color w:val="auto"/>
          <w:spacing w:val="-6"/>
          <w:kern w:val="0"/>
          <w:sz w:val="32"/>
          <w:szCs w:val="32"/>
        </w:rPr>
        <w:t>，恢复、维护好生态。统筹协调安排好区域大生态系统保护和修复重大工程，持续巩固练江、榕江等重点流域综合整治成果，实现多部门协同推进各项生态环境整治行动。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充分衔接产业发展规划，高质量促进“三线一单”落地实施。</w:t>
      </w:r>
    </w:p>
    <w:p>
      <w:pPr>
        <w:pageBreakBefore w:val="0"/>
        <w:widowControl/>
        <w:kinsoku/>
        <w:wordWrap/>
        <w:overflowPunct/>
        <w:topLinePunct w:val="0"/>
        <w:autoSpaceDE/>
        <w:autoSpaceDN/>
        <w:bidi w:val="0"/>
        <w:adjustRightInd/>
        <w:snapToGrid/>
        <w:spacing w:line="600" w:lineRule="exact"/>
        <w:ind w:firstLine="622" w:firstLineChars="200"/>
        <w:jc w:val="left"/>
        <w:textAlignment w:val="auto"/>
        <w:rPr>
          <w:rFonts w:ascii="仿宋_GB2312" w:hAnsi="仿宋_GB2312" w:eastAsia="仿宋_GB2312" w:cs="仿宋_GB2312"/>
          <w:b/>
          <w:bCs/>
          <w:color w:val="auto"/>
          <w:kern w:val="0"/>
          <w:sz w:val="31"/>
          <w:szCs w:val="31"/>
          <w:lang w:bidi="ar"/>
        </w:rPr>
      </w:pPr>
      <w:r>
        <w:rPr>
          <w:rFonts w:hint="eastAsia" w:ascii="仿宋_GB2312" w:hAnsi="仿宋_GB2312" w:eastAsia="仿宋_GB2312" w:cs="仿宋_GB2312"/>
          <w:b/>
          <w:bCs/>
          <w:color w:val="auto"/>
          <w:kern w:val="0"/>
          <w:sz w:val="31"/>
          <w:szCs w:val="31"/>
          <w:lang w:bidi="ar"/>
        </w:rPr>
        <w:t>1.</w:t>
      </w:r>
      <w:r>
        <w:rPr>
          <w:rFonts w:ascii="仿宋_GB2312" w:hAnsi="仿宋_GB2312" w:eastAsia="仿宋_GB2312" w:cs="仿宋_GB2312"/>
          <w:b/>
          <w:bCs/>
          <w:color w:val="auto"/>
          <w:kern w:val="0"/>
          <w:sz w:val="31"/>
          <w:szCs w:val="31"/>
          <w:lang w:bidi="ar"/>
        </w:rPr>
        <w:t>全方位推进城乡黑臭水体治理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强化城乡地区水土环境综合治理，以申报第三批全国黑臭水体治理示范城市和2021年亚青会为契机，</w:t>
      </w:r>
      <w:r>
        <w:rPr>
          <w:rFonts w:ascii="仿宋_GB2312" w:hAnsi="宋体" w:eastAsia="仿宋_GB2312" w:cs="宋体"/>
          <w:color w:val="auto"/>
          <w:spacing w:val="-6"/>
          <w:kern w:val="0"/>
          <w:sz w:val="32"/>
          <w:szCs w:val="32"/>
        </w:rPr>
        <w:t>基本完成城镇建成区黑臭水体整治工作，形成一批可复制、可推广的农村黑臭水体治理模式</w:t>
      </w:r>
      <w:r>
        <w:rPr>
          <w:rFonts w:hint="eastAsia" w:ascii="仿宋_GB2312" w:hAnsi="宋体" w:eastAsia="仿宋_GB2312" w:cs="宋体"/>
          <w:color w:val="auto"/>
          <w:spacing w:val="-6"/>
          <w:kern w:val="0"/>
          <w:sz w:val="32"/>
          <w:szCs w:val="32"/>
        </w:rPr>
        <w:t>。其中，重点对鮀济河、东墩沟、玉港河、月浦社区厅前沙坪排水沟、沟南社区南干渠等内河涌开展黑臭水体整治工程。</w:t>
      </w:r>
    </w:p>
    <w:p>
      <w:pPr>
        <w:pageBreakBefore w:val="0"/>
        <w:widowControl/>
        <w:kinsoku/>
        <w:wordWrap/>
        <w:overflowPunct/>
        <w:topLinePunct w:val="0"/>
        <w:autoSpaceDE/>
        <w:autoSpaceDN/>
        <w:bidi w:val="0"/>
        <w:adjustRightInd/>
        <w:snapToGrid/>
        <w:spacing w:line="600" w:lineRule="exact"/>
        <w:ind w:firstLine="619"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2.聚焦蓝天净土行动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聚焦蓝天保卫战，全面落实大气污染防治行动计划：深入开展大气污染防治，突出抓好颗粒物、挥发性有机物和氮氧化物协同治理；推进能源、产业、交通结构优化调整；推进碳达峰工作。扎实推进净土保卫战，全面落实受污染耕地和建设用地安全利用与风险管控；持续强化固体废物污染防治及农业面源污染治理，加强危险废物利用处置能力建设，持续强化危险废物全链条规范管理。</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3.江河清洁整治行动</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重点水源地保护，创建练江、榕江、韩江等河流区域治污合作机制。对各大江流域排污口进行清理整治，清淤河道，清理违规构建物、漂浮物、河湖障碍物；继续开展生活垃圾专项整治行动，大力推行“汕头大江无垃圾”百日大会战等活动；持续开展“散乱污”专项整治行动，关停取缔或升级改造练江、榕江、韩江等大江流域的“散乱污”企业。</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4.加强县城洪涝治理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完善外排泵站、水闸、滞蓄设施等工程建设，做好与市政排水管网的衔接，加强县城排水防涝设施建设，加大易涝点整治力度，进一步提升县城防洪排涝能力。</w:t>
      </w:r>
    </w:p>
    <w:p>
      <w:pPr>
        <w:pStyle w:val="4"/>
        <w:pageBreakBefore w:val="0"/>
        <w:kinsoku/>
        <w:wordWrap/>
        <w:overflowPunct/>
        <w:topLinePunct w:val="0"/>
        <w:autoSpaceDE/>
        <w:autoSpaceDN/>
        <w:bidi w:val="0"/>
        <w:adjustRightInd/>
        <w:snapToGrid/>
        <w:spacing w:line="600" w:lineRule="exact"/>
        <w:textAlignment w:val="auto"/>
        <w:rPr>
          <w:rFonts w:ascii="宋体" w:hAnsi="宋体" w:eastAsia="宋体"/>
          <w:color w:val="auto"/>
          <w:sz w:val="24"/>
          <w:szCs w:val="24"/>
        </w:rPr>
      </w:pPr>
      <w:bookmarkStart w:id="36" w:name="_Toc75424430"/>
      <w:r>
        <w:rPr>
          <w:rFonts w:hint="eastAsia"/>
          <w:color w:val="auto"/>
        </w:rPr>
        <w:t>第二节 加快推进生态惠民工程，倡导绿色生产生活方式</w:t>
      </w:r>
      <w:bookmarkEnd w:id="36"/>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“十四五”期间，要有序实现城乡特色的自然山水节点、脉络、人居空间体系有机嵌套，自然、生态、文化与功能彼此增益，推动生态价值有效转化。</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1.精心规划建设好三个重点生态节点</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做好保育生态片区工作，维育市域自然资源集中分布的生态源地，形成汕头生态空间网络的基底。重点做好牛田洋、东海湾两个沿海湿地以及青澳湾海洋公园等三处重点生态节点的提质工作。因势利导统筹规划特色片区、标志性节点、景观带、观景廊等，打造精品生态项目。</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2.特色化打造绿色宜游的游憩网络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完善建设多元的登山健身绿道。面向全民健身，满足登山爱好者、旅游人群及休闲健身人群的多样化需求，将大南山、小北山、桑浦山及莲花山等周边的绿道升级打造成为城郊休闲体验、近郊山野健行、远郊极限探险的多功能登山健身步道系统，将沿线文化设施、景区、农业及渔业基地、农家乐等各种资源“串珠成链”，带动餐饮、住宿、购物、文化品牌等相关产业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eastAsia="黑体"/>
          <w:color w:val="auto"/>
          <w:kern w:val="44"/>
          <w:sz w:val="44"/>
          <w:szCs w:val="44"/>
        </w:rPr>
      </w:pPr>
      <w:r>
        <w:rPr>
          <w:rFonts w:hint="eastAsia" w:ascii="仿宋_GB2312" w:hAnsi="宋体" w:eastAsia="仿宋_GB2312" w:cs="宋体"/>
          <w:color w:val="auto"/>
          <w:spacing w:val="-6"/>
          <w:kern w:val="0"/>
          <w:sz w:val="32"/>
          <w:szCs w:val="32"/>
        </w:rPr>
        <w:t>打造特色化、生态化的文化绿道。加强南粤古驿道活化利用，推进古驿道线路保护与修复等工作。进一步挖掘古驿道相关历史资源，促进古驿道建设与森林公园、特色小镇、绿道相结合，发挥联动效益。进一步加强古驿道与周边交通、绿道与登山健身步道的衔接，完善古驿道沿线文化、体育、服务、通讯网络、标识系统等配套设施建设，提升服务效能。</w:t>
      </w:r>
      <w:bookmarkStart w:id="37" w:name="_Toc75424431"/>
    </w:p>
    <w:p>
      <w:pPr>
        <w:pageBreakBefore w:val="0"/>
        <w:kinsoku/>
        <w:wordWrap/>
        <w:overflowPunct/>
        <w:topLinePunct w:val="0"/>
        <w:autoSpaceDE/>
        <w:autoSpaceDN/>
        <w:bidi w:val="0"/>
        <w:adjustRightInd/>
        <w:snapToGrid/>
        <w:spacing w:line="600" w:lineRule="exact"/>
        <w:textAlignment w:val="auto"/>
        <w:rPr>
          <w:rFonts w:eastAsia="黑体"/>
          <w:color w:val="auto"/>
          <w:kern w:val="44"/>
          <w:sz w:val="44"/>
          <w:szCs w:val="44"/>
        </w:rPr>
      </w:pPr>
      <w:r>
        <w:rPr>
          <w:rFonts w:hint="eastAsia" w:eastAsia="黑体"/>
          <w:color w:val="auto"/>
          <w:kern w:val="44"/>
          <w:sz w:val="44"/>
          <w:szCs w:val="44"/>
        </w:rPr>
        <w:br w:type="page"/>
      </w:r>
    </w:p>
    <w:p>
      <w:pPr>
        <w:pageBreakBefore w:val="0"/>
        <w:kinsoku/>
        <w:wordWrap/>
        <w:overflowPunct/>
        <w:topLinePunct w:val="0"/>
        <w:autoSpaceDE/>
        <w:autoSpaceDN/>
        <w:bidi w:val="0"/>
        <w:adjustRightInd/>
        <w:snapToGrid/>
        <w:spacing w:line="720" w:lineRule="auto"/>
        <w:jc w:val="center"/>
        <w:textAlignment w:val="auto"/>
        <w:rPr>
          <w:rFonts w:ascii="黑体" w:hAnsi="黑体" w:eastAsia="黑体" w:cs="黑体"/>
          <w:color w:val="auto"/>
          <w:sz w:val="32"/>
          <w:szCs w:val="32"/>
        </w:rPr>
      </w:pPr>
      <w:r>
        <w:rPr>
          <w:rFonts w:hint="eastAsia" w:eastAsia="黑体"/>
          <w:color w:val="auto"/>
          <w:kern w:val="44"/>
          <w:sz w:val="44"/>
          <w:szCs w:val="44"/>
        </w:rPr>
        <w:t>第五篇 创新机制体制，提</w:t>
      </w:r>
      <w:bookmarkEnd w:id="37"/>
      <w:r>
        <w:rPr>
          <w:rFonts w:hint="eastAsia" w:eastAsia="黑体"/>
          <w:color w:val="auto"/>
          <w:kern w:val="44"/>
          <w:sz w:val="44"/>
          <w:szCs w:val="44"/>
        </w:rPr>
        <w:t>供实施保障</w:t>
      </w:r>
    </w:p>
    <w:p>
      <w:pPr>
        <w:pageBreakBefore w:val="0"/>
        <w:widowControl/>
        <w:kinsoku/>
        <w:wordWrap/>
        <w:overflowPunct/>
        <w:topLinePunct w:val="0"/>
        <w:autoSpaceDE/>
        <w:autoSpaceDN/>
        <w:bidi w:val="0"/>
        <w:adjustRightInd/>
        <w:snapToGrid/>
        <w:spacing w:line="720" w:lineRule="auto"/>
        <w:jc w:val="center"/>
        <w:textAlignment w:val="auto"/>
        <w:rPr>
          <w:rFonts w:ascii="仿宋_GB2312" w:hAnsi="宋体" w:eastAsia="仿宋_GB2312" w:cs="宋体"/>
          <w:color w:val="auto"/>
          <w:spacing w:val="-6"/>
          <w:kern w:val="0"/>
          <w:sz w:val="32"/>
          <w:szCs w:val="32"/>
        </w:rPr>
      </w:pPr>
      <w:r>
        <w:rPr>
          <w:rFonts w:hint="eastAsia" w:ascii="黑体" w:hAnsi="黑体" w:eastAsia="黑体" w:cs="黑体"/>
          <w:color w:val="auto"/>
          <w:sz w:val="32"/>
          <w:szCs w:val="32"/>
        </w:rPr>
        <w:t>第十章 社会治理与政策保障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以更大魄力深化改革，坚定转型创新，有限精准发力，引侨聚侨争取多层级惠汕政策，深化“一个都市”体制机制改革，再造高质量发展的政策环境，助力汕头精致、绿色、人性发展。建立健全与城市发展特点和需求相适应的城市治理标准体系，重点围绕智慧城市、房屋管理、城市交通运行、城中村与老旧小区改造、背街小巷环境整治、市容环卫等领域，制定完善相关技术和管理标准，为精细化城市治理提供标尺和依据，建立起具有本地特色的现代化治理体系，以治理现代化促进国际化和都市一体化发展。</w:t>
      </w:r>
      <w:bookmarkStart w:id="38" w:name="_Toc75424432"/>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r>
        <w:rPr>
          <w:rFonts w:hint="eastAsia" w:eastAsia="楷体"/>
          <w:bCs/>
          <w:color w:val="auto"/>
          <w:sz w:val="32"/>
          <w:szCs w:val="32"/>
        </w:rPr>
        <w:t>第一节 创新社会治理方式，激发政府市场叠加效应</w:t>
      </w:r>
    </w:p>
    <w:bookmarkEnd w:id="38"/>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“十四五”期间，紧跟国家社会主义发展大方向，转型战略型政府，以“双清单”制度、分区管控为抓手，有限、精准、高效干预引导，尊重合理的市场、社会自组织，构建正确而有限的治理体系。</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1.建立约束政府和管理市场的“双清单”制度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政府在加强组织协调和政策统筹，着力推进新型城镇化的同时，应建立“双清单”制度，即：“正面清单”用于明确可以做的领域和内容，约束政府的权力领域；“负面清单”用以规定制度禁止做的事情，其余方面允许市场与企业发挥创造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推进各主体的社会协商制度化，开展多形式的基层民主协商，推进基层协商制度化，实现政府治理和社会自我调节、居民自治良性互动，形成“市—县（区）—乡（镇、街道）—村（社区）—组（栋、院落）”的五级纵向联动和“党委—政府—市场—社会—群众”的五级横向联动。</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2.激发多元主体的多重活力</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政府层面对社会发展红线和战略性内容进行精准管控、前瞻与引导，保持社会、市场良好的自组织性，完善市场、社会参与体制、机制，畅通社会资本参与的投融资体制改革，激励市场和</w:t>
      </w:r>
      <w:r>
        <w:rPr>
          <w:rFonts w:ascii="仿宋_GB2312" w:hAnsi="宋体" w:eastAsia="仿宋_GB2312" w:cs="宋体"/>
          <w:color w:val="auto"/>
          <w:spacing w:val="-6"/>
          <w:kern w:val="0"/>
          <w:sz w:val="32"/>
          <w:szCs w:val="32"/>
        </w:rPr>
        <w:t>多元主体</w:t>
      </w:r>
      <w:r>
        <w:rPr>
          <w:rFonts w:hint="eastAsia" w:ascii="仿宋_GB2312" w:hAnsi="宋体" w:eastAsia="仿宋_GB2312" w:cs="宋体"/>
          <w:color w:val="auto"/>
          <w:spacing w:val="-6"/>
          <w:kern w:val="0"/>
          <w:sz w:val="32"/>
          <w:szCs w:val="32"/>
        </w:rPr>
        <w:t>参与</w:t>
      </w:r>
      <w:r>
        <w:rPr>
          <w:rFonts w:ascii="仿宋_GB2312" w:hAnsi="宋体" w:eastAsia="仿宋_GB2312" w:cs="宋体"/>
          <w:color w:val="auto"/>
          <w:spacing w:val="-6"/>
          <w:kern w:val="0"/>
          <w:sz w:val="32"/>
          <w:szCs w:val="32"/>
        </w:rPr>
        <w:t>构建</w:t>
      </w:r>
      <w:r>
        <w:rPr>
          <w:rFonts w:hint="eastAsia" w:ascii="仿宋_GB2312" w:hAnsi="宋体" w:eastAsia="仿宋_GB2312" w:cs="宋体"/>
          <w:color w:val="auto"/>
          <w:spacing w:val="-6"/>
          <w:kern w:val="0"/>
          <w:sz w:val="32"/>
          <w:szCs w:val="32"/>
        </w:rPr>
        <w:t>发展的公平公正框架体系，整体协同治理，构建开放、和谐、活跃、建设性的政府-社会-市场网络体系。</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3.建立差别化的政绩考核体系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新型城镇化目标的实现要结合分区采取管控措施，完善考核体系，纠正单纯以经济增长速度评定政绩的偏向，增加民生保障、文化发展、绿色发展、品质发展、科技创新、新增债务等在考核体系中的权重；依据不同区域发展基础和资源禀赋条件实行差别化考核政策。</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39" w:name="_Toc75424433"/>
      <w:r>
        <w:rPr>
          <w:rFonts w:hint="eastAsia" w:eastAsia="楷体"/>
          <w:bCs/>
          <w:color w:val="auto"/>
          <w:sz w:val="32"/>
          <w:szCs w:val="32"/>
        </w:rPr>
        <w:t>第二节 创新引侨聚侨机制，做大做强</w:t>
      </w:r>
      <w:bookmarkEnd w:id="39"/>
      <w:r>
        <w:rPr>
          <w:rFonts w:hint="eastAsia" w:eastAsia="楷体"/>
          <w:bCs/>
          <w:color w:val="auto"/>
          <w:sz w:val="32"/>
          <w:szCs w:val="32"/>
        </w:rPr>
        <w:t>发展平台</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侨乡文化和华侨资源是汕头的特色与优势，紧扣“侨”字文章，坚持改革开放，抓住国家“一带一路”建设的重大历史机遇与汕潮揭同城化发展的新动力，“十四五”期间开始构建开放型经济新体制、创新融合社会发展机制，把汕头建设成为面向海外华人华侨聚集发展的国际化创新平台。</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1.积极争取更大力度的政策支持</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前瞻、精准、高效推进汕头国际化发展进程，争取国家对汕头经济特区在跨境投资、贸易机制等方面的优惠政策，推动海外华人华侨与祖国经济深度融合发展。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争取国家支持汕头在国土空间规划编制中优化耕地、林地、建设用地等各类用地规模、布局和时序，统筹优化永久基本农田保护任务。结合债务风险情况，新增地方政府债券对汕头倾斜支持，优先用于汕头符合条件的重大领域重大项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按照能放则放、应放尽放的原则，依法将部分省级经济社会管理权限以清单形式下放或委托汕头实施。按程序赋予汕头在机构管理、统筹使用各类编制资源等方面更大自主权。</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加强深圳都市圈和汕潮揭都市圈融合互动发展，探索建立深圳、汕头两市科技资源开放共享机制、金融合作机制、市场化开展产业合作机制。</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2.推进建立侨胞社会共建发展机制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争取依法赋予华侨试验区管理委员会地级市经济管理权限，统筹负责华侨试验区范围内的经济管理事项，并承接省政府及其有关部门依法赋予的部分省级经济管理权限。支持在人才引进、培养、使用、管理服务等体制机制方面先行先试。给予华侨华人更多出入境便利和创新创业服务，更好地保护华侨华人的合法权益。</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探索文化合作新模式。享受省级对外文化交流审批管理权限，探索建立与海外电影、电视、新闻出版交流合作新机制。在试验区设立文化产品保税中心，艺术品进入保税中心可实行保税、免征等政策，为境外艺术品进入汕头展示交易，开通便捷、优惠的“绿色通道”。</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创新社会管理模式，吸引海外华侨华人在试验区投资教育、医疗等社会服务业，推进社会事业改革创新。</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3.构建吸引侨资开放型新体制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深化营商环境综合改革，完善创业投资发展的法制环境，打造稳定公平透明、可预期的国际一流营商环境，跻身营商环境先进地区行列。</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加强法制建设，推行行政裁决示范创建。加快建设汕头知识产权保护中心，构建“一站式”知识产权保护综合服务平台。建设高价值专利培育布局中心，大力开展专利导航。</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提升利用侨资质量与水平。积极引导华侨华人投资现代服务业领域和高端制造产业。在符合《反垄断法》有关规定且不影响国家安全的前提下，鼓励华侨华人企业采取并购、参股、结成战略同盟等方式，参与国内企业改组改造，加快引进国际先进技术、管理经验和智力资源。</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积极促进企业走出去。深度挖掘华侨资源，建立华侨华人企业和人才数据库，依托其遍布全球的商贸网络和人脉商脉资源，疏通我国企业走出去渠道，构建起连通海内外的商贸物流网络。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仿宋_GB2312" w:hAnsi="宋体" w:eastAsia="仿宋_GB2312" w:cs="宋体"/>
          <w:color w:val="auto"/>
          <w:spacing w:val="-6"/>
          <w:kern w:val="0"/>
          <w:sz w:val="32"/>
          <w:szCs w:val="32"/>
          <w:lang w:val="en-US" w:eastAsia="zh-CN"/>
        </w:rPr>
      </w:pPr>
      <w:r>
        <w:rPr>
          <w:rFonts w:hint="eastAsia" w:ascii="仿宋_GB2312" w:hAnsi="宋体" w:eastAsia="仿宋_GB2312" w:cs="宋体"/>
          <w:color w:val="auto"/>
          <w:spacing w:val="-6"/>
          <w:kern w:val="0"/>
          <w:sz w:val="32"/>
          <w:szCs w:val="32"/>
        </w:rPr>
        <w:t>加强与珠三角、粤闽浙沿海城市群、赣东南地区的对接和融合，促进要素跨地区自由流动。</w:t>
      </w:r>
      <w:r>
        <w:rPr>
          <w:rFonts w:hint="eastAsia" w:ascii="仿宋_GB2312" w:hAnsi="宋体" w:eastAsia="仿宋_GB2312" w:cs="宋体"/>
          <w:color w:val="auto"/>
          <w:spacing w:val="-6"/>
          <w:kern w:val="0"/>
          <w:sz w:val="32"/>
          <w:szCs w:val="32"/>
          <w:lang w:val="en-US" w:eastAsia="zh-CN"/>
        </w:rPr>
        <w:t xml:space="preserve">                          </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推动区域协同发展。全方位加强与潮州、揭阳的合作，推动三市教育科研、医疗卫生、劳动就业、社会保障等一体化发展，加快汕潮揭同城化进程。</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4.整合推进政产学研资源一体化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进一步把综合保税区、国家高新区、华侨试验区等平台做实做强。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保税区注重要素整合和产业配套，融入国际产业链、价值链、供应链，更好地统筹利用国际国内两个市场、两种资源，培育提升竞争新优势。</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高新区深化政产学研用协同配合，强化市场导向的科技成果转化，构建有利于科技创新、人才集聚的体制机制，加快中以合作试验区建设。</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华侨试验区规划建设国家数字经济创新发展试验区重要支撑平台，争取设立“侨”特色金融机构，做大、做强、做响“华侨板”，打造区域现代金融服务集聚区。</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40" w:name="_Toc75424434"/>
      <w:r>
        <w:rPr>
          <w:rFonts w:hint="eastAsia" w:eastAsia="楷体"/>
          <w:bCs/>
          <w:color w:val="auto"/>
          <w:sz w:val="32"/>
          <w:szCs w:val="32"/>
        </w:rPr>
        <w:t xml:space="preserve">第三节 创新城乡融合机制体制，促进大汕头一体化发展 </w:t>
      </w:r>
      <w:bookmarkEnd w:id="40"/>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要实现都市一体化目标不能仅关注城乡空间一体化发展，更应推进体制机制一体化进程。“十四五”期间，通过深化户籍制度改革、建立全要素融合发展机制，打破现有城乡二元体制壁垒，重塑“一个都市”社会经济体制机制，逐步推动构建均富、共享、绿色、开放的都市汕头。</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1.创新城乡户籍管理制度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探索建立新型户籍制度，探索市域内部实行户籍准入年限同城化累计互认和户口通迁制度。</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优化居住证与城镇户籍的制度衔接，按照合法稳定住所、合法稳定生活来源为基本落户条件，完善居住证制度，逐步改革和完善流动人口落户问题。</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建立健全由政府、企业、个人共同参与的农业转移人口市民化成本分担机制。同时，维护进城落户农民土地承包权、宅基地使用权、集体收益分配权，不得强行要求其转让上述权益或将此作为落户前置条件。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hint="eastAsia"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支持人口机械增长率为负的</w:t>
      </w:r>
      <w:r>
        <w:rPr>
          <w:rFonts w:hint="eastAsia" w:ascii="仿宋_GB2312" w:hAnsi="宋体" w:eastAsia="仿宋_GB2312" w:cs="宋体"/>
          <w:color w:val="auto"/>
          <w:spacing w:val="-6"/>
          <w:kern w:val="0"/>
          <w:sz w:val="32"/>
          <w:szCs w:val="32"/>
          <w:lang w:val="en-US" w:eastAsia="zh-CN"/>
        </w:rPr>
        <w:t>区（县）</w:t>
      </w:r>
      <w:r>
        <w:rPr>
          <w:rFonts w:hint="eastAsia" w:ascii="仿宋_GB2312" w:hAnsi="宋体" w:eastAsia="仿宋_GB2312" w:cs="宋体"/>
          <w:color w:val="auto"/>
          <w:spacing w:val="-6"/>
          <w:kern w:val="0"/>
          <w:sz w:val="32"/>
          <w:szCs w:val="32"/>
        </w:rPr>
        <w:t>探索符合条件的返乡就业创业人员在原籍地或就业、创业地落户，有序引导乡村居民就地就近进城落户。</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2.推动城乡产业融合发展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动城乡要素自由流动实现城-镇-村产业融合发展。积极深化统筹城乡改革，打破城乡隔阂和生产要素单向流动困境。通过要素流动，实现城乡优势互补，提高城乡互动水平，促进人才、土地等要素向农业农村集聚。全面重塑要素支持保障政策，实现生产要素在城乡各产业间均衡配置。</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城-镇产业融合方面，通过产业发展带动城镇建设，以产业新城、特色小镇为核心构建产业生态圈。</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3.建立城乡公共服务共享体系</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城乡公共服务共建共享体制机制。推动居民基本公共服务突破城乡行政区划的界限，逐步实现对接共享并最终达到同一标准，做到基本公共服务业的资源共享、制度对接、流转顺畅、差距缩小、待遇互认，通过实现基本公共服务一体化提高公共服务供给效率。</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进一步加快城乡公共服务规划和政策统筹衔接，提高城乡基本公共服务均等化水平，促进城乡教育医疗、社会保险、文化体育等社会事业融合发展。</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积极改善城乡消防安全条件，统筹将城乡消防基础设施建设纳入本地区经济社会发展规划、总体规划编制内容并同步实施，压实城乡属地消防工作责任，统筹实施城乡地区火灾隐患治理，扎实推进城乡多种形式消防队伍建设，组织开展城乡消防宣传教育培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推进农村公共服务供给多元化。将“自上而下”的决策机制转变为“自下而上和自上而下相结合，以自下而上为主”的决策机制，促进农村公共服务的合理供给；积极构建多主体的供给体制，实现治理理念和能力现代化。</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转变政府职能，由完全责任政府向有限政府转型，积极发挥市场在资源配置的基础作用。依靠市场和非营利组织较高的灵活性和专业性，鼓励它们参与到公共服务供给中来，弥补政府在公共产品供给方面的不足和缺陷，形成多元主体的农村公共产品供给体制，实现政府、市场、社会的多赢和农村公共产品供给主体的多元化。</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楷体"/>
          <w:bCs/>
          <w:color w:val="auto"/>
          <w:sz w:val="24"/>
          <w:szCs w:val="24"/>
        </w:rPr>
      </w:pPr>
      <w:bookmarkStart w:id="41" w:name="_Toc75424435"/>
      <w:r>
        <w:rPr>
          <w:rFonts w:hint="eastAsia" w:eastAsia="楷体"/>
          <w:bCs/>
          <w:color w:val="auto"/>
          <w:sz w:val="32"/>
          <w:szCs w:val="32"/>
        </w:rPr>
        <w:t>第四节 创新生态和文化保护机制，建设绿色人文</w:t>
      </w:r>
      <w:bookmarkEnd w:id="41"/>
      <w:r>
        <w:rPr>
          <w:rFonts w:hint="eastAsia" w:eastAsia="楷体"/>
          <w:bCs/>
          <w:color w:val="auto"/>
          <w:sz w:val="32"/>
          <w:szCs w:val="32"/>
        </w:rPr>
        <w:t>魅力家园</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要实现绿色人文宜居汕头的目标，不能仅依靠政府财政单向投入，要发挥汕头民间自组织能力强、水平高的优势，发挥市场在资源配置中的决定性作用，建立多元合作机制、市场化生态补偿机制和历史文化保护利用机制，实现多方共赢，使汕头成为极具归属感的魅力家园。</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1.探索建立生态保护补偿机制</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十四五”期间，完善市场化多元生态补偿机制，推进排污权、用能权、用水权、碳排放权市场化交易，建立起生态产品价值实现机制。建立健全资源开发补偿、污染物减排补偿、水资源节约补偿、碳排放权抵消补偿制度，合理界定和配置生态环境权利，健全交易平台，引导生态受益者对生态保护者的补偿。</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2.着力打造潮汕文化保护实验区</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“十四五”期间，完成分类推进历史文化遗产保护和活化。加强历史文化保护专项或专题研究，在规划指导下推进历史文化保护和活化工作。</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逐步健全历史文化遗产保护激励机制，鼓励多元主体参与历史建筑、历史风貌区的保护、修缮、整治和活化利用。</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3.倡导多元主体参与旧城更新</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促进产权人、开发商、政府多方合作，并充分保障产权人利益。政府要努力搭建公众参与平台，及时反馈产权人及相关利益主体的合理诉求，通过制定减免税收、放宽规划限制、给予容积率奖励等措施，引导、鼓励开发主体合理分配土地增值收益，承担公益项目建设，最终促成项目开发。</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加强城市更新与土地整备的政策衔接，积极研究矛盾纠纷解决途径，统筹运用城市更新、土地整备等多种手段，共同推动城市更新项目实施。各区政府应主动作为，搭建各方协商平台，积极推动搬迁人与被搬迁人开展协商谈判，合理引导搬迁预期。</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32"/>
          <w:szCs w:val="32"/>
        </w:rPr>
      </w:pPr>
      <w:r>
        <w:rPr>
          <w:rFonts w:hint="eastAsia" w:ascii="仿宋_GB2312" w:hAnsi="宋体" w:eastAsia="仿宋_GB2312" w:cs="宋体"/>
          <w:color w:val="auto"/>
          <w:spacing w:val="-6"/>
          <w:kern w:val="0"/>
          <w:sz w:val="32"/>
          <w:szCs w:val="32"/>
        </w:rPr>
        <w:t>稳定城市更新成本，“稳成本”为核心，加强城市更新全过程成本管控，形成与城市发展需求相适应的“成本适中、梯次有序”的城市空间组合。</w:t>
      </w:r>
    </w:p>
    <w:p>
      <w:pPr>
        <w:keepNext/>
        <w:keepLines/>
        <w:pageBreakBefore w:val="0"/>
        <w:kinsoku/>
        <w:wordWrap/>
        <w:overflowPunct/>
        <w:topLinePunct w:val="0"/>
        <w:autoSpaceDE/>
        <w:autoSpaceDN/>
        <w:bidi w:val="0"/>
        <w:adjustRightInd/>
        <w:snapToGrid/>
        <w:spacing w:before="260" w:after="260" w:line="600" w:lineRule="exact"/>
        <w:jc w:val="center"/>
        <w:textAlignment w:val="auto"/>
        <w:outlineLvl w:val="2"/>
        <w:rPr>
          <w:rFonts w:ascii="宋体" w:hAnsi="宋体" w:eastAsia="宋体"/>
          <w:bCs/>
          <w:color w:val="auto"/>
          <w:sz w:val="24"/>
          <w:szCs w:val="24"/>
        </w:rPr>
      </w:pPr>
      <w:bookmarkStart w:id="42" w:name="_Toc75424436"/>
      <w:r>
        <w:rPr>
          <w:rFonts w:hint="eastAsia" w:eastAsia="楷体"/>
          <w:bCs/>
          <w:color w:val="auto"/>
          <w:sz w:val="32"/>
          <w:szCs w:val="32"/>
        </w:rPr>
        <w:t>第五节 创新社会治理方式，推进城市智慧管理</w:t>
      </w:r>
      <w:bookmarkEnd w:id="42"/>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智慧城市管理是治理现代化体系的重要组成部分，不仅需要守住底线、防范风险，更要善于利用大数据、云计算、区块链、人工智能等科技降本提效，全面、高效、精准地反映城市管理出现的问题，提升城市管理部门协同执法能力，提高城市科学化、精细化、智能化管理决策水平。</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1.完善四大公共基础信息库</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按照相应接口规范和信息安全管理要求，围绕优化营商环境，整合各行业各部门有关基础信息，完善人口、法人单位、自然资源和空间地理、社会信用信息库等四大公共基础信息库建设，为政务应用提供权威规范的人口、法人单位、多维度空间地理、社会信用信息等基础数据支撑。</w:t>
      </w:r>
    </w:p>
    <w:p>
      <w:pPr>
        <w:pageBreakBefore w:val="0"/>
        <w:widowControl/>
        <w:kinsoku/>
        <w:wordWrap/>
        <w:overflowPunct/>
        <w:topLinePunct w:val="0"/>
        <w:autoSpaceDE/>
        <w:autoSpaceDN/>
        <w:bidi w:val="0"/>
        <w:adjustRightInd/>
        <w:snapToGrid/>
        <w:spacing w:line="600" w:lineRule="exact"/>
        <w:ind w:firstLine="619" w:firstLineChars="200"/>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2.提高数据应用质量</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建立数据治理机制，各部门按照数据质量管理制度和标准规范，落实数据质量维护责任。对各部门现存的政务服务数据资源进行统一采集，并按照统一标准清洗、整合、比对，形成有效数据，促进数据质量提升。建设数据治理平台，实现数据资源产生、采集、存储、交换、加工、整合、使用、反馈等环节的管理。</w:t>
      </w:r>
    </w:p>
    <w:p>
      <w:pPr>
        <w:pageBreakBefore w:val="0"/>
        <w:widowControl/>
        <w:kinsoku/>
        <w:wordWrap/>
        <w:overflowPunct/>
        <w:topLinePunct w:val="0"/>
        <w:autoSpaceDE/>
        <w:autoSpaceDN/>
        <w:bidi w:val="0"/>
        <w:adjustRightInd/>
        <w:snapToGrid/>
        <w:spacing w:line="600" w:lineRule="exact"/>
        <w:ind w:firstLine="616" w:firstLineChars="200"/>
        <w:textAlignment w:val="auto"/>
        <w:rPr>
          <w:rFonts w:ascii="宋体" w:hAnsi="宋体" w:eastAsia="宋体" w:cs="宋体"/>
          <w:color w:val="auto"/>
          <w:kern w:val="0"/>
          <w:sz w:val="24"/>
          <w:szCs w:val="24"/>
        </w:rPr>
      </w:pPr>
      <w:r>
        <w:rPr>
          <w:rFonts w:hint="eastAsia" w:ascii="仿宋_GB2312" w:hAnsi="宋体" w:eastAsia="仿宋_GB2312" w:cs="宋体"/>
          <w:color w:val="auto"/>
          <w:spacing w:val="-6"/>
          <w:kern w:val="0"/>
          <w:sz w:val="32"/>
          <w:szCs w:val="32"/>
        </w:rPr>
        <w:t>落实统一数据标准和采集规范，从数据资源产生源头抓数据质量，规范管理数据资源采集;通过数据共享平台支撑政务大数据的存储和交换。数据使用和反馈，基于依职能按需共享的原则管理数据使用，建立数据使用反馈机制，打通数据产生采集环节，形成数据资源流通全程闭环管理。</w:t>
      </w:r>
    </w:p>
    <w:p>
      <w:pPr>
        <w:pageBreakBefore w:val="0"/>
        <w:widowControl/>
        <w:kinsoku/>
        <w:wordWrap/>
        <w:overflowPunct/>
        <w:topLinePunct w:val="0"/>
        <w:autoSpaceDE/>
        <w:autoSpaceDN/>
        <w:bidi w:val="0"/>
        <w:adjustRightInd/>
        <w:snapToGrid/>
        <w:spacing w:before="60" w:after="60" w:line="600" w:lineRule="exact"/>
        <w:ind w:firstLine="619" w:firstLineChars="200"/>
        <w:jc w:val="left"/>
        <w:textAlignment w:val="auto"/>
        <w:rPr>
          <w:rFonts w:ascii="仿宋_GB2312" w:hAnsi="宋体" w:eastAsia="仿宋_GB2312" w:cs="宋体"/>
          <w:b/>
          <w:bCs/>
          <w:color w:val="auto"/>
          <w:spacing w:val="-6"/>
          <w:kern w:val="0"/>
          <w:sz w:val="32"/>
          <w:szCs w:val="32"/>
        </w:rPr>
      </w:pPr>
      <w:r>
        <w:rPr>
          <w:rFonts w:hint="eastAsia" w:ascii="仿宋_GB2312" w:hAnsi="宋体" w:eastAsia="仿宋_GB2312" w:cs="宋体"/>
          <w:b/>
          <w:bCs/>
          <w:color w:val="auto"/>
          <w:spacing w:val="-6"/>
          <w:kern w:val="0"/>
          <w:sz w:val="32"/>
          <w:szCs w:val="32"/>
        </w:rPr>
        <w:t>3.促进城市智能化管理</w:t>
      </w:r>
    </w:p>
    <w:p>
      <w:pPr>
        <w:pageBreakBefore w:val="0"/>
        <w:widowControl/>
        <w:kinsoku/>
        <w:wordWrap/>
        <w:overflowPunct/>
        <w:topLinePunct w:val="0"/>
        <w:autoSpaceDE/>
        <w:autoSpaceDN/>
        <w:bidi w:val="0"/>
        <w:adjustRightInd/>
        <w:snapToGrid/>
        <w:spacing w:before="60" w:after="60" w:line="600" w:lineRule="exact"/>
        <w:ind w:firstLine="616" w:firstLineChars="200"/>
        <w:jc w:val="left"/>
        <w:textAlignment w:val="auto"/>
        <w:rPr>
          <w:rFonts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十四五”期间，智能管理系统建设取得明显突破。基于现有已建成的数字化城市管理信息系统，纵向对接国家平台、省级平台，联通区（县）平台，横向整合或共享城市管理相关部门数据资源，构建适应高质量发展要求的城市综合管理服务工作体系，推动数字城管向感知、分析、服务、指挥、监察“五位一体”智慧化升级。</w:t>
      </w:r>
    </w:p>
    <w:p>
      <w:pPr>
        <w:pageBreakBefore w:val="0"/>
        <w:widowControl/>
        <w:kinsoku/>
        <w:wordWrap/>
        <w:overflowPunct/>
        <w:topLinePunct w:val="0"/>
        <w:autoSpaceDE/>
        <w:autoSpaceDN/>
        <w:bidi w:val="0"/>
        <w:adjustRightInd/>
        <w:snapToGrid/>
        <w:spacing w:before="60" w:after="60"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pageBreakBefore w:val="0"/>
        <w:widowControl/>
        <w:kinsoku/>
        <w:wordWrap/>
        <w:overflowPunct/>
        <w:topLinePunct w:val="0"/>
        <w:autoSpaceDE/>
        <w:autoSpaceDN/>
        <w:bidi w:val="0"/>
        <w:adjustRightInd/>
        <w:snapToGrid/>
        <w:spacing w:before="60" w:after="60" w:line="600" w:lineRule="exact"/>
        <w:ind w:firstLine="619" w:firstLineChars="200"/>
        <w:jc w:val="left"/>
        <w:textAlignment w:val="auto"/>
        <w:rPr>
          <w:rFonts w:hint="eastAsia" w:ascii="仿宋_GB2312" w:hAnsi="宋体" w:eastAsia="仿宋_GB2312" w:cs="宋体"/>
          <w:b/>
          <w:bCs/>
          <w:color w:val="auto"/>
          <w:spacing w:val="-6"/>
          <w:kern w:val="0"/>
          <w:sz w:val="32"/>
          <w:szCs w:val="32"/>
        </w:rPr>
      </w:pPr>
      <w:r>
        <w:rPr>
          <w:rFonts w:hint="default" w:ascii="仿宋_GB2312" w:hAnsi="宋体" w:eastAsia="仿宋_GB2312" w:cs="宋体"/>
          <w:b/>
          <w:bCs/>
          <w:color w:val="auto"/>
          <w:spacing w:val="-6"/>
          <w:kern w:val="0"/>
          <w:sz w:val="32"/>
          <w:szCs w:val="32"/>
          <w:lang w:val="en-US" w:eastAsia="zh-CN"/>
        </w:rPr>
        <w:t>附表：具体行动计划与项目清单表</w:t>
      </w:r>
    </w:p>
    <w:p>
      <w:pPr>
        <w:pageBreakBefore w:val="0"/>
        <w:kinsoku/>
        <w:wordWrap/>
        <w:overflowPunct/>
        <w:topLinePunct w:val="0"/>
        <w:autoSpaceDE/>
        <w:autoSpaceDN/>
        <w:bidi w:val="0"/>
        <w:adjustRightInd/>
        <w:snapToGrid/>
        <w:spacing w:line="600" w:lineRule="exact"/>
        <w:textAlignment w:val="auto"/>
        <w:rPr>
          <w:color w:val="auto"/>
        </w:rPr>
      </w:pPr>
    </w:p>
    <w:p>
      <w:pPr>
        <w:pageBreakBefore w:val="0"/>
        <w:kinsoku/>
        <w:wordWrap/>
        <w:overflowPunct/>
        <w:topLinePunct w:val="0"/>
        <w:autoSpaceDE/>
        <w:autoSpaceDN/>
        <w:bidi w:val="0"/>
        <w:adjustRightInd/>
        <w:snapToGrid/>
        <w:spacing w:line="600" w:lineRule="exact"/>
        <w:textAlignment w:val="auto"/>
        <w:rPr>
          <w:color w:val="auto"/>
        </w:rPr>
      </w:pPr>
      <w:r>
        <w:rPr>
          <w:rFonts w:hint="eastAsia"/>
          <w:color w:val="auto"/>
        </w:rPr>
        <w:t> </w:t>
      </w:r>
    </w:p>
    <w:p>
      <w:pPr>
        <w:pageBreakBefore w:val="0"/>
        <w:kinsoku/>
        <w:wordWrap/>
        <w:overflowPunct/>
        <w:topLinePunct w:val="0"/>
        <w:autoSpaceDE/>
        <w:autoSpaceDN/>
        <w:bidi w:val="0"/>
        <w:adjustRightInd/>
        <w:snapToGrid/>
        <w:spacing w:line="600" w:lineRule="exact"/>
        <w:textAlignment w:val="auto"/>
        <w:rPr>
          <w:color w:val="auto"/>
        </w:rPr>
      </w:pPr>
    </w:p>
    <w:sectPr>
      <w:footerReference r:id="rId7" w:type="default"/>
      <w:pgSz w:w="11906" w:h="16838"/>
      <w:pgMar w:top="2268" w:right="1417"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4001871"/>
                          </w:sdtPr>
                          <w:sdtContent>
                            <w:p>
                              <w:pPr>
                                <w:pStyle w:val="7"/>
                                <w:jc w:val="center"/>
                              </w:pPr>
                              <w:r>
                                <w:fldChar w:fldCharType="begin"/>
                              </w:r>
                              <w:r>
                                <w:instrText xml:space="preserve">PAGE   \* MERGEFORMAT</w:instrText>
                              </w:r>
                              <w:r>
                                <w:fldChar w:fldCharType="separate"/>
                              </w:r>
                              <w:r>
                                <w:rPr>
                                  <w:lang w:val="zh-CN"/>
                                </w:rPr>
                                <w:t>45</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714001871"/>
                    </w:sdtPr>
                    <w:sdtContent>
                      <w:p>
                        <w:pPr>
                          <w:pStyle w:val="7"/>
                          <w:jc w:val="center"/>
                        </w:pPr>
                        <w:r>
                          <w:fldChar w:fldCharType="begin"/>
                        </w:r>
                        <w:r>
                          <w:instrText xml:space="preserve">PAGE   \* MERGEFORMAT</w:instrText>
                        </w:r>
                        <w:r>
                          <w:fldChar w:fldCharType="separate"/>
                        </w:r>
                        <w:r>
                          <w:rPr>
                            <w:lang w:val="zh-CN"/>
                          </w:rPr>
                          <w:t>45</w:t>
                        </w:r>
                        <w:r>
                          <w:fldChar w:fldCharType="end"/>
                        </w:r>
                      </w:p>
                    </w:sdtContent>
                  </w:sdt>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AF36"/>
    <w:multiLevelType w:val="singleLevel"/>
    <w:tmpl w:val="D43DAF36"/>
    <w:lvl w:ilvl="0" w:tentative="0">
      <w:start w:val="1"/>
      <w:numFmt w:val="chineseCounting"/>
      <w:suff w:val="space"/>
      <w:lvlText w:val="第%1节"/>
      <w:lvlJc w:val="left"/>
      <w:rPr>
        <w:rFonts w:hint="eastAsia"/>
      </w:rPr>
    </w:lvl>
  </w:abstractNum>
  <w:abstractNum w:abstractNumId="1">
    <w:nsid w:val="183E14C3"/>
    <w:multiLevelType w:val="singleLevel"/>
    <w:tmpl w:val="183E14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80"/>
    <w:rsid w:val="00046420"/>
    <w:rsid w:val="000752A8"/>
    <w:rsid w:val="00077A3D"/>
    <w:rsid w:val="000C1FF9"/>
    <w:rsid w:val="00113D95"/>
    <w:rsid w:val="00154E7D"/>
    <w:rsid w:val="00167C2E"/>
    <w:rsid w:val="00195930"/>
    <w:rsid w:val="001A251F"/>
    <w:rsid w:val="001C48BE"/>
    <w:rsid w:val="00230FBB"/>
    <w:rsid w:val="0023102F"/>
    <w:rsid w:val="002410D3"/>
    <w:rsid w:val="00312ACC"/>
    <w:rsid w:val="0031524B"/>
    <w:rsid w:val="00342847"/>
    <w:rsid w:val="00343B77"/>
    <w:rsid w:val="00362A9D"/>
    <w:rsid w:val="00382F25"/>
    <w:rsid w:val="003A4DB8"/>
    <w:rsid w:val="003D1771"/>
    <w:rsid w:val="003E0140"/>
    <w:rsid w:val="00417453"/>
    <w:rsid w:val="00451B82"/>
    <w:rsid w:val="004676F8"/>
    <w:rsid w:val="00470181"/>
    <w:rsid w:val="00491E7E"/>
    <w:rsid w:val="00496DE9"/>
    <w:rsid w:val="004B60EF"/>
    <w:rsid w:val="004B6FB4"/>
    <w:rsid w:val="005122C7"/>
    <w:rsid w:val="00513F70"/>
    <w:rsid w:val="005B0CA8"/>
    <w:rsid w:val="005D1A65"/>
    <w:rsid w:val="0069638C"/>
    <w:rsid w:val="006E6265"/>
    <w:rsid w:val="006F2E2C"/>
    <w:rsid w:val="006F7387"/>
    <w:rsid w:val="00716699"/>
    <w:rsid w:val="007449B2"/>
    <w:rsid w:val="00782B1A"/>
    <w:rsid w:val="007C37E2"/>
    <w:rsid w:val="007E60DD"/>
    <w:rsid w:val="00802765"/>
    <w:rsid w:val="008119E3"/>
    <w:rsid w:val="00823FBC"/>
    <w:rsid w:val="00862AC8"/>
    <w:rsid w:val="00866856"/>
    <w:rsid w:val="0089249C"/>
    <w:rsid w:val="008952DF"/>
    <w:rsid w:val="008B0F56"/>
    <w:rsid w:val="008B7143"/>
    <w:rsid w:val="008D1752"/>
    <w:rsid w:val="008E4555"/>
    <w:rsid w:val="008F6192"/>
    <w:rsid w:val="00911F56"/>
    <w:rsid w:val="0091342E"/>
    <w:rsid w:val="009335BB"/>
    <w:rsid w:val="00942AF5"/>
    <w:rsid w:val="00944141"/>
    <w:rsid w:val="0094648F"/>
    <w:rsid w:val="00963500"/>
    <w:rsid w:val="00982C0A"/>
    <w:rsid w:val="009D172A"/>
    <w:rsid w:val="009F3F35"/>
    <w:rsid w:val="00A35B80"/>
    <w:rsid w:val="00A40E11"/>
    <w:rsid w:val="00A42402"/>
    <w:rsid w:val="00A513B6"/>
    <w:rsid w:val="00A55FAC"/>
    <w:rsid w:val="00A85025"/>
    <w:rsid w:val="00A936FD"/>
    <w:rsid w:val="00AC246B"/>
    <w:rsid w:val="00AE0149"/>
    <w:rsid w:val="00B01628"/>
    <w:rsid w:val="00B16B80"/>
    <w:rsid w:val="00B31457"/>
    <w:rsid w:val="00B60E79"/>
    <w:rsid w:val="00B61323"/>
    <w:rsid w:val="00B658F3"/>
    <w:rsid w:val="00B90770"/>
    <w:rsid w:val="00B921F2"/>
    <w:rsid w:val="00B92B34"/>
    <w:rsid w:val="00BA7758"/>
    <w:rsid w:val="00BE7B92"/>
    <w:rsid w:val="00C30CA3"/>
    <w:rsid w:val="00C42947"/>
    <w:rsid w:val="00C83873"/>
    <w:rsid w:val="00CC0275"/>
    <w:rsid w:val="00D064B9"/>
    <w:rsid w:val="00D30D19"/>
    <w:rsid w:val="00D3487D"/>
    <w:rsid w:val="00D506F5"/>
    <w:rsid w:val="00D971E9"/>
    <w:rsid w:val="00DF06F9"/>
    <w:rsid w:val="00E37359"/>
    <w:rsid w:val="00E427A5"/>
    <w:rsid w:val="00E80DDD"/>
    <w:rsid w:val="00E86396"/>
    <w:rsid w:val="00EA4208"/>
    <w:rsid w:val="00EB1A7F"/>
    <w:rsid w:val="00ED2ADB"/>
    <w:rsid w:val="00F14B0B"/>
    <w:rsid w:val="00F437FD"/>
    <w:rsid w:val="00F56246"/>
    <w:rsid w:val="00F70AB4"/>
    <w:rsid w:val="00F70FC2"/>
    <w:rsid w:val="00F94447"/>
    <w:rsid w:val="00FC678F"/>
    <w:rsid w:val="012A19D7"/>
    <w:rsid w:val="01833FA6"/>
    <w:rsid w:val="018A118F"/>
    <w:rsid w:val="01A45EA6"/>
    <w:rsid w:val="01AE54A1"/>
    <w:rsid w:val="01B03162"/>
    <w:rsid w:val="01B64161"/>
    <w:rsid w:val="01B9160E"/>
    <w:rsid w:val="01C03FF8"/>
    <w:rsid w:val="01F20F15"/>
    <w:rsid w:val="022E5328"/>
    <w:rsid w:val="024B0EA1"/>
    <w:rsid w:val="02AD20FF"/>
    <w:rsid w:val="02BF2755"/>
    <w:rsid w:val="02CC7967"/>
    <w:rsid w:val="02DF54B0"/>
    <w:rsid w:val="02F6251A"/>
    <w:rsid w:val="030B5DC4"/>
    <w:rsid w:val="03167205"/>
    <w:rsid w:val="0317754A"/>
    <w:rsid w:val="034D6455"/>
    <w:rsid w:val="035B2981"/>
    <w:rsid w:val="035B2F08"/>
    <w:rsid w:val="03777EED"/>
    <w:rsid w:val="03897670"/>
    <w:rsid w:val="03AC630D"/>
    <w:rsid w:val="03AD57FB"/>
    <w:rsid w:val="041E3BBF"/>
    <w:rsid w:val="041F58CA"/>
    <w:rsid w:val="0423746C"/>
    <w:rsid w:val="042A6EF2"/>
    <w:rsid w:val="04506958"/>
    <w:rsid w:val="04531B77"/>
    <w:rsid w:val="0471332C"/>
    <w:rsid w:val="047657A1"/>
    <w:rsid w:val="04A73EFB"/>
    <w:rsid w:val="04DC7E15"/>
    <w:rsid w:val="04E16CD7"/>
    <w:rsid w:val="04E70524"/>
    <w:rsid w:val="05605365"/>
    <w:rsid w:val="058E6FEE"/>
    <w:rsid w:val="059F23C2"/>
    <w:rsid w:val="05A94B4C"/>
    <w:rsid w:val="05DD4CF6"/>
    <w:rsid w:val="05E078C4"/>
    <w:rsid w:val="05ED699C"/>
    <w:rsid w:val="0617574E"/>
    <w:rsid w:val="06243715"/>
    <w:rsid w:val="062D0292"/>
    <w:rsid w:val="06746EF2"/>
    <w:rsid w:val="067578E9"/>
    <w:rsid w:val="06862A2A"/>
    <w:rsid w:val="06933206"/>
    <w:rsid w:val="069F0F40"/>
    <w:rsid w:val="06C27182"/>
    <w:rsid w:val="06F10DB1"/>
    <w:rsid w:val="06F66D74"/>
    <w:rsid w:val="06FC256C"/>
    <w:rsid w:val="07167478"/>
    <w:rsid w:val="073B0269"/>
    <w:rsid w:val="075178AF"/>
    <w:rsid w:val="07944D56"/>
    <w:rsid w:val="07C7243D"/>
    <w:rsid w:val="07E746F1"/>
    <w:rsid w:val="07EE2F85"/>
    <w:rsid w:val="07F8017D"/>
    <w:rsid w:val="081A31D6"/>
    <w:rsid w:val="084D4EB4"/>
    <w:rsid w:val="086D0E3E"/>
    <w:rsid w:val="087C0E6B"/>
    <w:rsid w:val="088D40B6"/>
    <w:rsid w:val="08A232D4"/>
    <w:rsid w:val="08C91E21"/>
    <w:rsid w:val="08D8360E"/>
    <w:rsid w:val="08E04924"/>
    <w:rsid w:val="08F97250"/>
    <w:rsid w:val="09097EE5"/>
    <w:rsid w:val="090B5D2E"/>
    <w:rsid w:val="09412D13"/>
    <w:rsid w:val="09424B8B"/>
    <w:rsid w:val="096653BB"/>
    <w:rsid w:val="099360F9"/>
    <w:rsid w:val="09A16939"/>
    <w:rsid w:val="09A266E0"/>
    <w:rsid w:val="09E11F77"/>
    <w:rsid w:val="09EE5FE8"/>
    <w:rsid w:val="09F27D9C"/>
    <w:rsid w:val="09F558AC"/>
    <w:rsid w:val="0A2444C3"/>
    <w:rsid w:val="0A3B108F"/>
    <w:rsid w:val="0A3D04B9"/>
    <w:rsid w:val="0A425D6E"/>
    <w:rsid w:val="0A5B7EBA"/>
    <w:rsid w:val="0A8755D8"/>
    <w:rsid w:val="0A9E2EDD"/>
    <w:rsid w:val="0AA24466"/>
    <w:rsid w:val="0AA608D1"/>
    <w:rsid w:val="0AB54E9C"/>
    <w:rsid w:val="0ACC1639"/>
    <w:rsid w:val="0ACE5434"/>
    <w:rsid w:val="0AD27412"/>
    <w:rsid w:val="0AE15D09"/>
    <w:rsid w:val="0AE31E17"/>
    <w:rsid w:val="0B371A28"/>
    <w:rsid w:val="0B77219B"/>
    <w:rsid w:val="0BC7614E"/>
    <w:rsid w:val="0BD13BA5"/>
    <w:rsid w:val="0BD505CD"/>
    <w:rsid w:val="0C041917"/>
    <w:rsid w:val="0C0529AA"/>
    <w:rsid w:val="0C2C7CAB"/>
    <w:rsid w:val="0C31789C"/>
    <w:rsid w:val="0C497F29"/>
    <w:rsid w:val="0C727AAD"/>
    <w:rsid w:val="0CE06C55"/>
    <w:rsid w:val="0CF14A50"/>
    <w:rsid w:val="0CF348E7"/>
    <w:rsid w:val="0D05649D"/>
    <w:rsid w:val="0D200DE2"/>
    <w:rsid w:val="0D243986"/>
    <w:rsid w:val="0D3976A3"/>
    <w:rsid w:val="0D49742D"/>
    <w:rsid w:val="0D5F3DEA"/>
    <w:rsid w:val="0D936831"/>
    <w:rsid w:val="0DEA354F"/>
    <w:rsid w:val="0DF222C3"/>
    <w:rsid w:val="0E0F105C"/>
    <w:rsid w:val="0E154680"/>
    <w:rsid w:val="0E466F50"/>
    <w:rsid w:val="0E764303"/>
    <w:rsid w:val="0E8E42A2"/>
    <w:rsid w:val="0EB21F48"/>
    <w:rsid w:val="0EB338AF"/>
    <w:rsid w:val="0EDE679C"/>
    <w:rsid w:val="0EED5795"/>
    <w:rsid w:val="0F025BBE"/>
    <w:rsid w:val="0F1361DC"/>
    <w:rsid w:val="0F883DED"/>
    <w:rsid w:val="0FBB3E7D"/>
    <w:rsid w:val="0FE7041B"/>
    <w:rsid w:val="101F26DE"/>
    <w:rsid w:val="106D6770"/>
    <w:rsid w:val="107D3EA1"/>
    <w:rsid w:val="10872D11"/>
    <w:rsid w:val="109127D2"/>
    <w:rsid w:val="1103555C"/>
    <w:rsid w:val="11104A88"/>
    <w:rsid w:val="11247EC8"/>
    <w:rsid w:val="114B3280"/>
    <w:rsid w:val="11742CD7"/>
    <w:rsid w:val="117626DC"/>
    <w:rsid w:val="117A22C1"/>
    <w:rsid w:val="11854308"/>
    <w:rsid w:val="11960444"/>
    <w:rsid w:val="11980FF7"/>
    <w:rsid w:val="11B07826"/>
    <w:rsid w:val="11B70B27"/>
    <w:rsid w:val="11D906E8"/>
    <w:rsid w:val="122D7FC6"/>
    <w:rsid w:val="127F7F3C"/>
    <w:rsid w:val="12855751"/>
    <w:rsid w:val="12C57C50"/>
    <w:rsid w:val="12FF6BAA"/>
    <w:rsid w:val="1319260B"/>
    <w:rsid w:val="13216C63"/>
    <w:rsid w:val="134A6B85"/>
    <w:rsid w:val="136D6219"/>
    <w:rsid w:val="13764072"/>
    <w:rsid w:val="13A020DA"/>
    <w:rsid w:val="13A22A4D"/>
    <w:rsid w:val="13A8699E"/>
    <w:rsid w:val="13C23369"/>
    <w:rsid w:val="13C45D20"/>
    <w:rsid w:val="13C64A1E"/>
    <w:rsid w:val="13C871D4"/>
    <w:rsid w:val="13E111B9"/>
    <w:rsid w:val="13E1555D"/>
    <w:rsid w:val="13EB5139"/>
    <w:rsid w:val="13F5580F"/>
    <w:rsid w:val="140A360F"/>
    <w:rsid w:val="14255CFC"/>
    <w:rsid w:val="145D5E4F"/>
    <w:rsid w:val="14641FAC"/>
    <w:rsid w:val="14AD1748"/>
    <w:rsid w:val="14B307C3"/>
    <w:rsid w:val="14E82EB7"/>
    <w:rsid w:val="14E87FD8"/>
    <w:rsid w:val="14EB1444"/>
    <w:rsid w:val="14EE5B3D"/>
    <w:rsid w:val="14F6021E"/>
    <w:rsid w:val="15105E05"/>
    <w:rsid w:val="153C62E9"/>
    <w:rsid w:val="156D2B36"/>
    <w:rsid w:val="1571672E"/>
    <w:rsid w:val="159C5C6A"/>
    <w:rsid w:val="15BC311B"/>
    <w:rsid w:val="15EB2077"/>
    <w:rsid w:val="163B64BE"/>
    <w:rsid w:val="166B5404"/>
    <w:rsid w:val="16807F8F"/>
    <w:rsid w:val="16845276"/>
    <w:rsid w:val="16A9043A"/>
    <w:rsid w:val="16D1201A"/>
    <w:rsid w:val="16F01C1E"/>
    <w:rsid w:val="16F75F07"/>
    <w:rsid w:val="17224036"/>
    <w:rsid w:val="172E534F"/>
    <w:rsid w:val="178642C9"/>
    <w:rsid w:val="17BB265D"/>
    <w:rsid w:val="17BF43D7"/>
    <w:rsid w:val="18047694"/>
    <w:rsid w:val="18137B6E"/>
    <w:rsid w:val="182F467F"/>
    <w:rsid w:val="18455C50"/>
    <w:rsid w:val="18493E1A"/>
    <w:rsid w:val="18672D11"/>
    <w:rsid w:val="188D7FF1"/>
    <w:rsid w:val="18CD09E2"/>
    <w:rsid w:val="18F14A0A"/>
    <w:rsid w:val="19113A60"/>
    <w:rsid w:val="1918157B"/>
    <w:rsid w:val="194303E2"/>
    <w:rsid w:val="19463153"/>
    <w:rsid w:val="197A72F2"/>
    <w:rsid w:val="19B36621"/>
    <w:rsid w:val="19B4741B"/>
    <w:rsid w:val="19BB2700"/>
    <w:rsid w:val="19FA5E46"/>
    <w:rsid w:val="1A096ADB"/>
    <w:rsid w:val="1A0C2BAD"/>
    <w:rsid w:val="1A12131B"/>
    <w:rsid w:val="1A1F00A3"/>
    <w:rsid w:val="1A3C428F"/>
    <w:rsid w:val="1A550DE6"/>
    <w:rsid w:val="1A625F3F"/>
    <w:rsid w:val="1A683FD2"/>
    <w:rsid w:val="1A7A15C7"/>
    <w:rsid w:val="1AA9424C"/>
    <w:rsid w:val="1AD60B9C"/>
    <w:rsid w:val="1AF12BA1"/>
    <w:rsid w:val="1B117611"/>
    <w:rsid w:val="1B1F18E0"/>
    <w:rsid w:val="1B2700D5"/>
    <w:rsid w:val="1B2A6A7C"/>
    <w:rsid w:val="1BAF5FC5"/>
    <w:rsid w:val="1BD0691D"/>
    <w:rsid w:val="1BD80683"/>
    <w:rsid w:val="1BE75534"/>
    <w:rsid w:val="1BE96A15"/>
    <w:rsid w:val="1BF71E5A"/>
    <w:rsid w:val="1C1F67D0"/>
    <w:rsid w:val="1C4919BA"/>
    <w:rsid w:val="1C4A5721"/>
    <w:rsid w:val="1C52562E"/>
    <w:rsid w:val="1CB6502E"/>
    <w:rsid w:val="1CC14A50"/>
    <w:rsid w:val="1CE82036"/>
    <w:rsid w:val="1D4C36EE"/>
    <w:rsid w:val="1D5B4A05"/>
    <w:rsid w:val="1D696A8F"/>
    <w:rsid w:val="1D7962C2"/>
    <w:rsid w:val="1D9A3406"/>
    <w:rsid w:val="1DAF3642"/>
    <w:rsid w:val="1DB23D4C"/>
    <w:rsid w:val="1DD239F4"/>
    <w:rsid w:val="1DDF7A40"/>
    <w:rsid w:val="1E5B61CE"/>
    <w:rsid w:val="1E6E3283"/>
    <w:rsid w:val="1E7948A6"/>
    <w:rsid w:val="1EAA1B52"/>
    <w:rsid w:val="1EC14987"/>
    <w:rsid w:val="1ECC2C27"/>
    <w:rsid w:val="1ECE6B98"/>
    <w:rsid w:val="1ED734E5"/>
    <w:rsid w:val="1EFF27A7"/>
    <w:rsid w:val="1F1117AA"/>
    <w:rsid w:val="1F142461"/>
    <w:rsid w:val="1F217497"/>
    <w:rsid w:val="1F31717B"/>
    <w:rsid w:val="1F514A08"/>
    <w:rsid w:val="1F6924FB"/>
    <w:rsid w:val="1F956CE8"/>
    <w:rsid w:val="1FA64116"/>
    <w:rsid w:val="1FB70EC3"/>
    <w:rsid w:val="1FD37645"/>
    <w:rsid w:val="2044674A"/>
    <w:rsid w:val="20452C91"/>
    <w:rsid w:val="20621A95"/>
    <w:rsid w:val="20752D26"/>
    <w:rsid w:val="2099525C"/>
    <w:rsid w:val="20C60576"/>
    <w:rsid w:val="20E84557"/>
    <w:rsid w:val="21604D28"/>
    <w:rsid w:val="217F2A6B"/>
    <w:rsid w:val="21AF38B6"/>
    <w:rsid w:val="21CC43B5"/>
    <w:rsid w:val="21D63E62"/>
    <w:rsid w:val="21D74795"/>
    <w:rsid w:val="21DC1109"/>
    <w:rsid w:val="21E8782D"/>
    <w:rsid w:val="21FB192E"/>
    <w:rsid w:val="2219511E"/>
    <w:rsid w:val="22227C0D"/>
    <w:rsid w:val="2223384E"/>
    <w:rsid w:val="22507780"/>
    <w:rsid w:val="22576ECB"/>
    <w:rsid w:val="22623689"/>
    <w:rsid w:val="22632617"/>
    <w:rsid w:val="22926E1B"/>
    <w:rsid w:val="229755DF"/>
    <w:rsid w:val="22A35639"/>
    <w:rsid w:val="22EC6F5C"/>
    <w:rsid w:val="23190347"/>
    <w:rsid w:val="232560D4"/>
    <w:rsid w:val="232D6887"/>
    <w:rsid w:val="23616034"/>
    <w:rsid w:val="23AD5138"/>
    <w:rsid w:val="23FE6266"/>
    <w:rsid w:val="24367356"/>
    <w:rsid w:val="243B4B7E"/>
    <w:rsid w:val="24456491"/>
    <w:rsid w:val="24682C91"/>
    <w:rsid w:val="247F55BF"/>
    <w:rsid w:val="249534B2"/>
    <w:rsid w:val="24A416A4"/>
    <w:rsid w:val="24C12F15"/>
    <w:rsid w:val="24D637E6"/>
    <w:rsid w:val="24E46941"/>
    <w:rsid w:val="250A5340"/>
    <w:rsid w:val="254A6CCB"/>
    <w:rsid w:val="25540F05"/>
    <w:rsid w:val="256E7CC8"/>
    <w:rsid w:val="258D0105"/>
    <w:rsid w:val="25B41184"/>
    <w:rsid w:val="25E74BCF"/>
    <w:rsid w:val="25F3052E"/>
    <w:rsid w:val="25FF5CB5"/>
    <w:rsid w:val="261D2FA2"/>
    <w:rsid w:val="264E2DEA"/>
    <w:rsid w:val="26853288"/>
    <w:rsid w:val="269F4739"/>
    <w:rsid w:val="26B51013"/>
    <w:rsid w:val="26C775B9"/>
    <w:rsid w:val="26ED2D8A"/>
    <w:rsid w:val="26F80097"/>
    <w:rsid w:val="270A6EB6"/>
    <w:rsid w:val="270B368D"/>
    <w:rsid w:val="27294E1E"/>
    <w:rsid w:val="273B479F"/>
    <w:rsid w:val="27AF4FC9"/>
    <w:rsid w:val="27B637CD"/>
    <w:rsid w:val="27D17886"/>
    <w:rsid w:val="28025FA9"/>
    <w:rsid w:val="280D30B2"/>
    <w:rsid w:val="2817090F"/>
    <w:rsid w:val="281C5836"/>
    <w:rsid w:val="28221DE9"/>
    <w:rsid w:val="283009C9"/>
    <w:rsid w:val="28305237"/>
    <w:rsid w:val="283F1294"/>
    <w:rsid w:val="28624A57"/>
    <w:rsid w:val="288527C5"/>
    <w:rsid w:val="28947EC4"/>
    <w:rsid w:val="28BF307E"/>
    <w:rsid w:val="28FC2420"/>
    <w:rsid w:val="291734FD"/>
    <w:rsid w:val="29384ED8"/>
    <w:rsid w:val="295A3164"/>
    <w:rsid w:val="29705CEA"/>
    <w:rsid w:val="297E242D"/>
    <w:rsid w:val="29811B90"/>
    <w:rsid w:val="29BD3E0B"/>
    <w:rsid w:val="29E21B6C"/>
    <w:rsid w:val="2A042A39"/>
    <w:rsid w:val="2A231C40"/>
    <w:rsid w:val="2A240B9B"/>
    <w:rsid w:val="2A2C49CF"/>
    <w:rsid w:val="2A50170A"/>
    <w:rsid w:val="2A535DBD"/>
    <w:rsid w:val="2A6B7798"/>
    <w:rsid w:val="2A885BBC"/>
    <w:rsid w:val="2A9B498E"/>
    <w:rsid w:val="2A9C2048"/>
    <w:rsid w:val="2AD158D8"/>
    <w:rsid w:val="2ADE65A8"/>
    <w:rsid w:val="2AE515B4"/>
    <w:rsid w:val="2AE80315"/>
    <w:rsid w:val="2AF3075A"/>
    <w:rsid w:val="2AF7795E"/>
    <w:rsid w:val="2AFB2CE1"/>
    <w:rsid w:val="2B053749"/>
    <w:rsid w:val="2B1E3C53"/>
    <w:rsid w:val="2B405BF8"/>
    <w:rsid w:val="2B440722"/>
    <w:rsid w:val="2BB733CE"/>
    <w:rsid w:val="2BCD7F93"/>
    <w:rsid w:val="2BCE05EE"/>
    <w:rsid w:val="2BD3132D"/>
    <w:rsid w:val="2C041730"/>
    <w:rsid w:val="2C16751E"/>
    <w:rsid w:val="2C1874AC"/>
    <w:rsid w:val="2C1D0823"/>
    <w:rsid w:val="2C1D334E"/>
    <w:rsid w:val="2C2372FA"/>
    <w:rsid w:val="2C46390C"/>
    <w:rsid w:val="2C472487"/>
    <w:rsid w:val="2C512737"/>
    <w:rsid w:val="2C5F02A1"/>
    <w:rsid w:val="2C7931E6"/>
    <w:rsid w:val="2C8775A9"/>
    <w:rsid w:val="2CA269EF"/>
    <w:rsid w:val="2CB177FA"/>
    <w:rsid w:val="2CB8452C"/>
    <w:rsid w:val="2CDA35B0"/>
    <w:rsid w:val="2CDD5278"/>
    <w:rsid w:val="2CE63FAE"/>
    <w:rsid w:val="2CF21812"/>
    <w:rsid w:val="2D0B13C9"/>
    <w:rsid w:val="2D2B1E4B"/>
    <w:rsid w:val="2D480A43"/>
    <w:rsid w:val="2D5A0A13"/>
    <w:rsid w:val="2D6C531D"/>
    <w:rsid w:val="2D827DBA"/>
    <w:rsid w:val="2DC03A36"/>
    <w:rsid w:val="2DEB3233"/>
    <w:rsid w:val="2DEE03A1"/>
    <w:rsid w:val="2DFE2F26"/>
    <w:rsid w:val="2E043FD8"/>
    <w:rsid w:val="2E0D2590"/>
    <w:rsid w:val="2E1168A9"/>
    <w:rsid w:val="2E624B17"/>
    <w:rsid w:val="2E666BF4"/>
    <w:rsid w:val="2E973FCD"/>
    <w:rsid w:val="2E9D13BA"/>
    <w:rsid w:val="2EAA5102"/>
    <w:rsid w:val="2ED221DD"/>
    <w:rsid w:val="2ED25F7A"/>
    <w:rsid w:val="2ED33B5E"/>
    <w:rsid w:val="2EF347D2"/>
    <w:rsid w:val="2F3D759A"/>
    <w:rsid w:val="2F441367"/>
    <w:rsid w:val="2F5E2BCF"/>
    <w:rsid w:val="2F686C4D"/>
    <w:rsid w:val="2FBE3D20"/>
    <w:rsid w:val="300C73E9"/>
    <w:rsid w:val="30223EBE"/>
    <w:rsid w:val="30542987"/>
    <w:rsid w:val="306901D4"/>
    <w:rsid w:val="307F7299"/>
    <w:rsid w:val="307F74A1"/>
    <w:rsid w:val="30B25C8A"/>
    <w:rsid w:val="31151237"/>
    <w:rsid w:val="311E1EFF"/>
    <w:rsid w:val="311F439F"/>
    <w:rsid w:val="31532C6E"/>
    <w:rsid w:val="3164397B"/>
    <w:rsid w:val="316F11E4"/>
    <w:rsid w:val="318D2D29"/>
    <w:rsid w:val="31A34857"/>
    <w:rsid w:val="31B23F53"/>
    <w:rsid w:val="31E241A8"/>
    <w:rsid w:val="31F35A2E"/>
    <w:rsid w:val="31F86A71"/>
    <w:rsid w:val="31FB5C7D"/>
    <w:rsid w:val="321220EE"/>
    <w:rsid w:val="324A2760"/>
    <w:rsid w:val="325720BC"/>
    <w:rsid w:val="325C3591"/>
    <w:rsid w:val="326528D4"/>
    <w:rsid w:val="32671A6C"/>
    <w:rsid w:val="326C75A1"/>
    <w:rsid w:val="327B3956"/>
    <w:rsid w:val="3294106D"/>
    <w:rsid w:val="32983306"/>
    <w:rsid w:val="32B3488C"/>
    <w:rsid w:val="32BE001A"/>
    <w:rsid w:val="32DD772C"/>
    <w:rsid w:val="32E11456"/>
    <w:rsid w:val="332817F2"/>
    <w:rsid w:val="332D302E"/>
    <w:rsid w:val="33312CB7"/>
    <w:rsid w:val="33331FD2"/>
    <w:rsid w:val="333D5D04"/>
    <w:rsid w:val="334B26E6"/>
    <w:rsid w:val="34266ACD"/>
    <w:rsid w:val="343B584E"/>
    <w:rsid w:val="34433327"/>
    <w:rsid w:val="3447322A"/>
    <w:rsid w:val="34670F65"/>
    <w:rsid w:val="34736DB4"/>
    <w:rsid w:val="34876319"/>
    <w:rsid w:val="34A3344D"/>
    <w:rsid w:val="34A85516"/>
    <w:rsid w:val="34B76F3E"/>
    <w:rsid w:val="34B92420"/>
    <w:rsid w:val="34C55279"/>
    <w:rsid w:val="34DB096E"/>
    <w:rsid w:val="3506562F"/>
    <w:rsid w:val="351A73F7"/>
    <w:rsid w:val="35203D3D"/>
    <w:rsid w:val="35380547"/>
    <w:rsid w:val="35574FF3"/>
    <w:rsid w:val="357F7873"/>
    <w:rsid w:val="358711AF"/>
    <w:rsid w:val="359D1FFB"/>
    <w:rsid w:val="35E44C86"/>
    <w:rsid w:val="35E76E26"/>
    <w:rsid w:val="35EB32C4"/>
    <w:rsid w:val="361F1BCC"/>
    <w:rsid w:val="3628364E"/>
    <w:rsid w:val="36392E40"/>
    <w:rsid w:val="365A38D2"/>
    <w:rsid w:val="36CA3728"/>
    <w:rsid w:val="36D604BD"/>
    <w:rsid w:val="36EE3C2B"/>
    <w:rsid w:val="36EF3694"/>
    <w:rsid w:val="36F904FC"/>
    <w:rsid w:val="36FC3788"/>
    <w:rsid w:val="373F5038"/>
    <w:rsid w:val="374A7C7E"/>
    <w:rsid w:val="378436D0"/>
    <w:rsid w:val="37940C39"/>
    <w:rsid w:val="37C70AF9"/>
    <w:rsid w:val="38167300"/>
    <w:rsid w:val="382A44FF"/>
    <w:rsid w:val="38764A56"/>
    <w:rsid w:val="389A3B6E"/>
    <w:rsid w:val="38B17371"/>
    <w:rsid w:val="38B54518"/>
    <w:rsid w:val="38C42EEC"/>
    <w:rsid w:val="38F75E22"/>
    <w:rsid w:val="390437AA"/>
    <w:rsid w:val="39142EB9"/>
    <w:rsid w:val="39172649"/>
    <w:rsid w:val="393B1CCA"/>
    <w:rsid w:val="39796C6D"/>
    <w:rsid w:val="398937F5"/>
    <w:rsid w:val="39931DBA"/>
    <w:rsid w:val="39BB1767"/>
    <w:rsid w:val="39CB3B53"/>
    <w:rsid w:val="39D519FD"/>
    <w:rsid w:val="39DA0405"/>
    <w:rsid w:val="3A116755"/>
    <w:rsid w:val="3A155772"/>
    <w:rsid w:val="3A2D1493"/>
    <w:rsid w:val="3A3C3058"/>
    <w:rsid w:val="3A3E2031"/>
    <w:rsid w:val="3A44287C"/>
    <w:rsid w:val="3A473272"/>
    <w:rsid w:val="3A485400"/>
    <w:rsid w:val="3A4E1F80"/>
    <w:rsid w:val="3A53017B"/>
    <w:rsid w:val="3A590086"/>
    <w:rsid w:val="3A5A51DD"/>
    <w:rsid w:val="3A66353F"/>
    <w:rsid w:val="3A7C2522"/>
    <w:rsid w:val="3A8521B0"/>
    <w:rsid w:val="3AB80023"/>
    <w:rsid w:val="3ABF42DF"/>
    <w:rsid w:val="3B6228E3"/>
    <w:rsid w:val="3B685742"/>
    <w:rsid w:val="3B8D4E55"/>
    <w:rsid w:val="3B986F4A"/>
    <w:rsid w:val="3B9B4F70"/>
    <w:rsid w:val="3BAA43CF"/>
    <w:rsid w:val="3BAB4DEE"/>
    <w:rsid w:val="3BB45A55"/>
    <w:rsid w:val="3BD80D9F"/>
    <w:rsid w:val="3C053461"/>
    <w:rsid w:val="3C2F5AC2"/>
    <w:rsid w:val="3C334FBE"/>
    <w:rsid w:val="3C3A1176"/>
    <w:rsid w:val="3C417263"/>
    <w:rsid w:val="3C5941EE"/>
    <w:rsid w:val="3C75395B"/>
    <w:rsid w:val="3C815C3E"/>
    <w:rsid w:val="3CD03DD5"/>
    <w:rsid w:val="3CDA60C5"/>
    <w:rsid w:val="3CFD5EB1"/>
    <w:rsid w:val="3D0C0619"/>
    <w:rsid w:val="3D1363F8"/>
    <w:rsid w:val="3D254663"/>
    <w:rsid w:val="3D516BD4"/>
    <w:rsid w:val="3D593B7A"/>
    <w:rsid w:val="3DDE50B4"/>
    <w:rsid w:val="3DE05C53"/>
    <w:rsid w:val="3E171E31"/>
    <w:rsid w:val="3E357431"/>
    <w:rsid w:val="3E3839DE"/>
    <w:rsid w:val="3E422075"/>
    <w:rsid w:val="3E6678A1"/>
    <w:rsid w:val="3E8341D4"/>
    <w:rsid w:val="3EC12D7D"/>
    <w:rsid w:val="3EC652AC"/>
    <w:rsid w:val="3ED32971"/>
    <w:rsid w:val="3F087113"/>
    <w:rsid w:val="3F371E36"/>
    <w:rsid w:val="3F3D32FC"/>
    <w:rsid w:val="3F585DE2"/>
    <w:rsid w:val="3F957090"/>
    <w:rsid w:val="3FB07F0A"/>
    <w:rsid w:val="3FB23F29"/>
    <w:rsid w:val="3FE65C93"/>
    <w:rsid w:val="400132C3"/>
    <w:rsid w:val="40095632"/>
    <w:rsid w:val="400E4E36"/>
    <w:rsid w:val="401060D0"/>
    <w:rsid w:val="402278FE"/>
    <w:rsid w:val="40482C75"/>
    <w:rsid w:val="4062012A"/>
    <w:rsid w:val="40B87006"/>
    <w:rsid w:val="40DC166F"/>
    <w:rsid w:val="40E0178C"/>
    <w:rsid w:val="415F3059"/>
    <w:rsid w:val="416F2BB1"/>
    <w:rsid w:val="41725DEA"/>
    <w:rsid w:val="41787EA8"/>
    <w:rsid w:val="419140A4"/>
    <w:rsid w:val="41AA603D"/>
    <w:rsid w:val="41C24EC1"/>
    <w:rsid w:val="41C364B7"/>
    <w:rsid w:val="41DD476A"/>
    <w:rsid w:val="42246420"/>
    <w:rsid w:val="422538AF"/>
    <w:rsid w:val="42273F38"/>
    <w:rsid w:val="42526CAB"/>
    <w:rsid w:val="42707CC6"/>
    <w:rsid w:val="42772A8C"/>
    <w:rsid w:val="427E23AB"/>
    <w:rsid w:val="42837EB7"/>
    <w:rsid w:val="428E66E2"/>
    <w:rsid w:val="42B27CA9"/>
    <w:rsid w:val="4305066A"/>
    <w:rsid w:val="431467C7"/>
    <w:rsid w:val="4360262C"/>
    <w:rsid w:val="436E4E23"/>
    <w:rsid w:val="439E18C6"/>
    <w:rsid w:val="43DF3C6F"/>
    <w:rsid w:val="44136A7F"/>
    <w:rsid w:val="441E2F2A"/>
    <w:rsid w:val="44764854"/>
    <w:rsid w:val="44924F64"/>
    <w:rsid w:val="44953BD4"/>
    <w:rsid w:val="44A02CBB"/>
    <w:rsid w:val="44B96AB4"/>
    <w:rsid w:val="44C04E15"/>
    <w:rsid w:val="44ED5BCE"/>
    <w:rsid w:val="44F83978"/>
    <w:rsid w:val="45066036"/>
    <w:rsid w:val="45067A1F"/>
    <w:rsid w:val="45624384"/>
    <w:rsid w:val="456404C1"/>
    <w:rsid w:val="456C2D9A"/>
    <w:rsid w:val="45AD3207"/>
    <w:rsid w:val="45B13262"/>
    <w:rsid w:val="45B21C76"/>
    <w:rsid w:val="45C13798"/>
    <w:rsid w:val="45CD0160"/>
    <w:rsid w:val="45F03C17"/>
    <w:rsid w:val="45F3657A"/>
    <w:rsid w:val="4631143E"/>
    <w:rsid w:val="463E5FF8"/>
    <w:rsid w:val="46733805"/>
    <w:rsid w:val="46745316"/>
    <w:rsid w:val="468111ED"/>
    <w:rsid w:val="46894867"/>
    <w:rsid w:val="46A11D57"/>
    <w:rsid w:val="46B1167B"/>
    <w:rsid w:val="46BF49CF"/>
    <w:rsid w:val="46C3717F"/>
    <w:rsid w:val="46C638C3"/>
    <w:rsid w:val="470E2DEB"/>
    <w:rsid w:val="471129E2"/>
    <w:rsid w:val="472317AD"/>
    <w:rsid w:val="472A13E5"/>
    <w:rsid w:val="47411125"/>
    <w:rsid w:val="478B2DD0"/>
    <w:rsid w:val="478B6661"/>
    <w:rsid w:val="479D3821"/>
    <w:rsid w:val="47DB5B06"/>
    <w:rsid w:val="480C0F07"/>
    <w:rsid w:val="48112BAA"/>
    <w:rsid w:val="482921BE"/>
    <w:rsid w:val="482B03DB"/>
    <w:rsid w:val="48B536BB"/>
    <w:rsid w:val="48B6221D"/>
    <w:rsid w:val="48B87BF5"/>
    <w:rsid w:val="48BB7EDC"/>
    <w:rsid w:val="48D52C93"/>
    <w:rsid w:val="48D97D0C"/>
    <w:rsid w:val="48DC29C9"/>
    <w:rsid w:val="48FD2FDF"/>
    <w:rsid w:val="49066BB2"/>
    <w:rsid w:val="4912663E"/>
    <w:rsid w:val="492276B6"/>
    <w:rsid w:val="49260394"/>
    <w:rsid w:val="4950694E"/>
    <w:rsid w:val="495B0710"/>
    <w:rsid w:val="495E181A"/>
    <w:rsid w:val="496D65C1"/>
    <w:rsid w:val="498871D3"/>
    <w:rsid w:val="49B24150"/>
    <w:rsid w:val="49E1146A"/>
    <w:rsid w:val="4A0F5022"/>
    <w:rsid w:val="4A175FC6"/>
    <w:rsid w:val="4A9046CE"/>
    <w:rsid w:val="4AA46683"/>
    <w:rsid w:val="4AD11111"/>
    <w:rsid w:val="4B017754"/>
    <w:rsid w:val="4B1910AF"/>
    <w:rsid w:val="4B193170"/>
    <w:rsid w:val="4B226013"/>
    <w:rsid w:val="4B331689"/>
    <w:rsid w:val="4B4F0BAC"/>
    <w:rsid w:val="4B6E03CA"/>
    <w:rsid w:val="4B6E4EE3"/>
    <w:rsid w:val="4B77600E"/>
    <w:rsid w:val="4B84086D"/>
    <w:rsid w:val="4B8B2562"/>
    <w:rsid w:val="4BA85084"/>
    <w:rsid w:val="4C04492D"/>
    <w:rsid w:val="4C080EBF"/>
    <w:rsid w:val="4C0D2006"/>
    <w:rsid w:val="4C0E5FC2"/>
    <w:rsid w:val="4C854292"/>
    <w:rsid w:val="4CA84E5A"/>
    <w:rsid w:val="4CB84093"/>
    <w:rsid w:val="4CBC095B"/>
    <w:rsid w:val="4CC87466"/>
    <w:rsid w:val="4CF40B36"/>
    <w:rsid w:val="4CF53E2B"/>
    <w:rsid w:val="4D6369BC"/>
    <w:rsid w:val="4D8E3705"/>
    <w:rsid w:val="4DA84E2C"/>
    <w:rsid w:val="4DB41EC6"/>
    <w:rsid w:val="4DCB27FE"/>
    <w:rsid w:val="4DD76183"/>
    <w:rsid w:val="4E092423"/>
    <w:rsid w:val="4E0E052F"/>
    <w:rsid w:val="4E2276EC"/>
    <w:rsid w:val="4E3D24CB"/>
    <w:rsid w:val="4E727053"/>
    <w:rsid w:val="4E824A26"/>
    <w:rsid w:val="4EA92C63"/>
    <w:rsid w:val="4EC21D16"/>
    <w:rsid w:val="4ED2770E"/>
    <w:rsid w:val="4F004180"/>
    <w:rsid w:val="4F2A7373"/>
    <w:rsid w:val="4F593E0E"/>
    <w:rsid w:val="4F78063B"/>
    <w:rsid w:val="4F816A9D"/>
    <w:rsid w:val="4F9F24D7"/>
    <w:rsid w:val="4FFD3414"/>
    <w:rsid w:val="502F2945"/>
    <w:rsid w:val="503C14CC"/>
    <w:rsid w:val="503E4FF6"/>
    <w:rsid w:val="506C4B01"/>
    <w:rsid w:val="508411B3"/>
    <w:rsid w:val="50985C8A"/>
    <w:rsid w:val="50987B85"/>
    <w:rsid w:val="50E03105"/>
    <w:rsid w:val="51087C41"/>
    <w:rsid w:val="511C705C"/>
    <w:rsid w:val="51425990"/>
    <w:rsid w:val="514428C3"/>
    <w:rsid w:val="51680372"/>
    <w:rsid w:val="516B0545"/>
    <w:rsid w:val="51C23892"/>
    <w:rsid w:val="51CF483C"/>
    <w:rsid w:val="51EC197F"/>
    <w:rsid w:val="5215761A"/>
    <w:rsid w:val="52392F3B"/>
    <w:rsid w:val="52655DA9"/>
    <w:rsid w:val="5268268C"/>
    <w:rsid w:val="527A161B"/>
    <w:rsid w:val="52BA2C3F"/>
    <w:rsid w:val="52BF7DD2"/>
    <w:rsid w:val="52D94912"/>
    <w:rsid w:val="52E22AAE"/>
    <w:rsid w:val="52E528D7"/>
    <w:rsid w:val="52F43F1F"/>
    <w:rsid w:val="52F745BD"/>
    <w:rsid w:val="52FF08B7"/>
    <w:rsid w:val="530C1EF9"/>
    <w:rsid w:val="5321043D"/>
    <w:rsid w:val="533531E5"/>
    <w:rsid w:val="53456529"/>
    <w:rsid w:val="53692EE2"/>
    <w:rsid w:val="536D4482"/>
    <w:rsid w:val="537717CC"/>
    <w:rsid w:val="538745CB"/>
    <w:rsid w:val="53A229A8"/>
    <w:rsid w:val="53AA632D"/>
    <w:rsid w:val="53C26474"/>
    <w:rsid w:val="53D91734"/>
    <w:rsid w:val="53E07C2F"/>
    <w:rsid w:val="541007B2"/>
    <w:rsid w:val="54205659"/>
    <w:rsid w:val="54291298"/>
    <w:rsid w:val="546A34B1"/>
    <w:rsid w:val="5473186A"/>
    <w:rsid w:val="5487140A"/>
    <w:rsid w:val="54882B71"/>
    <w:rsid w:val="54D74CB2"/>
    <w:rsid w:val="54DA7C44"/>
    <w:rsid w:val="54DD2323"/>
    <w:rsid w:val="54EA1551"/>
    <w:rsid w:val="54FD5DC3"/>
    <w:rsid w:val="55047789"/>
    <w:rsid w:val="55484A00"/>
    <w:rsid w:val="55985029"/>
    <w:rsid w:val="55A30413"/>
    <w:rsid w:val="55A61C39"/>
    <w:rsid w:val="55C811DF"/>
    <w:rsid w:val="55CF36DD"/>
    <w:rsid w:val="55D91EF9"/>
    <w:rsid w:val="55E20566"/>
    <w:rsid w:val="55E2194A"/>
    <w:rsid w:val="56544B62"/>
    <w:rsid w:val="56562158"/>
    <w:rsid w:val="565F41D6"/>
    <w:rsid w:val="566A1169"/>
    <w:rsid w:val="56766867"/>
    <w:rsid w:val="5680499D"/>
    <w:rsid w:val="569805F8"/>
    <w:rsid w:val="56AF270D"/>
    <w:rsid w:val="56CB799F"/>
    <w:rsid w:val="56DD7451"/>
    <w:rsid w:val="56E37A64"/>
    <w:rsid w:val="56F95FA8"/>
    <w:rsid w:val="57026D91"/>
    <w:rsid w:val="57345806"/>
    <w:rsid w:val="573D5EC9"/>
    <w:rsid w:val="575E0F2D"/>
    <w:rsid w:val="576E6E17"/>
    <w:rsid w:val="57956A48"/>
    <w:rsid w:val="57B105E9"/>
    <w:rsid w:val="57BA7B07"/>
    <w:rsid w:val="57BB69E4"/>
    <w:rsid w:val="57FD0ED6"/>
    <w:rsid w:val="57FD4CF0"/>
    <w:rsid w:val="580828EB"/>
    <w:rsid w:val="583B76E8"/>
    <w:rsid w:val="58474866"/>
    <w:rsid w:val="585247E9"/>
    <w:rsid w:val="587524AD"/>
    <w:rsid w:val="58873140"/>
    <w:rsid w:val="5889381D"/>
    <w:rsid w:val="58924396"/>
    <w:rsid w:val="58C249DB"/>
    <w:rsid w:val="58E53696"/>
    <w:rsid w:val="590C103E"/>
    <w:rsid w:val="591C1727"/>
    <w:rsid w:val="5961154F"/>
    <w:rsid w:val="59623D40"/>
    <w:rsid w:val="59772B9B"/>
    <w:rsid w:val="598558D1"/>
    <w:rsid w:val="598734FC"/>
    <w:rsid w:val="598A0F9A"/>
    <w:rsid w:val="599F4054"/>
    <w:rsid w:val="59A02B9B"/>
    <w:rsid w:val="59BD13A7"/>
    <w:rsid w:val="59C7574B"/>
    <w:rsid w:val="59CB04DC"/>
    <w:rsid w:val="59E07B20"/>
    <w:rsid w:val="59F54928"/>
    <w:rsid w:val="5A00367C"/>
    <w:rsid w:val="5A1015D5"/>
    <w:rsid w:val="5A176391"/>
    <w:rsid w:val="5A597744"/>
    <w:rsid w:val="5A657F07"/>
    <w:rsid w:val="5A8C75ED"/>
    <w:rsid w:val="5A904B0A"/>
    <w:rsid w:val="5A9253C1"/>
    <w:rsid w:val="5A98233F"/>
    <w:rsid w:val="5A9A398E"/>
    <w:rsid w:val="5AB9469E"/>
    <w:rsid w:val="5B093831"/>
    <w:rsid w:val="5B3C38B1"/>
    <w:rsid w:val="5B54456B"/>
    <w:rsid w:val="5B710FD6"/>
    <w:rsid w:val="5B721D3E"/>
    <w:rsid w:val="5B757E56"/>
    <w:rsid w:val="5B8E57C0"/>
    <w:rsid w:val="5B8F6EC6"/>
    <w:rsid w:val="5B996042"/>
    <w:rsid w:val="5BC04D73"/>
    <w:rsid w:val="5BD65D9E"/>
    <w:rsid w:val="5BDC0A8A"/>
    <w:rsid w:val="5C1C6A78"/>
    <w:rsid w:val="5C1F1E1E"/>
    <w:rsid w:val="5C26610B"/>
    <w:rsid w:val="5C2B620D"/>
    <w:rsid w:val="5C3D149B"/>
    <w:rsid w:val="5C4E555F"/>
    <w:rsid w:val="5C6E6C14"/>
    <w:rsid w:val="5C963354"/>
    <w:rsid w:val="5C987697"/>
    <w:rsid w:val="5CA61831"/>
    <w:rsid w:val="5CAC0CE9"/>
    <w:rsid w:val="5CB25813"/>
    <w:rsid w:val="5CF94397"/>
    <w:rsid w:val="5D4753F9"/>
    <w:rsid w:val="5D717633"/>
    <w:rsid w:val="5DA72A00"/>
    <w:rsid w:val="5DBE7E0C"/>
    <w:rsid w:val="5DD45DA3"/>
    <w:rsid w:val="5DD93ED8"/>
    <w:rsid w:val="5DDE31B1"/>
    <w:rsid w:val="5DE51186"/>
    <w:rsid w:val="5DFF48B9"/>
    <w:rsid w:val="5E451AD3"/>
    <w:rsid w:val="5E4A6321"/>
    <w:rsid w:val="5E4B7E49"/>
    <w:rsid w:val="5E586414"/>
    <w:rsid w:val="5EED6E29"/>
    <w:rsid w:val="5F056261"/>
    <w:rsid w:val="5F1126BC"/>
    <w:rsid w:val="5F143762"/>
    <w:rsid w:val="5F3E511A"/>
    <w:rsid w:val="5F505548"/>
    <w:rsid w:val="5F565D85"/>
    <w:rsid w:val="5F5B7AFC"/>
    <w:rsid w:val="5F6F0A64"/>
    <w:rsid w:val="5FAE49E4"/>
    <w:rsid w:val="5FD63FF3"/>
    <w:rsid w:val="60286F80"/>
    <w:rsid w:val="6059721E"/>
    <w:rsid w:val="608D62DF"/>
    <w:rsid w:val="608E2296"/>
    <w:rsid w:val="60B7307D"/>
    <w:rsid w:val="60CD7AE9"/>
    <w:rsid w:val="60D52E5A"/>
    <w:rsid w:val="60D82FA1"/>
    <w:rsid w:val="60DD2A57"/>
    <w:rsid w:val="610B22E3"/>
    <w:rsid w:val="611C5E01"/>
    <w:rsid w:val="613C71BD"/>
    <w:rsid w:val="61866C6A"/>
    <w:rsid w:val="61D06281"/>
    <w:rsid w:val="61E176D9"/>
    <w:rsid w:val="620053AA"/>
    <w:rsid w:val="620359B6"/>
    <w:rsid w:val="6238433E"/>
    <w:rsid w:val="623A67B7"/>
    <w:rsid w:val="623E135A"/>
    <w:rsid w:val="62527B1C"/>
    <w:rsid w:val="62581AF8"/>
    <w:rsid w:val="6264523D"/>
    <w:rsid w:val="626613C9"/>
    <w:rsid w:val="628A355C"/>
    <w:rsid w:val="62B965EC"/>
    <w:rsid w:val="62BC1169"/>
    <w:rsid w:val="632D2CA9"/>
    <w:rsid w:val="634901A2"/>
    <w:rsid w:val="634E147F"/>
    <w:rsid w:val="637075F2"/>
    <w:rsid w:val="637A1985"/>
    <w:rsid w:val="637D6F2E"/>
    <w:rsid w:val="638C120E"/>
    <w:rsid w:val="63AA3DC1"/>
    <w:rsid w:val="63AD3E86"/>
    <w:rsid w:val="63BA4FE7"/>
    <w:rsid w:val="64044257"/>
    <w:rsid w:val="641150B2"/>
    <w:rsid w:val="64165F09"/>
    <w:rsid w:val="64321B04"/>
    <w:rsid w:val="6440431E"/>
    <w:rsid w:val="64630F05"/>
    <w:rsid w:val="64A36AC6"/>
    <w:rsid w:val="64AB225C"/>
    <w:rsid w:val="64BB183B"/>
    <w:rsid w:val="64E02AB2"/>
    <w:rsid w:val="64E75BE4"/>
    <w:rsid w:val="64FB0B79"/>
    <w:rsid w:val="651D4822"/>
    <w:rsid w:val="651E00EB"/>
    <w:rsid w:val="652B0C1C"/>
    <w:rsid w:val="65315369"/>
    <w:rsid w:val="6537100F"/>
    <w:rsid w:val="6549626C"/>
    <w:rsid w:val="655F602E"/>
    <w:rsid w:val="656E6ED3"/>
    <w:rsid w:val="658F7E91"/>
    <w:rsid w:val="65CF1B57"/>
    <w:rsid w:val="65D55E57"/>
    <w:rsid w:val="65F30CB6"/>
    <w:rsid w:val="66096CF8"/>
    <w:rsid w:val="664112C4"/>
    <w:rsid w:val="664829C1"/>
    <w:rsid w:val="665678C1"/>
    <w:rsid w:val="665A03CE"/>
    <w:rsid w:val="66DE2AC5"/>
    <w:rsid w:val="66F0215F"/>
    <w:rsid w:val="671470BE"/>
    <w:rsid w:val="671B2059"/>
    <w:rsid w:val="6723641E"/>
    <w:rsid w:val="673D64C5"/>
    <w:rsid w:val="6795151E"/>
    <w:rsid w:val="67A755AC"/>
    <w:rsid w:val="67BF614D"/>
    <w:rsid w:val="67C83D77"/>
    <w:rsid w:val="67D12035"/>
    <w:rsid w:val="67E11BA5"/>
    <w:rsid w:val="67F14AF9"/>
    <w:rsid w:val="680B0857"/>
    <w:rsid w:val="683C1859"/>
    <w:rsid w:val="686A305E"/>
    <w:rsid w:val="686A537C"/>
    <w:rsid w:val="68721A55"/>
    <w:rsid w:val="6893581B"/>
    <w:rsid w:val="68A87A83"/>
    <w:rsid w:val="68AF2A6B"/>
    <w:rsid w:val="68B26ABB"/>
    <w:rsid w:val="69197C99"/>
    <w:rsid w:val="69473885"/>
    <w:rsid w:val="69540DA3"/>
    <w:rsid w:val="69607906"/>
    <w:rsid w:val="69856698"/>
    <w:rsid w:val="69A14511"/>
    <w:rsid w:val="69BA6C71"/>
    <w:rsid w:val="69C842A9"/>
    <w:rsid w:val="69C93997"/>
    <w:rsid w:val="69E25A0C"/>
    <w:rsid w:val="69ED6F76"/>
    <w:rsid w:val="6A03454E"/>
    <w:rsid w:val="6A55705A"/>
    <w:rsid w:val="6A827FAF"/>
    <w:rsid w:val="6A9601A8"/>
    <w:rsid w:val="6AC85E8C"/>
    <w:rsid w:val="6AD849BB"/>
    <w:rsid w:val="6AE0735A"/>
    <w:rsid w:val="6AE55406"/>
    <w:rsid w:val="6B17377F"/>
    <w:rsid w:val="6B202880"/>
    <w:rsid w:val="6B267B55"/>
    <w:rsid w:val="6B2E6DA4"/>
    <w:rsid w:val="6B4C545A"/>
    <w:rsid w:val="6B4D1FC7"/>
    <w:rsid w:val="6B515780"/>
    <w:rsid w:val="6B574BF4"/>
    <w:rsid w:val="6B7D6830"/>
    <w:rsid w:val="6BAB163F"/>
    <w:rsid w:val="6BCB46EF"/>
    <w:rsid w:val="6BDD0D9E"/>
    <w:rsid w:val="6C15287A"/>
    <w:rsid w:val="6C1C4702"/>
    <w:rsid w:val="6C2D761D"/>
    <w:rsid w:val="6C3A2FAE"/>
    <w:rsid w:val="6C3B116C"/>
    <w:rsid w:val="6C61331B"/>
    <w:rsid w:val="6C621ACC"/>
    <w:rsid w:val="6C827EC2"/>
    <w:rsid w:val="6C856272"/>
    <w:rsid w:val="6C8969C7"/>
    <w:rsid w:val="6CA72F42"/>
    <w:rsid w:val="6CCF0C3C"/>
    <w:rsid w:val="6CD26614"/>
    <w:rsid w:val="6CFA0FE9"/>
    <w:rsid w:val="6CFA4844"/>
    <w:rsid w:val="6D0168B0"/>
    <w:rsid w:val="6D0F26A4"/>
    <w:rsid w:val="6D126A28"/>
    <w:rsid w:val="6D280C3B"/>
    <w:rsid w:val="6D536EA9"/>
    <w:rsid w:val="6D6071C3"/>
    <w:rsid w:val="6D792E30"/>
    <w:rsid w:val="6D7F2DD6"/>
    <w:rsid w:val="6D8A7502"/>
    <w:rsid w:val="6DC72A0D"/>
    <w:rsid w:val="6DCD4BF0"/>
    <w:rsid w:val="6DEF0C4C"/>
    <w:rsid w:val="6E450A21"/>
    <w:rsid w:val="6E46323C"/>
    <w:rsid w:val="6E6406A4"/>
    <w:rsid w:val="6E7D2BC3"/>
    <w:rsid w:val="6E8D76AA"/>
    <w:rsid w:val="6ED83ACA"/>
    <w:rsid w:val="6ED869D0"/>
    <w:rsid w:val="6EE06523"/>
    <w:rsid w:val="6EE907A8"/>
    <w:rsid w:val="6F3C4609"/>
    <w:rsid w:val="6F4E623B"/>
    <w:rsid w:val="6F723676"/>
    <w:rsid w:val="6F7407BE"/>
    <w:rsid w:val="6FB37600"/>
    <w:rsid w:val="6FB55BFC"/>
    <w:rsid w:val="6FD5672D"/>
    <w:rsid w:val="6FE15196"/>
    <w:rsid w:val="6FF6728E"/>
    <w:rsid w:val="703537A0"/>
    <w:rsid w:val="7051151F"/>
    <w:rsid w:val="70694642"/>
    <w:rsid w:val="7099592D"/>
    <w:rsid w:val="70A21D2D"/>
    <w:rsid w:val="70B30B1E"/>
    <w:rsid w:val="70D2668D"/>
    <w:rsid w:val="71137AE5"/>
    <w:rsid w:val="711A34A8"/>
    <w:rsid w:val="712264D7"/>
    <w:rsid w:val="71B94A29"/>
    <w:rsid w:val="71C92FAC"/>
    <w:rsid w:val="71CF5EA1"/>
    <w:rsid w:val="71D763CB"/>
    <w:rsid w:val="71E90B65"/>
    <w:rsid w:val="71EC3019"/>
    <w:rsid w:val="71F320E9"/>
    <w:rsid w:val="722925E5"/>
    <w:rsid w:val="725C4801"/>
    <w:rsid w:val="72937837"/>
    <w:rsid w:val="72B42AB7"/>
    <w:rsid w:val="72B6607D"/>
    <w:rsid w:val="72F348A3"/>
    <w:rsid w:val="730F2616"/>
    <w:rsid w:val="737B2998"/>
    <w:rsid w:val="738E2EA7"/>
    <w:rsid w:val="73C54E46"/>
    <w:rsid w:val="73F3109C"/>
    <w:rsid w:val="73F83149"/>
    <w:rsid w:val="741F74A5"/>
    <w:rsid w:val="74370F44"/>
    <w:rsid w:val="7462519C"/>
    <w:rsid w:val="74661476"/>
    <w:rsid w:val="74840746"/>
    <w:rsid w:val="74AF1F74"/>
    <w:rsid w:val="74DB4D2C"/>
    <w:rsid w:val="74E71356"/>
    <w:rsid w:val="750853AE"/>
    <w:rsid w:val="75120CFA"/>
    <w:rsid w:val="754E0E15"/>
    <w:rsid w:val="75566B39"/>
    <w:rsid w:val="755B05FC"/>
    <w:rsid w:val="756C3D95"/>
    <w:rsid w:val="7572271C"/>
    <w:rsid w:val="757D40D8"/>
    <w:rsid w:val="75927571"/>
    <w:rsid w:val="75D545EA"/>
    <w:rsid w:val="75DB6C4A"/>
    <w:rsid w:val="761D62E9"/>
    <w:rsid w:val="763B1B07"/>
    <w:rsid w:val="766732B6"/>
    <w:rsid w:val="76874D80"/>
    <w:rsid w:val="76936A30"/>
    <w:rsid w:val="769731A0"/>
    <w:rsid w:val="76AB7B3A"/>
    <w:rsid w:val="76AC1B21"/>
    <w:rsid w:val="77147549"/>
    <w:rsid w:val="773E3B3E"/>
    <w:rsid w:val="773F3B89"/>
    <w:rsid w:val="77442AB2"/>
    <w:rsid w:val="776116EA"/>
    <w:rsid w:val="777D5D76"/>
    <w:rsid w:val="778B3FF1"/>
    <w:rsid w:val="77A07A4C"/>
    <w:rsid w:val="77B243D7"/>
    <w:rsid w:val="77C70E30"/>
    <w:rsid w:val="78092D95"/>
    <w:rsid w:val="781E734A"/>
    <w:rsid w:val="782E1CB9"/>
    <w:rsid w:val="785F1A30"/>
    <w:rsid w:val="78654665"/>
    <w:rsid w:val="78686692"/>
    <w:rsid w:val="789B0816"/>
    <w:rsid w:val="78D07968"/>
    <w:rsid w:val="790213C7"/>
    <w:rsid w:val="7906213A"/>
    <w:rsid w:val="79200FB0"/>
    <w:rsid w:val="792A299B"/>
    <w:rsid w:val="79590843"/>
    <w:rsid w:val="79964BAC"/>
    <w:rsid w:val="79B25AD9"/>
    <w:rsid w:val="79D25EC4"/>
    <w:rsid w:val="79F673F7"/>
    <w:rsid w:val="7A210C6D"/>
    <w:rsid w:val="7A293F94"/>
    <w:rsid w:val="7A392C8F"/>
    <w:rsid w:val="7A871C02"/>
    <w:rsid w:val="7A8F3727"/>
    <w:rsid w:val="7A962BB0"/>
    <w:rsid w:val="7AB03CF6"/>
    <w:rsid w:val="7AB467A9"/>
    <w:rsid w:val="7AB658BF"/>
    <w:rsid w:val="7ABD5D84"/>
    <w:rsid w:val="7AF4246E"/>
    <w:rsid w:val="7AF5447B"/>
    <w:rsid w:val="7AF663C8"/>
    <w:rsid w:val="7AF73F87"/>
    <w:rsid w:val="7B150531"/>
    <w:rsid w:val="7B537186"/>
    <w:rsid w:val="7B9C3973"/>
    <w:rsid w:val="7BE65A6D"/>
    <w:rsid w:val="7C0754C6"/>
    <w:rsid w:val="7C163EDC"/>
    <w:rsid w:val="7C3A66AB"/>
    <w:rsid w:val="7C5A1ABA"/>
    <w:rsid w:val="7C694787"/>
    <w:rsid w:val="7C814301"/>
    <w:rsid w:val="7C862559"/>
    <w:rsid w:val="7C8D6219"/>
    <w:rsid w:val="7CA97839"/>
    <w:rsid w:val="7CB53FE7"/>
    <w:rsid w:val="7CC1045F"/>
    <w:rsid w:val="7CF4493D"/>
    <w:rsid w:val="7D097113"/>
    <w:rsid w:val="7D223439"/>
    <w:rsid w:val="7D27400E"/>
    <w:rsid w:val="7D4A6642"/>
    <w:rsid w:val="7D63269E"/>
    <w:rsid w:val="7D696493"/>
    <w:rsid w:val="7D80447E"/>
    <w:rsid w:val="7D8C3E11"/>
    <w:rsid w:val="7DA14898"/>
    <w:rsid w:val="7DC949D3"/>
    <w:rsid w:val="7E152172"/>
    <w:rsid w:val="7E1E059E"/>
    <w:rsid w:val="7E99041F"/>
    <w:rsid w:val="7E9C6AB7"/>
    <w:rsid w:val="7E9F0934"/>
    <w:rsid w:val="7F0818B7"/>
    <w:rsid w:val="7F0B65D1"/>
    <w:rsid w:val="7F0D0A3B"/>
    <w:rsid w:val="7F253B80"/>
    <w:rsid w:val="7F3177DE"/>
    <w:rsid w:val="7F38183E"/>
    <w:rsid w:val="7F50360C"/>
    <w:rsid w:val="7F5240FD"/>
    <w:rsid w:val="7F5A5A80"/>
    <w:rsid w:val="7F7C431B"/>
    <w:rsid w:val="7F876356"/>
    <w:rsid w:val="7F995383"/>
    <w:rsid w:val="7FBA564D"/>
    <w:rsid w:val="7FBF128D"/>
    <w:rsid w:val="7FC878EE"/>
    <w:rsid w:val="7FEE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56"/>
      <w:szCs w:val="44"/>
    </w:rPr>
  </w:style>
  <w:style w:type="paragraph" w:styleId="3">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
      <w:bCs/>
      <w:sz w:val="36"/>
      <w:szCs w:val="32"/>
    </w:rPr>
  </w:style>
  <w:style w:type="paragraph" w:styleId="4">
    <w:name w:val="heading 3"/>
    <w:basedOn w:val="1"/>
    <w:next w:val="1"/>
    <w:unhideWhenUsed/>
    <w:qFormat/>
    <w:uiPriority w:val="9"/>
    <w:pPr>
      <w:keepNext/>
      <w:keepLines/>
      <w:spacing w:before="260" w:after="260" w:line="416" w:lineRule="auto"/>
      <w:jc w:val="center"/>
      <w:outlineLvl w:val="2"/>
    </w:pPr>
    <w:rPr>
      <w:rFonts w:eastAsia="楷体"/>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840" w:leftChars="400"/>
    </w:pPr>
    <w:rPr>
      <w:rFonts w:ascii="宋体" w:hAnsi="宋体" w:eastAsia="宋体"/>
      <w:sz w:val="22"/>
      <w:szCs w:val="28"/>
    </w:rPr>
  </w:style>
  <w:style w:type="paragraph" w:styleId="6">
    <w:name w:val="Plain Text"/>
    <w:basedOn w:val="1"/>
    <w:qFormat/>
    <w:uiPriority w:val="0"/>
    <w:rPr>
      <w:rFonts w:ascii="宋体" w:hAnsi="Courier New" w:cs="宋体"/>
      <w:sz w:val="21"/>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黑体" w:hAnsi="黑体" w:eastAsia="黑体"/>
      <w:sz w:val="28"/>
      <w:szCs w:val="32"/>
    </w:rPr>
  </w:style>
  <w:style w:type="paragraph" w:styleId="10">
    <w:name w:val="toc 2"/>
    <w:basedOn w:val="1"/>
    <w:next w:val="1"/>
    <w:unhideWhenUsed/>
    <w:qFormat/>
    <w:uiPriority w:val="39"/>
    <w:pPr>
      <w:tabs>
        <w:tab w:val="right" w:leader="dot" w:pos="8296"/>
      </w:tabs>
      <w:ind w:left="420" w:leftChars="200"/>
    </w:pPr>
    <w:rPr>
      <w:rFonts w:ascii="宋体" w:hAnsi="宋体" w:eastAsia="宋体"/>
      <w:b/>
      <w:sz w:val="24"/>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6">
    <w:name w:val="页眉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chart" Target="charts/chart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X:\&#20010;&#20154;&#22270;&#20070;&#39302;\&#25105;&#30340;&#22362;&#26524;&#20113;\&#27733;&#22836;14.5\&#20154;&#21475;&#32479;&#35745;&#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'2020人口及其变动情况统计表'!$J$19:$M$19</c:f>
              <c:strCache>
                <c:ptCount val="4"/>
                <c:pt idx="0">
                  <c:v>0-17岁   </c:v>
                </c:pt>
                <c:pt idx="1">
                  <c:v>18-34岁</c:v>
                </c:pt>
                <c:pt idx="2">
                  <c:v>35-60岁</c:v>
                </c:pt>
                <c:pt idx="3">
                  <c:v>60岁及以上</c:v>
                </c:pt>
              </c:strCache>
            </c:strRef>
          </c:cat>
          <c:val>
            <c:numRef>
              <c:f>'2020人口及其变动情况统计表'!$J$20:$M$20</c:f>
              <c:numCache>
                <c:formatCode>General</c:formatCode>
                <c:ptCount val="4"/>
                <c:pt idx="0">
                  <c:v>1420831</c:v>
                </c:pt>
                <c:pt idx="1">
                  <c:v>1738533</c:v>
                </c:pt>
                <c:pt idx="2">
                  <c:v>1701844</c:v>
                </c:pt>
                <c:pt idx="3">
                  <c:v>855841</c:v>
                </c:pt>
              </c:numCache>
            </c:numRef>
          </c:val>
        </c:ser>
        <c:dLbls>
          <c:showLegendKey val="0"/>
          <c:showVal val="0"/>
          <c:showCatName val="0"/>
          <c:showSerName val="0"/>
          <c:showPercent val="0"/>
          <c:showBubbleSize val="0"/>
        </c:dLbls>
        <c:gapWidth val="100"/>
        <c:overlap val="8"/>
        <c:axId val="548043224"/>
        <c:axId val="320686816"/>
      </c:barChart>
      <c:catAx>
        <c:axId val="548043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686816"/>
        <c:crosses val="autoZero"/>
        <c:auto val="1"/>
        <c:lblAlgn val="ctr"/>
        <c:lblOffset val="100"/>
        <c:noMultiLvlLbl val="0"/>
      </c:catAx>
      <c:valAx>
        <c:axId val="32068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8043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6820</Words>
  <Characters>38879</Characters>
  <Lines>323</Lines>
  <Paragraphs>91</Paragraphs>
  <TotalTime>73</TotalTime>
  <ScaleCrop>false</ScaleCrop>
  <LinksUpToDate>false</LinksUpToDate>
  <CharactersWithSpaces>45608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2021-07-07T09:36:00Z</dcterms:created>
  <dc:creator>ZJ1705</dc:creator>
  <cp:lastModifiedBy>成塨楷</cp:lastModifiedBy>
  <cp:lastPrinted>2022-01-17T06:55:00Z</cp:lastPrinted>
  <dcterms:modified xsi:type="dcterms:W3CDTF">2022-01-26T09:05:37Z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6ACDFDAB5F724DB99E2A432941CE873F</vt:lpwstr>
  </property>
</Properties>
</file>