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《汕头市长江路</w:t>
      </w:r>
      <w:r>
        <w:rPr>
          <w:rFonts w:ascii="黑体" w:hAnsi="黑体" w:eastAsia="黑体"/>
          <w:b/>
          <w:bCs/>
          <w:sz w:val="32"/>
          <w:szCs w:val="32"/>
        </w:rPr>
        <w:t>-玉山樟路西北角片区</w:t>
      </w:r>
      <w:r>
        <w:rPr>
          <w:rFonts w:hint="eastAsia" w:ascii="黑体" w:hAnsi="黑体" w:eastAsia="黑体"/>
          <w:b/>
          <w:bCs/>
          <w:sz w:val="32"/>
          <w:szCs w:val="32"/>
        </w:rPr>
        <w:t>控制性详细规划</w:t>
      </w:r>
      <w:r>
        <w:rPr>
          <w:rFonts w:ascii="黑体" w:hAnsi="黑体" w:eastAsia="黑体"/>
          <w:b/>
          <w:bCs/>
          <w:sz w:val="32"/>
          <w:szCs w:val="32"/>
        </w:rPr>
        <w:t>（LH-02301控制单元南片）》</w:t>
      </w:r>
      <w:r>
        <w:rPr>
          <w:rFonts w:hint="eastAsia" w:ascii="黑体" w:hAnsi="黑体" w:eastAsia="黑体"/>
          <w:b/>
          <w:bCs/>
          <w:sz w:val="32"/>
          <w:szCs w:val="32"/>
        </w:rPr>
        <w:t>简介</w:t>
      </w:r>
    </w:p>
    <w:p>
      <w:pPr>
        <w:pStyle w:val="10"/>
        <w:tabs>
          <w:tab w:val="left" w:pos="996"/>
          <w:tab w:val="left" w:pos="1494"/>
          <w:tab w:val="clear" w:pos="1134"/>
        </w:tabs>
        <w:spacing w:before="156" w:after="156"/>
        <w:rPr>
          <w:b/>
          <w:bCs/>
        </w:rPr>
      </w:pPr>
      <w:r>
        <w:rPr>
          <w:rFonts w:hint="eastAsia"/>
          <w:b/>
          <w:bCs/>
        </w:rPr>
        <w:t>规划范围</w:t>
      </w:r>
    </w:p>
    <w:p>
      <w:pPr>
        <w:pStyle w:val="12"/>
        <w:spacing w:before="156" w:after="156"/>
        <w:ind w:firstLine="495"/>
        <w:rPr>
          <w:rFonts w:asciiTheme="minorHAnsi" w:hAnsiTheme="minorHAnsi" w:eastAsiaTheme="minorEastAsia" w:cstheme="minorBidi"/>
          <w:sz w:val="21"/>
          <w:szCs w:val="22"/>
        </w:rPr>
      </w:pPr>
      <w:r>
        <w:rPr>
          <w:rFonts w:hint="eastAsia" w:asciiTheme="minorHAnsi" w:hAnsiTheme="minorHAnsi" w:eastAsiaTheme="minorEastAsia" w:cstheme="minorBidi"/>
          <w:sz w:val="21"/>
          <w:szCs w:val="22"/>
        </w:rPr>
        <w:t>本次控规范围在龙湖区控规全覆盖中为L</w:t>
      </w:r>
      <w:r>
        <w:rPr>
          <w:rFonts w:asciiTheme="minorHAnsi" w:hAnsiTheme="minorHAnsi" w:eastAsiaTheme="minorEastAsia" w:cstheme="minorBidi"/>
          <w:sz w:val="21"/>
          <w:szCs w:val="22"/>
        </w:rPr>
        <w:t>H-023</w:t>
      </w:r>
      <w:r>
        <w:rPr>
          <w:rFonts w:hint="eastAsia" w:asciiTheme="minorHAnsi" w:hAnsiTheme="minorHAnsi" w:eastAsiaTheme="minorEastAsia" w:cstheme="minorBidi"/>
          <w:sz w:val="21"/>
          <w:szCs w:val="22"/>
        </w:rPr>
        <w:t>0</w:t>
      </w:r>
      <w:r>
        <w:rPr>
          <w:rFonts w:asciiTheme="minorHAnsi" w:hAnsiTheme="minorHAnsi" w:eastAsiaTheme="minorEastAsia" w:cstheme="minorBidi"/>
          <w:sz w:val="21"/>
          <w:szCs w:val="22"/>
        </w:rPr>
        <w:t>1</w:t>
      </w:r>
      <w:r>
        <w:rPr>
          <w:rFonts w:hint="eastAsia" w:asciiTheme="minorHAnsi" w:hAnsiTheme="minorHAnsi" w:eastAsiaTheme="minorEastAsia" w:cstheme="minorBidi"/>
          <w:sz w:val="21"/>
          <w:szCs w:val="22"/>
        </w:rPr>
        <w:t>控制单元南片，具体范围为：东至沈海高速，西至汕汕铁路防护绿带，北至新津路，南至长江路，用地面积为</w:t>
      </w:r>
      <w:r>
        <w:rPr>
          <w:rFonts w:asciiTheme="minorHAnsi" w:hAnsiTheme="minorHAnsi" w:eastAsiaTheme="minorEastAsia" w:cstheme="minorBidi"/>
          <w:sz w:val="21"/>
          <w:szCs w:val="22"/>
        </w:rPr>
        <w:t>60.3</w:t>
      </w:r>
      <w:r>
        <w:rPr>
          <w:rFonts w:hint="eastAsia" w:asciiTheme="minorHAnsi" w:hAnsiTheme="minorHAnsi" w:eastAsiaTheme="minorEastAsia" w:cstheme="minorBidi"/>
          <w:sz w:val="21"/>
          <w:szCs w:val="22"/>
        </w:rPr>
        <w:t>1公顷。</w:t>
      </w:r>
    </w:p>
    <w:p>
      <w:pPr>
        <w:pStyle w:val="10"/>
        <w:tabs>
          <w:tab w:val="left" w:pos="996"/>
          <w:tab w:val="left" w:pos="1494"/>
          <w:tab w:val="clear" w:pos="1134"/>
        </w:tabs>
        <w:spacing w:before="156" w:after="156"/>
        <w:rPr>
          <w:b/>
          <w:bCs/>
        </w:rPr>
      </w:pPr>
      <w:bookmarkStart w:id="0" w:name="_Toc3466726"/>
      <w:bookmarkStart w:id="1" w:name="_Toc9603603"/>
      <w:bookmarkStart w:id="2" w:name="_Toc2262126"/>
      <w:bookmarkStart w:id="3" w:name="_Toc3467185"/>
      <w:bookmarkStart w:id="4" w:name="_Hlk7341402"/>
      <w:r>
        <w:rPr>
          <w:rFonts w:hint="eastAsia"/>
          <w:b/>
          <w:bCs/>
        </w:rPr>
        <w:t>规划定位</w:t>
      </w:r>
      <w:bookmarkEnd w:id="0"/>
      <w:bookmarkEnd w:id="1"/>
      <w:bookmarkEnd w:id="2"/>
      <w:bookmarkEnd w:id="3"/>
    </w:p>
    <w:p>
      <w:pPr>
        <w:spacing w:before="100" w:beforeAutospacing="1" w:after="100" w:afterAutospacing="1"/>
        <w:ind w:firstLine="420" w:firstLineChars="200"/>
      </w:pPr>
      <w:r>
        <w:rPr>
          <w:rFonts w:hint="eastAsia" w:cs="宋体"/>
          <w:snapToGrid w:val="0"/>
          <w:kern w:val="0"/>
        </w:rPr>
        <w:t>片区规划定位为城市现代化工业园区。</w:t>
      </w:r>
    </w:p>
    <w:p>
      <w:pPr>
        <w:pStyle w:val="10"/>
        <w:tabs>
          <w:tab w:val="left" w:pos="996"/>
          <w:tab w:val="left" w:pos="1494"/>
          <w:tab w:val="clear" w:pos="1134"/>
        </w:tabs>
        <w:spacing w:before="156" w:after="156"/>
        <w:rPr>
          <w:b/>
          <w:bCs/>
        </w:rPr>
      </w:pPr>
      <w:r>
        <w:rPr>
          <w:rFonts w:hint="eastAsia"/>
          <w:b/>
          <w:bCs/>
        </w:rPr>
        <w:t>功能布局</w:t>
      </w:r>
    </w:p>
    <w:p>
      <w:pPr>
        <w:pStyle w:val="12"/>
        <w:spacing w:before="156" w:after="156"/>
        <w:ind w:firstLine="495"/>
        <w:rPr>
          <w:rFonts w:asciiTheme="minorHAnsi" w:hAnsiTheme="minorHAnsi" w:eastAsiaTheme="minorEastAsia" w:cstheme="minorBidi"/>
          <w:sz w:val="21"/>
          <w:szCs w:val="22"/>
        </w:rPr>
      </w:pPr>
      <w:r>
        <w:rPr>
          <w:rFonts w:hint="eastAsia" w:asciiTheme="minorHAnsi" w:hAnsiTheme="minorHAnsi" w:eastAsiaTheme="minorEastAsia" w:cstheme="minorBidi"/>
          <w:sz w:val="21"/>
          <w:szCs w:val="22"/>
        </w:rPr>
        <w:t>规划区内以工业用地为主，西侧和中部铁路交通廊道、东部高速两侧布局有部分</w:t>
      </w:r>
      <w:r>
        <w:rPr>
          <w:rFonts w:hint="eastAsia" w:asciiTheme="minorHAnsi" w:hAnsiTheme="minorHAnsi" w:eastAsiaTheme="minorEastAsia" w:cstheme="minorBidi"/>
          <w:sz w:val="21"/>
          <w:szCs w:val="22"/>
          <w:lang w:eastAsia="zh-CN"/>
        </w:rPr>
        <w:t>防护</w:t>
      </w:r>
      <w:bookmarkStart w:id="5" w:name="_GoBack"/>
      <w:bookmarkEnd w:id="5"/>
      <w:r>
        <w:rPr>
          <w:rFonts w:hint="eastAsia" w:asciiTheme="minorHAnsi" w:hAnsiTheme="minorHAnsi" w:eastAsiaTheme="minorEastAsia" w:cstheme="minorBidi"/>
          <w:sz w:val="21"/>
          <w:szCs w:val="22"/>
        </w:rPr>
        <w:t>绿地。</w:t>
      </w:r>
    </w:p>
    <w:p>
      <w:pPr>
        <w:pStyle w:val="10"/>
        <w:tabs>
          <w:tab w:val="left" w:pos="996"/>
          <w:tab w:val="left" w:pos="1494"/>
          <w:tab w:val="clear" w:pos="1134"/>
        </w:tabs>
        <w:spacing w:before="156" w:after="156"/>
        <w:rPr>
          <w:b/>
          <w:bCs/>
        </w:rPr>
      </w:pPr>
      <w:r>
        <w:rPr>
          <w:rFonts w:hint="eastAsia"/>
          <w:b/>
          <w:bCs/>
        </w:rPr>
        <w:t>发展规模</w:t>
      </w:r>
    </w:p>
    <w:bookmarkEnd w:id="4"/>
    <w:p>
      <w:pPr>
        <w:spacing w:before="100" w:beforeAutospacing="1" w:after="100" w:afterAutospacing="1"/>
        <w:ind w:firstLine="420" w:firstLineChars="200"/>
      </w:pPr>
      <w:r>
        <w:rPr>
          <w:rFonts w:hint="eastAsia"/>
        </w:rPr>
        <w:t>规划区总用地面积</w:t>
      </w:r>
      <w:r>
        <w:t>60.31</w:t>
      </w:r>
      <w:r>
        <w:rPr>
          <w:rFonts w:hint="eastAsia"/>
        </w:rPr>
        <w:t>公顷，</w:t>
      </w:r>
      <w:r>
        <w:rPr>
          <w:rFonts w:hint="eastAsia"/>
          <w:lang w:eastAsia="zh-CN"/>
        </w:rPr>
        <w:t>均为城乡</w:t>
      </w:r>
      <w:r>
        <w:rPr>
          <w:rFonts w:hint="eastAsia"/>
        </w:rPr>
        <w:t>建设用地。</w:t>
      </w:r>
    </w:p>
    <w:p>
      <w:pPr>
        <w:spacing w:before="100" w:beforeAutospacing="1" w:after="100" w:afterAutospacing="1"/>
        <w:ind w:firstLine="420" w:firstLineChars="200"/>
      </w:pPr>
      <w:r>
        <w:rPr>
          <w:rFonts w:hint="eastAsia"/>
        </w:rPr>
        <w:t>城市建设用地中，工业</w:t>
      </w:r>
      <w:r>
        <w:t>/物流仓储用地30.55公顷</w:t>
      </w:r>
      <w:r>
        <w:rPr>
          <w:rFonts w:hint="eastAsia"/>
        </w:rPr>
        <w:t>，商业商务用地</w:t>
      </w:r>
      <w:r>
        <w:t>0.89公顷</w:t>
      </w:r>
      <w:r>
        <w:rPr>
          <w:rFonts w:hint="eastAsia"/>
        </w:rPr>
        <w:t>。</w:t>
      </w:r>
    </w:p>
    <w:p>
      <w:pPr>
        <w:spacing w:before="100" w:beforeAutospacing="1" w:after="100" w:afterAutospacing="1"/>
        <w:ind w:firstLine="420" w:firstLineChars="2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17E2C8B"/>
    <w:multiLevelType w:val="multilevel"/>
    <w:tmpl w:val="717E2C8B"/>
    <w:lvl w:ilvl="0" w:tentative="0">
      <w:start w:val="1"/>
      <w:numFmt w:val="chineseCountingThousand"/>
      <w:pStyle w:val="10"/>
      <w:lvlText w:val="第%1条"/>
      <w:lvlJc w:val="left"/>
      <w:pPr>
        <w:tabs>
          <w:tab w:val="left" w:pos="1134"/>
        </w:tabs>
        <w:ind w:left="0" w:firstLine="0"/>
      </w:pPr>
      <w:rPr>
        <w:rFonts w:hint="default" w:ascii="黑体" w:eastAsia="黑体"/>
        <w:b/>
      </w:rPr>
    </w:lvl>
    <w:lvl w:ilvl="1" w:tentative="0">
      <w:start w:val="1"/>
      <w:numFmt w:val="decimal"/>
      <w:lvlText w:val="%2．"/>
      <w:lvlJc w:val="left"/>
      <w:pPr>
        <w:tabs>
          <w:tab w:val="left" w:pos="780"/>
        </w:tabs>
        <w:ind w:left="780" w:hanging="360"/>
      </w:pPr>
      <w:rPr>
        <w:rFonts w:hint="default"/>
        <w:b/>
      </w:rPr>
    </w:lvl>
    <w:lvl w:ilvl="2" w:tentative="0">
      <w:start w:val="1"/>
      <w:numFmt w:val="decimal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decimal"/>
      <w:lvlText w:val="%4、"/>
      <w:lvlJc w:val="left"/>
      <w:pPr>
        <w:tabs>
          <w:tab w:val="left" w:pos="2055"/>
        </w:tabs>
        <w:ind w:left="2055" w:hanging="795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B56"/>
    <w:rsid w:val="00030A83"/>
    <w:rsid w:val="000B362A"/>
    <w:rsid w:val="001920AF"/>
    <w:rsid w:val="001E01D3"/>
    <w:rsid w:val="001F3BCF"/>
    <w:rsid w:val="00330CD2"/>
    <w:rsid w:val="003B64E6"/>
    <w:rsid w:val="003B7051"/>
    <w:rsid w:val="004A35D8"/>
    <w:rsid w:val="004C7B34"/>
    <w:rsid w:val="00542FCE"/>
    <w:rsid w:val="005F7A87"/>
    <w:rsid w:val="006F243A"/>
    <w:rsid w:val="0076492F"/>
    <w:rsid w:val="007739C1"/>
    <w:rsid w:val="007D0263"/>
    <w:rsid w:val="008069B6"/>
    <w:rsid w:val="008421E8"/>
    <w:rsid w:val="00843BC8"/>
    <w:rsid w:val="008E2656"/>
    <w:rsid w:val="009F48DA"/>
    <w:rsid w:val="00A56CF2"/>
    <w:rsid w:val="00B554BB"/>
    <w:rsid w:val="00B762DD"/>
    <w:rsid w:val="00CC3AAA"/>
    <w:rsid w:val="00CD28D6"/>
    <w:rsid w:val="00D25B56"/>
    <w:rsid w:val="00DD7F3A"/>
    <w:rsid w:val="00E800E0"/>
    <w:rsid w:val="00EC659D"/>
    <w:rsid w:val="00ED0919"/>
    <w:rsid w:val="00F27F9A"/>
    <w:rsid w:val="00FF521F"/>
    <w:rsid w:val="0EF12B25"/>
    <w:rsid w:val="1DAC2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标题 1 Char"/>
    <w:basedOn w:val="6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paragraph" w:customStyle="1" w:styleId="10">
    <w:name w:val="文本条文"/>
    <w:next w:val="1"/>
    <w:link w:val="11"/>
    <w:qFormat/>
    <w:uiPriority w:val="0"/>
    <w:pPr>
      <w:numPr>
        <w:ilvl w:val="0"/>
        <w:numId w:val="1"/>
      </w:numPr>
      <w:spacing w:beforeLines="50" w:afterLines="50"/>
      <w:jc w:val="both"/>
      <w:outlineLvl w:val="2"/>
    </w:pPr>
    <w:rPr>
      <w:rFonts w:ascii="宋体" w:hAnsi="宋体" w:eastAsiaTheme="minorEastAsia" w:cstheme="minorBidi"/>
      <w:kern w:val="2"/>
      <w:sz w:val="24"/>
      <w:szCs w:val="24"/>
      <w:lang w:val="en-US" w:eastAsia="zh-CN" w:bidi="ar-SA"/>
    </w:rPr>
  </w:style>
  <w:style w:type="character" w:customStyle="1" w:styleId="11">
    <w:name w:val="文本条文 字符"/>
    <w:link w:val="10"/>
    <w:qFormat/>
    <w:uiPriority w:val="0"/>
    <w:rPr>
      <w:rFonts w:ascii="宋体" w:hAnsi="宋体"/>
      <w:sz w:val="24"/>
      <w:szCs w:val="24"/>
    </w:rPr>
  </w:style>
  <w:style w:type="paragraph" w:customStyle="1" w:styleId="12">
    <w:name w:val="文本正文"/>
    <w:basedOn w:val="10"/>
    <w:link w:val="13"/>
    <w:qFormat/>
    <w:uiPriority w:val="99"/>
    <w:pPr>
      <w:widowControl w:val="0"/>
      <w:numPr>
        <w:numId w:val="0"/>
      </w:numPr>
      <w:spacing w:before="50" w:after="50"/>
      <w:outlineLvl w:val="9"/>
    </w:pPr>
    <w:rPr>
      <w:rFonts w:eastAsia="宋体" w:cs="Times New Roman"/>
    </w:rPr>
  </w:style>
  <w:style w:type="character" w:customStyle="1" w:styleId="13">
    <w:name w:val="文本正文 字符"/>
    <w:basedOn w:val="11"/>
    <w:link w:val="12"/>
    <w:qFormat/>
    <w:uiPriority w:val="99"/>
    <w:rPr>
      <w:rFonts w:ascii="宋体" w:hAnsi="宋体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</Words>
  <Characters>228</Characters>
  <Lines>1</Lines>
  <Paragraphs>1</Paragraphs>
  <TotalTime>78</TotalTime>
  <ScaleCrop>false</ScaleCrop>
  <LinksUpToDate>false</LinksUpToDate>
  <CharactersWithSpaces>267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2021-12-03T06:39:00Z</dcterms:created>
  <dc:creator>Administrator</dc:creator>
  <cp:lastModifiedBy>张桌桌</cp:lastModifiedBy>
  <dcterms:modified xsi:type="dcterms:W3CDTF">2021-12-31T02:06:05Z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CA7E3F10B55F4240AF688DD620069B0C</vt:lpwstr>
  </property>
</Properties>
</file>