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240" w:lineRule="auto"/>
        <w:ind w:left="0" w:leftChars="0" w:right="0" w:rightChars="0"/>
        <w:rPr>
          <w:rFonts w:hint="eastAsia" w:asciiTheme="majorEastAsia" w:hAnsiTheme="majorEastAsia" w:eastAsiaTheme="majorEastAsia" w:cstheme="majorEastAsia"/>
          <w:b w:val="0"/>
          <w:bCs/>
          <w:sz w:val="44"/>
          <w:szCs w:val="44"/>
        </w:rPr>
      </w:pPr>
    </w:p>
    <w:p>
      <w:pPr>
        <w:pStyle w:val="7"/>
        <w:keepNext w:val="0"/>
        <w:keepLines w:val="0"/>
        <w:pageBreakBefore w:val="0"/>
        <w:kinsoku/>
        <w:wordWrap/>
        <w:overflowPunct/>
        <w:topLinePunct w:val="0"/>
        <w:autoSpaceDE/>
        <w:autoSpaceDN/>
        <w:bidi w:val="0"/>
        <w:adjustRightInd/>
        <w:snapToGrid/>
        <w:spacing w:line="240" w:lineRule="auto"/>
        <w:ind w:left="0" w:leftChars="0" w:right="0" w:rightChars="0"/>
        <w:rPr>
          <w:rFonts w:hint="eastAsia" w:asciiTheme="majorEastAsia" w:hAnsiTheme="majorEastAsia" w:eastAsiaTheme="majorEastAsia" w:cstheme="majorEastAsia"/>
          <w:b w:val="0"/>
          <w:bCs/>
          <w:sz w:val="44"/>
          <w:szCs w:val="44"/>
        </w:rPr>
      </w:pPr>
    </w:p>
    <w:p>
      <w:pPr>
        <w:pStyle w:val="7"/>
        <w:keepNext w:val="0"/>
        <w:keepLines w:val="0"/>
        <w:pageBreakBefore w:val="0"/>
        <w:kinsoku/>
        <w:wordWrap/>
        <w:overflowPunct/>
        <w:topLinePunct w:val="0"/>
        <w:autoSpaceDE/>
        <w:autoSpaceDN/>
        <w:bidi w:val="0"/>
        <w:adjustRightInd/>
        <w:snapToGrid/>
        <w:spacing w:line="240" w:lineRule="auto"/>
        <w:ind w:left="0" w:leftChars="0" w:right="0" w:rightChars="0"/>
        <w:rPr>
          <w:rFonts w:hint="eastAsia" w:ascii="方正小标宋简体" w:hAnsi="方正小标宋简体" w:eastAsia="方正小标宋简体" w:cs="方正小标宋简体"/>
          <w:b w:val="0"/>
          <w:bCs/>
          <w:sz w:val="36"/>
        </w:rPr>
      </w:pPr>
      <w:bookmarkStart w:id="0" w:name="_GoBack"/>
      <w:r>
        <w:rPr>
          <w:rFonts w:hint="eastAsia" w:asciiTheme="majorEastAsia" w:hAnsiTheme="majorEastAsia" w:eastAsiaTheme="majorEastAsia" w:cstheme="majorEastAsia"/>
          <w:b w:val="0"/>
          <w:bCs/>
          <w:sz w:val="44"/>
          <w:szCs w:val="44"/>
        </w:rPr>
        <w:t>汕头经济特区储备土地管护和临时利用办法</w:t>
      </w:r>
      <w:bookmarkEnd w:id="0"/>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rPr>
          <w:rFonts w:hint="eastAsia" w:ascii="CESI楷体-GB2312" w:hAnsi="CESI楷体-GB2312" w:eastAsia="CESI楷体-GB2312" w:cs="CESI楷体-GB2312"/>
          <w:sz w:val="32"/>
          <w:szCs w:val="32"/>
          <w:lang w:eastAsia="zh-CN"/>
        </w:rPr>
      </w:pPr>
      <w:r>
        <w:rPr>
          <w:rFonts w:hint="eastAsia" w:ascii="楷体_GB2312" w:hAnsi="楷体_GB2312" w:eastAsia="楷体_GB2312" w:cs="楷体_GB2312"/>
          <w:color w:val="333333"/>
          <w:sz w:val="32"/>
          <w:szCs w:val="32"/>
          <w:shd w:val="clear" w:color="auto" w:fill="FFFFFF"/>
        </w:rPr>
        <w:t>(2017年4月18日汕头市人民政府令第173号公布  自2017年6月1日起施行)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eastAsia" w:ascii="CESI楷体-GB2312" w:hAnsi="CESI楷体-GB2312" w:eastAsia="CESI楷体-GB2312" w:cs="CESI楷体-GB2312"/>
          <w:sz w:val="32"/>
          <w:szCs w:val="32"/>
          <w:lang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总  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jc w:val="both"/>
        <w:rPr>
          <w:rFonts w:hint="eastAsia" w:ascii="黑体" w:hAnsi="黑体" w:eastAsia="黑体" w:cs="黑体"/>
          <w:color w:val="333333"/>
          <w:sz w:val="32"/>
          <w:szCs w:val="32"/>
          <w:shd w:val="clear" w:color="auto" w:fill="FFFFFF"/>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为了规范储备土地的管护和利用，根据《中华人民共和国土地管理法》、《汕头经济特区土地储备条例》等法律、法规的基本原则，结合汕头经济特区（以下简称特区）实际，制定本办法。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二</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特区范围内</w:t>
      </w:r>
      <w:r>
        <w:rPr>
          <w:rFonts w:hint="default" w:ascii="Times New Roman" w:hAnsi="Times New Roman" w:eastAsia="仿宋_GB2312" w:cs="Times New Roman"/>
          <w:sz w:val="32"/>
          <w:szCs w:val="32"/>
        </w:rPr>
        <w:t>金平区、龙湖区储备土地的管护和临时利用，适用本办法。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三</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本办法中下列用语的含义：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（一）储备土地，是指市土地储备机构依法收储的土地；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（二）管护，是指储备土地供应前，土地储备机构对储备土地进行看护、管养；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（三）临时利用，是指储备土地供应前，土地储备机构将储备土地的使用权单独或者连同地上建（构）筑物和地下基础设施，以出租、出借等方式予以临时使用。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四</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市人民政府设立的土地储备机构负责组织实施本办法。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区、镇人民政府（街道办事处）以及其他有关行政管理部门按照各自职责，做好储备土地的管护和临时利用工作。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pacing w:val="-6"/>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五</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土地储备机构应当会同市国土资源、财政、城乡规划、市容环境卫生、公安、消防等行政管理部门，组织编制</w:t>
      </w:r>
      <w:r>
        <w:rPr>
          <w:rFonts w:hint="default" w:ascii="Times New Roman" w:hAnsi="Times New Roman" w:eastAsia="仿宋_GB2312" w:cs="Times New Roman"/>
          <w:spacing w:val="-6"/>
          <w:sz w:val="32"/>
          <w:szCs w:val="32"/>
        </w:rPr>
        <w:t>储备土地的管护方案，报市土地储备管理委员会批准后组织实施。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储备土地的管护方案可以在编制年度土地储备计划或者土地收储实施方案时一并编制，也可以单独编制。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储备土地的管护方案应当包括管护工作</w:t>
      </w:r>
      <w:r>
        <w:rPr>
          <w:rFonts w:hint="default" w:ascii="Times New Roman" w:hAnsi="Times New Roman" w:eastAsia="仿宋_GB2312" w:cs="Times New Roman"/>
          <w:sz w:val="32"/>
          <w:szCs w:val="32"/>
          <w:lang w:eastAsia="zh-CN"/>
        </w:rPr>
        <w:t>的内容</w:t>
      </w:r>
      <w:r>
        <w:rPr>
          <w:rFonts w:hint="default" w:ascii="Times New Roman" w:hAnsi="Times New Roman" w:eastAsia="仿宋_GB2312" w:cs="Times New Roman"/>
          <w:sz w:val="32"/>
          <w:szCs w:val="32"/>
        </w:rPr>
        <w:t>、管护方式、管护费用、管护期限以及管护期限届满后续期的条件等内容。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六</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储备土地管护工作主要包括以下</w:t>
      </w:r>
      <w:r>
        <w:rPr>
          <w:rFonts w:hint="default" w:ascii="Times New Roman" w:hAnsi="Times New Roman" w:eastAsia="仿宋_GB2312" w:cs="Times New Roman"/>
          <w:sz w:val="32"/>
          <w:szCs w:val="32"/>
          <w:lang w:eastAsia="zh-CN"/>
        </w:rPr>
        <w:t>内容</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t>（一）设置储备土地标识并按照市容环境卫生要求进行围护；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（二）实施必要的临时绿化；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（三）开展日常巡逻，及时发现并制止非法侵占、破环储备土地的行为；及时发现并消除管护范围内存在的消防安全隐患；及时发现并清理管护范围内垃圾、杂草等杂物，保持环境整洁；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（四）对危险地块采取安全防护措施和设置警示牌；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（五）管理和保护储备土地上的建（构）筑物、市政设施和基础设施及其附着物；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（六）其他与储备土地相关的管护工作。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七</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土地储备机构可以自行对储备土地进行管护，也可以按照以下方式进行管护：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（一）委托储备土地所在辖区的</w:t>
      </w:r>
      <w:r>
        <w:rPr>
          <w:rFonts w:hint="default" w:ascii="Times New Roman" w:hAnsi="Times New Roman" w:eastAsia="仿宋_GB2312" w:cs="Times New Roman"/>
          <w:sz w:val="32"/>
          <w:szCs w:val="32"/>
          <w:lang w:eastAsia="zh-CN"/>
        </w:rPr>
        <w:t>区人民政府、</w:t>
      </w:r>
      <w:r>
        <w:rPr>
          <w:rFonts w:hint="default" w:ascii="Times New Roman" w:hAnsi="Times New Roman" w:eastAsia="仿宋_GB2312" w:cs="Times New Roman"/>
          <w:sz w:val="32"/>
          <w:szCs w:val="32"/>
        </w:rPr>
        <w:t>街道办事处或者社区居民委员会进行管护；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（二）委托被收储单位进行管护；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（三）通过政府购买服务方式委托社会力量进行管护。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八</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土地储备机构委托相关单位</w:t>
      </w:r>
      <w:r>
        <w:rPr>
          <w:rFonts w:hint="default" w:ascii="Times New Roman" w:hAnsi="Times New Roman" w:eastAsia="仿宋_GB2312" w:cs="Times New Roman"/>
          <w:sz w:val="32"/>
          <w:szCs w:val="32"/>
          <w:lang w:eastAsia="zh-CN"/>
        </w:rPr>
        <w:t>或者个人</w:t>
      </w:r>
      <w:r>
        <w:rPr>
          <w:rFonts w:hint="default" w:ascii="Times New Roman" w:hAnsi="Times New Roman" w:eastAsia="仿宋_GB2312" w:cs="Times New Roman"/>
          <w:sz w:val="32"/>
          <w:szCs w:val="32"/>
        </w:rPr>
        <w:t>对储备土地进行管护的，应当签订委托协议并约定以下内容：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受托</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或者个人</w:t>
      </w:r>
      <w:r>
        <w:rPr>
          <w:rFonts w:hint="default" w:ascii="Times New Roman" w:hAnsi="Times New Roman" w:eastAsia="仿宋_GB2312" w:cs="Times New Roman"/>
          <w:sz w:val="32"/>
          <w:szCs w:val="32"/>
        </w:rPr>
        <w:t>不得</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储备土地临时利用活动，不得在储备土地上搭建除必要管理用房以外的其他建（构）筑物</w:t>
      </w:r>
      <w:r>
        <w:rPr>
          <w:rFonts w:hint="default" w:ascii="Times New Roman" w:hAnsi="Times New Roman" w:eastAsia="仿宋_GB2312" w:cs="Times New Roman"/>
          <w:sz w:val="32"/>
          <w:szCs w:val="32"/>
          <w:lang w:eastAsia="zh-CN"/>
        </w:rPr>
        <w:t>，不得再委托其他</w:t>
      </w:r>
      <w:r>
        <w:rPr>
          <w:rFonts w:hint="default" w:ascii="Times New Roman" w:hAnsi="Times New Roman" w:eastAsia="仿宋_GB2312" w:cs="Times New Roman"/>
          <w:sz w:val="32"/>
          <w:szCs w:val="32"/>
        </w:rPr>
        <w:t>单位或者个人对储备土地进行管护；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（二）管护工作的具体内容和管护费用；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（三）管护期限以及管护期限届满后续期的条件；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（四）管护退出条件；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（五）违约责任；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（六）其他应当约定的内容。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前款规定的管护期限一般为一年，最长不超过二年。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九</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储备土地的管护费用标准由</w:t>
      </w:r>
      <w:r>
        <w:rPr>
          <w:rFonts w:hint="default" w:ascii="Times New Roman" w:hAnsi="Times New Roman" w:eastAsia="仿宋_GB2312" w:cs="Times New Roman"/>
          <w:sz w:val="32"/>
          <w:szCs w:val="32"/>
        </w:rPr>
        <w:t>土地储备机构委托中介机构编制，经市国土资源、财政等行政管理部门审核后报市土地储备管理委员会批准。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储备土地的</w:t>
      </w:r>
      <w:r>
        <w:rPr>
          <w:rFonts w:hint="default" w:ascii="Times New Roman" w:hAnsi="Times New Roman" w:eastAsia="仿宋_GB2312" w:cs="Times New Roman"/>
          <w:color w:val="000000"/>
          <w:sz w:val="32"/>
          <w:szCs w:val="32"/>
        </w:rPr>
        <w:t>管护费用标准实行动态管理，</w:t>
      </w:r>
      <w:r>
        <w:rPr>
          <w:rFonts w:hint="default" w:ascii="Times New Roman" w:hAnsi="Times New Roman" w:eastAsia="仿宋_GB2312" w:cs="Times New Roman"/>
          <w:sz w:val="32"/>
          <w:szCs w:val="32"/>
        </w:rPr>
        <w:t>土地储备机构</w:t>
      </w:r>
      <w:r>
        <w:rPr>
          <w:rFonts w:hint="default" w:ascii="Times New Roman" w:hAnsi="Times New Roman" w:eastAsia="仿宋_GB2312" w:cs="Times New Roman"/>
          <w:color w:val="000000"/>
          <w:sz w:val="32"/>
          <w:szCs w:val="32"/>
        </w:rPr>
        <w:t>至少每二年组织一次评估，经评估需要调整的，按照原编制程序报批。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sz w:val="32"/>
          <w:szCs w:val="32"/>
        </w:rPr>
        <w:t>储备土地的管护费用由市财政列支，计入宗地收储成本。</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十一</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临时利用储备土地的，由土地储备机构会同市国土资源、财政、城乡规划、市容环境卫生、公安、消防等行政管理部门，组织编制储备土地的临时利用方案，报市土地储备管理委员会批准后组织实施。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储备土地的临时利用方案可以在编制年度土地储备计划或者土地收储实施方案时一并编制，也可以单独编制。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储备土地的临时利用方案应当包括利用方式、</w:t>
      </w:r>
      <w:r>
        <w:rPr>
          <w:rFonts w:hint="default" w:ascii="Times New Roman" w:hAnsi="Times New Roman" w:eastAsia="仿宋_GB2312" w:cs="Times New Roman"/>
          <w:sz w:val="32"/>
          <w:szCs w:val="32"/>
          <w:lang w:eastAsia="zh-CN"/>
        </w:rPr>
        <w:t>利用人确定方式、</w:t>
      </w:r>
      <w:r>
        <w:rPr>
          <w:rFonts w:hint="default" w:ascii="Times New Roman" w:hAnsi="Times New Roman" w:eastAsia="仿宋_GB2312" w:cs="Times New Roman"/>
          <w:sz w:val="32"/>
          <w:szCs w:val="32"/>
        </w:rPr>
        <w:t>具体用途、临时建设要求、有偿利用还是无偿利用、退出机制、利用期限以及利用期限届满后续期的条件等内容。</w:t>
      </w:r>
      <w:r>
        <w:rPr>
          <w:rFonts w:hint="default" w:ascii="Times New Roman" w:hAnsi="Times New Roman" w:eastAsia="仿宋_GB2312" w:cs="Times New Roman"/>
          <w:sz w:val="32"/>
          <w:szCs w:val="32"/>
          <w:lang w:eastAsia="zh-CN"/>
        </w:rPr>
        <w:t>有《汕头经济特区城乡规划条例》第七十九条规定情形的，不得在</w:t>
      </w:r>
      <w:r>
        <w:rPr>
          <w:rFonts w:hint="default" w:ascii="Times New Roman" w:hAnsi="Times New Roman" w:eastAsia="仿宋_GB2312" w:cs="Times New Roman"/>
          <w:sz w:val="32"/>
          <w:szCs w:val="32"/>
        </w:rPr>
        <w:t>临时利用方案</w:t>
      </w:r>
      <w:r>
        <w:rPr>
          <w:rFonts w:hint="default" w:ascii="Times New Roman" w:hAnsi="Times New Roman" w:eastAsia="仿宋_GB2312" w:cs="Times New Roman"/>
          <w:sz w:val="32"/>
          <w:szCs w:val="32"/>
          <w:lang w:eastAsia="zh-CN"/>
        </w:rPr>
        <w:t>中批准进行临时建设。</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十二</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sz w:val="32"/>
          <w:szCs w:val="32"/>
        </w:rPr>
        <w:t>临时利用储备土地的，应当以出租方式实行有</w:t>
      </w:r>
      <w:r>
        <w:rPr>
          <w:rFonts w:hint="default" w:ascii="Times New Roman" w:hAnsi="Times New Roman" w:eastAsia="仿宋_GB2312" w:cs="Times New Roman"/>
          <w:spacing w:val="-2"/>
          <w:sz w:val="32"/>
          <w:szCs w:val="32"/>
        </w:rPr>
        <w:t>偿利用；但因公共利益需要的，可以采取出借方式实行无偿利用。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十三</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以出租方式临时利用储备土地的，由土地储备机构通过市公共资源交易平台</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招标方式确定承租人；不适合招标或者招标不成的，经市土地储备管理委员会同意，土地储备机构可以直接确定承租人。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以出租方式临时利用储备土地的，应当在储备土地的临时利用方案中明确底价。</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以出租方式临时利用储备土地的，按照租赁用途委托中介机构询价确定租金价格。租金收入全额上缴市财政，</w:t>
      </w:r>
      <w:r>
        <w:rPr>
          <w:rFonts w:hint="default" w:ascii="Times New Roman" w:hAnsi="Times New Roman" w:eastAsia="仿宋_GB2312" w:cs="Times New Roman"/>
          <w:sz w:val="32"/>
          <w:szCs w:val="32"/>
          <w:lang w:eastAsia="zh-CN"/>
        </w:rPr>
        <w:t>实</w:t>
      </w:r>
      <w:r>
        <w:rPr>
          <w:rFonts w:hint="eastAsia" w:ascii="仿宋_GB2312" w:hAnsi="仿宋_GB2312" w:eastAsia="仿宋_GB2312" w:cs="仿宋_GB2312"/>
          <w:sz w:val="32"/>
          <w:szCs w:val="32"/>
          <w:lang w:eastAsia="zh-CN"/>
        </w:rPr>
        <w:t>行“收支两条线”管理</w:t>
      </w:r>
      <w:r>
        <w:rPr>
          <w:rFonts w:hint="eastAsia" w:ascii="仿宋_GB2312" w:hAnsi="仿宋_GB2312" w:eastAsia="仿宋_GB2312" w:cs="仿宋_GB2312"/>
          <w:sz w:val="32"/>
          <w:szCs w:val="32"/>
        </w:rPr>
        <w:t>。</w:t>
      </w:r>
    </w:p>
    <w:p>
      <w:pPr>
        <w:keepNext w:val="0"/>
        <w:keepLines w:val="0"/>
        <w:pageBreakBefore w:val="0"/>
        <w:numPr>
          <w:numId w:val="0"/>
        </w:numPr>
        <w:kinsoku/>
        <w:wordWrap/>
        <w:overflowPunct/>
        <w:topLinePunct w:val="0"/>
        <w:autoSpaceDE/>
        <w:autoSpaceDN/>
        <w:bidi w:val="0"/>
        <w:adjustRightInd/>
        <w:snapToGrid/>
        <w:spacing w:line="560" w:lineRule="exact"/>
        <w:ind w:leftChars="200" w:right="0" w:rightChars="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十五</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储备土地临时利用的，应当保证土地权属和界限清楚。</w:t>
      </w:r>
    </w:p>
    <w:p>
      <w:pPr>
        <w:keepNext w:val="0"/>
        <w:keepLines w:val="0"/>
        <w:pageBreakBefore w:val="0"/>
        <w:kinsoku/>
        <w:wordWrap/>
        <w:overflowPunct/>
        <w:topLinePunct w:val="0"/>
        <w:autoSpaceDE/>
        <w:autoSpaceDN/>
        <w:bidi w:val="0"/>
        <w:adjustRightInd/>
        <w:snapToGrid/>
        <w:spacing w:line="560" w:lineRule="exact"/>
        <w:ind w:left="0" w:leftChars="0" w:right="0" w:right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储备土地已存在他项权的，临时利用前应当先征得他项权人同意。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十六</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临时利用储备土地的，土地储备机构应当与临时利用人签订储备土地的出借协议或者租赁协议。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储备土地出借协议应当约定土地用途、出借期限以及出借期限届满后续期的条件、双方权利义务、法律责任、退出机制等内容。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储备土地租赁协议应当约定土地用途、租赁期限以及租赁期限届满后续期的条件、租赁价格、双方权利义务、法律责任、退出机制等内容。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十七</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临时利用储备土地的，不得建设永久性建（构）筑物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需要进行临时建设的，由临时利用人依据经批准的临时利用方案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出借协议或租赁协议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向城乡规划行政管理部门办理临时建设工程规划许可手续。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十八</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临时利用储备土地的，利用期限不得超过二年；期限届满需续期的，不得影响土地供应。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十九</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因实施城乡规划、执行土地利用年度计划和土地储备年度计划等城乡建设需要的，储备土地出借协议或者租赁协议自行失效，储备土地临时利用人应当无条件自行拆除临时建（构）筑物和设施并清理现场，恢复储备土地原状，将储备土地退回土地储备机构；临时利用人拒不执行的，土地储备机构可以依法组织清退，由此造成的责任由临时利用人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前款规定的内容应当在储备土地出借协议或者租赁协议中明确约定。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eastAsia" w:ascii="Times New Roman" w:hAnsi="Times New Roman" w:eastAsia="仿宋_GB2312" w:cs="Times New Roman"/>
          <w:sz w:val="32"/>
          <w:szCs w:val="32"/>
          <w:lang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二十</w:t>
      </w:r>
      <w:r>
        <w:rPr>
          <w:rFonts w:hint="eastAsia" w:ascii="黑体" w:hAnsi="黑体" w:eastAsia="黑体" w:cs="黑体"/>
          <w:color w:val="333333"/>
          <w:sz w:val="32"/>
          <w:szCs w:val="32"/>
          <w:shd w:val="clear" w:color="auto" w:fill="FFFFFF"/>
        </w:rPr>
        <w:t>条</w:t>
      </w:r>
      <w:r>
        <w:rPr>
          <w:rFonts w:hint="eastAsia" w:ascii="Times New Roman" w:hAnsi="Times New Roman" w:cs="Times New Roman"/>
          <w:sz w:val="32"/>
          <w:szCs w:val="32"/>
          <w:lang w:val="en-US" w:eastAsia="zh-CN"/>
        </w:rPr>
        <w:t xml:space="preserve">  经市土地储备管理委员会同意，土地储备机构可以委托储备土地所在辖区的区人民政府承担储备土地临时利用的具体工作。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二十一</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土地储备机构等行政机关及其工作人员在储备土地的管护和临时利用管理中玩忽职守、滥用职权、徇私舞弊的，依法给予处分；构成犯罪的，依法追究刑事责任。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二十二</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濠江区、澄海区、潮阳区、潮南区以及南澳县储备土地</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管护和临时利用，参照本办法执行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但市人民政府决定由市土地储备机构实施管护和临时利用的，依照本办法执行。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sz w:val="32"/>
          <w:szCs w:val="32"/>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二十三</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szCs w:val="32"/>
        </w:rPr>
        <w:t xml:space="preserve">  本办法自201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rPr>
          <w:rFonts w:hint="eastAsia" w:eastAsia="黑体"/>
        </w:rPr>
      </w:pPr>
    </w:p>
    <w:p>
      <w:pPr>
        <w:keepNext w:val="0"/>
        <w:keepLines w:val="0"/>
        <w:pageBreakBefore w:val="0"/>
        <w:kinsoku/>
        <w:wordWrap/>
        <w:overflowPunct/>
        <w:topLinePunct w:val="0"/>
        <w:autoSpaceDE/>
        <w:autoSpaceDN/>
        <w:bidi w:val="0"/>
        <w:adjustRightInd/>
        <w:snapToGrid/>
        <w:spacing w:line="560" w:lineRule="exact"/>
        <w:ind w:left="0" w:leftChars="0" w:right="0" w:rightChars="0"/>
        <w:rPr>
          <w:rFonts w:hint="eastAsia" w:eastAsia="黑体"/>
        </w:rPr>
      </w:pPr>
    </w:p>
    <w:p>
      <w:pPr>
        <w:keepNext w:val="0"/>
        <w:keepLines w:val="0"/>
        <w:pageBreakBefore w:val="0"/>
        <w:kinsoku/>
        <w:wordWrap/>
        <w:overflowPunct/>
        <w:topLinePunct w:val="0"/>
        <w:autoSpaceDE/>
        <w:autoSpaceDN/>
        <w:bidi w:val="0"/>
        <w:adjustRightInd/>
        <w:snapToGrid/>
        <w:spacing w:line="560" w:lineRule="exact"/>
        <w:ind w:left="0" w:leftChars="0" w:right="0" w:rightChars="0"/>
        <w:rPr>
          <w:rFonts w:hint="eastAsia" w:eastAsia="黑体"/>
        </w:rPr>
      </w:pPr>
    </w:p>
    <w:p>
      <w:pPr>
        <w:keepNext w:val="0"/>
        <w:keepLines w:val="0"/>
        <w:pageBreakBefore w:val="0"/>
        <w:kinsoku/>
        <w:wordWrap/>
        <w:overflowPunct/>
        <w:topLinePunct w:val="0"/>
        <w:autoSpaceDE/>
        <w:autoSpaceDN/>
        <w:bidi w:val="0"/>
        <w:adjustRightInd/>
        <w:snapToGrid/>
        <w:spacing w:line="560" w:lineRule="exact"/>
        <w:ind w:left="0" w:leftChars="0" w:right="0" w:rightChars="0"/>
        <w:rPr>
          <w:rFonts w:hint="eastAsia" w:eastAsia="黑体"/>
        </w:rPr>
      </w:pP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楷体_GB2312">
    <w:altName w:val="方正楷体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ind w:left="7296" w:leftChars="2280" w:firstLine="6400" w:firstLineChars="2000"/>
      <w:jc w:val="lef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6"/>
      <w:tabs>
        <w:tab w:val="left" w:pos="1048"/>
      </w:tabs>
      <w:wordWrap w:val="0"/>
      <w:jc w:val="right"/>
      <w:rPr>
        <w:rFonts w:hint="eastAsia" w:ascii="宋体" w:hAnsi="宋体" w:eastAsia="宋体" w:cs="宋体"/>
        <w:b/>
        <w:bCs/>
        <w:color w:val="005192"/>
        <w:sz w:val="28"/>
        <w:szCs w:val="44"/>
        <w:lang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rPr>
      <w:t xml:space="preserve">汕头市人民政府发布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EDD6C"/>
    <w:multiLevelType w:val="singleLevel"/>
    <w:tmpl w:val="DF3EDD6C"/>
    <w:lvl w:ilvl="0" w:tentative="0">
      <w:start w:val="14"/>
      <w:numFmt w:val="chineseCounting"/>
      <w:suff w:val="space"/>
      <w:lvlText w:val="第%1条"/>
      <w:lvlJc w:val="left"/>
      <w:rPr>
        <w:rFonts w:hint="eastAsia"/>
      </w:rPr>
    </w:lvl>
  </w:abstractNum>
  <w:abstractNum w:abstractNumId="1">
    <w:nsid w:val="FFFCCED9"/>
    <w:multiLevelType w:val="singleLevel"/>
    <w:tmpl w:val="FFFCCED9"/>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1FA46E3C"/>
    <w:rsid w:val="22440422"/>
    <w:rsid w:val="31A15F24"/>
    <w:rsid w:val="395347B5"/>
    <w:rsid w:val="39A232A0"/>
    <w:rsid w:val="39E745AA"/>
    <w:rsid w:val="3B5A6BBB"/>
    <w:rsid w:val="3EDA13A6"/>
    <w:rsid w:val="3EF75F7C"/>
    <w:rsid w:val="42F058B7"/>
    <w:rsid w:val="436109F6"/>
    <w:rsid w:val="441A38D4"/>
    <w:rsid w:val="4BC77339"/>
    <w:rsid w:val="4C9236C5"/>
    <w:rsid w:val="4F779EA5"/>
    <w:rsid w:val="505C172E"/>
    <w:rsid w:val="52F46F0B"/>
    <w:rsid w:val="53D8014D"/>
    <w:rsid w:val="55E064E0"/>
    <w:rsid w:val="572C6D10"/>
    <w:rsid w:val="573FFE74"/>
    <w:rsid w:val="5DC34279"/>
    <w:rsid w:val="5FBF5B9F"/>
    <w:rsid w:val="608816D1"/>
    <w:rsid w:val="60EF4E7F"/>
    <w:rsid w:val="665233C1"/>
    <w:rsid w:val="6AD9688B"/>
    <w:rsid w:val="6B98396A"/>
    <w:rsid w:val="6D0E3F22"/>
    <w:rsid w:val="74F2335D"/>
    <w:rsid w:val="75AFD691"/>
    <w:rsid w:val="75C7A3C8"/>
    <w:rsid w:val="75FBD68E"/>
    <w:rsid w:val="79DF2BB4"/>
    <w:rsid w:val="79F6E1B9"/>
    <w:rsid w:val="7C9011D9"/>
    <w:rsid w:val="7D478AC4"/>
    <w:rsid w:val="7DC651C5"/>
    <w:rsid w:val="7DF96B0A"/>
    <w:rsid w:val="7EA756BA"/>
    <w:rsid w:val="7F261BB6"/>
    <w:rsid w:val="7F7D8F08"/>
    <w:rsid w:val="7F7F3628"/>
    <w:rsid w:val="7F976D4C"/>
    <w:rsid w:val="7FCC2834"/>
    <w:rsid w:val="8778DF11"/>
    <w:rsid w:val="9E2BB6BA"/>
    <w:rsid w:val="9F7B15EC"/>
    <w:rsid w:val="AF7F82DE"/>
    <w:rsid w:val="B30E06DD"/>
    <w:rsid w:val="B57970FC"/>
    <w:rsid w:val="B8DF75CC"/>
    <w:rsid w:val="BAFD7BC1"/>
    <w:rsid w:val="BBFD0D8B"/>
    <w:rsid w:val="CDBF3498"/>
    <w:rsid w:val="CF7B8244"/>
    <w:rsid w:val="D47F7CB0"/>
    <w:rsid w:val="DF5B01B4"/>
    <w:rsid w:val="DFDB8F52"/>
    <w:rsid w:val="EBB7AD85"/>
    <w:rsid w:val="EEFFA108"/>
    <w:rsid w:val="F5F7E1BC"/>
    <w:rsid w:val="F71B149F"/>
    <w:rsid w:val="F7EF1E0B"/>
    <w:rsid w:val="FBFFDB37"/>
    <w:rsid w:val="FDE589B2"/>
    <w:rsid w:val="FE7B5234"/>
    <w:rsid w:val="FF7F751D"/>
    <w:rsid w:val="FFB12CC2"/>
    <w:rsid w:val="FFBB3A8A"/>
    <w:rsid w:val="FFDF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spacing w:before="340" w:beforeLines="0" w:after="330" w:afterLines="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qFormat/>
    <w:uiPriority w:val="10"/>
    <w:pPr>
      <w:spacing w:line="600" w:lineRule="exact"/>
      <w:jc w:val="center"/>
      <w:textAlignment w:val="center"/>
      <w:outlineLvl w:val="0"/>
    </w:pPr>
    <w:rPr>
      <w:rFonts w:ascii="Arial" w:hAnsi="Arial" w:eastAsia="宋体" w:cs="Arial"/>
      <w:b/>
      <w:kern w:val="2"/>
      <w:sz w:val="44"/>
      <w:szCs w:val="32"/>
      <w:lang w:val="en-US" w:eastAsia="zh-CN" w:bidi="ar-SA"/>
    </w:rPr>
  </w:style>
  <w:style w:type="character" w:styleId="10">
    <w:name w:val="page number"/>
    <w:basedOn w:val="9"/>
    <w:qFormat/>
    <w:uiPriority w:val="0"/>
  </w:style>
  <w:style w:type="character" w:styleId="11">
    <w:name w:val="annotation reference"/>
    <w:basedOn w:val="9"/>
    <w:qFormat/>
    <w:uiPriority w:val="0"/>
    <w:rPr>
      <w:sz w:val="21"/>
      <w:szCs w:val="21"/>
    </w:rPr>
  </w:style>
  <w:style w:type="character" w:customStyle="1" w:styleId="12">
    <w:name w:val="批注框文本 字符"/>
    <w:basedOn w:val="9"/>
    <w:link w:val="4"/>
    <w:qFormat/>
    <w:uiPriority w:val="0"/>
    <w:rPr>
      <w:rFonts w:asciiTheme="minorHAnsi" w:hAnsiTheme="minorHAnsi" w:eastAsiaTheme="minorEastAsia" w:cstheme="minorBidi"/>
      <w:kern w:val="2"/>
      <w:sz w:val="18"/>
      <w:szCs w:val="18"/>
    </w:rPr>
  </w:style>
  <w:style w:type="paragraph" w:customStyle="1" w:styleId="13">
    <w:name w:val=" Char1 Char Char Char Char Char Char Char Char Char Char Char Char Char Char1 Char Char Char1 Char Char Char Char Char Char Char Char Char Char Char Char1 Char Char Char Char Char Char Char Char Char Char Char Char Char"/>
    <w:basedOn w:val="2"/>
    <w:qFormat/>
    <w:uiPriority w:val="0"/>
    <w:pPr>
      <w:widowControl/>
      <w:snapToGrid w:val="0"/>
      <w:spacing w:before="240" w:beforeLines="0" w:after="240" w:afterLines="0" w:line="348" w:lineRule="auto"/>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414</TotalTime>
  <ScaleCrop>false</ScaleCrop>
  <LinksUpToDate>false</LinksUpToDate>
  <CharactersWithSpaces>747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♚Eva♚</cp:lastModifiedBy>
  <cp:lastPrinted>2021-10-27T11:30:00Z</cp:lastPrinted>
  <dcterms:modified xsi:type="dcterms:W3CDTF">2021-12-07T15:50:40Z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