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hint="eastAsia" w:ascii="黑体" w:hAnsi="黑体" w:eastAsia="黑体" w:cs="黑体"/>
          <w:b w:val="0"/>
          <w:bCs w:val="0"/>
          <w:sz w:val="32"/>
          <w:szCs w:val="32"/>
          <w:lang w:val="en-US" w:eastAsia="zh-CN"/>
        </w:rPr>
      </w:pPr>
    </w:p>
    <w:p>
      <w:pPr>
        <w:ind w:firstLine="640" w:firstLineChars="200"/>
        <w:jc w:val="center"/>
        <w:rPr>
          <w:rFonts w:hint="eastAsia" w:ascii="黑体" w:hAnsi="黑体" w:eastAsia="黑体" w:cs="黑体"/>
          <w:b w:val="0"/>
          <w:bCs w:val="0"/>
          <w:sz w:val="32"/>
          <w:szCs w:val="32"/>
          <w:lang w:val="en-US" w:eastAsia="zh-CN"/>
        </w:rPr>
      </w:pPr>
    </w:p>
    <w:p>
      <w:pPr>
        <w:ind w:firstLine="723" w:firstLineChars="200"/>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汕头市数字政府改革建设“十四五”规划</w:t>
      </w:r>
    </w:p>
    <w:p>
      <w:pPr>
        <w:ind w:firstLine="640" w:firstLineChars="20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（征求意见稿）</w:t>
      </w:r>
    </w:p>
    <w:p>
      <w:pPr>
        <w:ind w:firstLine="640" w:firstLineChars="200"/>
        <w:jc w:val="center"/>
        <w:rPr>
          <w:rFonts w:hint="eastAsia" w:ascii="黑体" w:hAnsi="黑体" w:eastAsia="黑体" w:cs="黑体"/>
          <w:b w:val="0"/>
          <w:bCs w:val="0"/>
          <w:sz w:val="32"/>
          <w:szCs w:val="32"/>
          <w:lang w:val="en-US" w:eastAsia="zh-CN"/>
        </w:rPr>
      </w:pPr>
    </w:p>
    <w:p>
      <w:pPr>
        <w:ind w:firstLine="640" w:firstLineChars="200"/>
        <w:jc w:val="center"/>
        <w:rPr>
          <w:rFonts w:hint="eastAsia" w:ascii="黑体" w:hAnsi="黑体" w:eastAsia="黑体" w:cs="黑体"/>
          <w:b w:val="0"/>
          <w:bCs w:val="0"/>
          <w:sz w:val="32"/>
          <w:szCs w:val="32"/>
          <w:lang w:val="en-US" w:eastAsia="zh-CN"/>
        </w:rPr>
      </w:pPr>
    </w:p>
    <w:p>
      <w:pPr>
        <w:ind w:firstLine="640" w:firstLineChars="200"/>
        <w:jc w:val="center"/>
        <w:rPr>
          <w:rFonts w:hint="eastAsia" w:ascii="黑体" w:hAnsi="黑体" w:eastAsia="黑体" w:cs="黑体"/>
          <w:b w:val="0"/>
          <w:bCs w:val="0"/>
          <w:sz w:val="32"/>
          <w:szCs w:val="32"/>
          <w:lang w:val="en-US" w:eastAsia="zh-CN"/>
        </w:rPr>
      </w:pPr>
    </w:p>
    <w:p>
      <w:pPr>
        <w:ind w:firstLine="640" w:firstLineChars="200"/>
        <w:jc w:val="center"/>
        <w:rPr>
          <w:rFonts w:hint="eastAsia" w:ascii="黑体" w:hAnsi="黑体" w:eastAsia="黑体" w:cs="黑体"/>
          <w:b w:val="0"/>
          <w:bCs w:val="0"/>
          <w:sz w:val="32"/>
          <w:szCs w:val="32"/>
          <w:lang w:val="en-US" w:eastAsia="zh-CN"/>
        </w:rPr>
      </w:pPr>
    </w:p>
    <w:p>
      <w:pPr>
        <w:ind w:firstLine="640" w:firstLineChars="200"/>
        <w:jc w:val="center"/>
        <w:rPr>
          <w:rFonts w:hint="eastAsia" w:ascii="黑体" w:hAnsi="黑体" w:eastAsia="黑体" w:cs="黑体"/>
          <w:b w:val="0"/>
          <w:bCs w:val="0"/>
          <w:sz w:val="32"/>
          <w:szCs w:val="32"/>
          <w:lang w:val="en-US" w:eastAsia="zh-CN"/>
        </w:rPr>
      </w:pPr>
    </w:p>
    <w:p>
      <w:pPr>
        <w:ind w:firstLine="640" w:firstLineChars="200"/>
        <w:jc w:val="center"/>
        <w:rPr>
          <w:rFonts w:hint="eastAsia" w:ascii="黑体" w:hAnsi="黑体" w:eastAsia="黑体" w:cs="黑体"/>
          <w:b w:val="0"/>
          <w:bCs w:val="0"/>
          <w:sz w:val="32"/>
          <w:szCs w:val="32"/>
          <w:lang w:val="en-US" w:eastAsia="zh-CN"/>
        </w:rPr>
      </w:pPr>
    </w:p>
    <w:p>
      <w:pPr>
        <w:ind w:firstLine="640" w:firstLineChars="200"/>
        <w:jc w:val="center"/>
        <w:rPr>
          <w:rFonts w:hint="eastAsia" w:ascii="黑体" w:hAnsi="黑体" w:eastAsia="黑体" w:cs="黑体"/>
          <w:b w:val="0"/>
          <w:bCs w:val="0"/>
          <w:sz w:val="32"/>
          <w:szCs w:val="32"/>
          <w:lang w:val="en-US" w:eastAsia="zh-CN"/>
        </w:rPr>
      </w:pPr>
    </w:p>
    <w:p>
      <w:pPr>
        <w:ind w:firstLine="640" w:firstLineChars="200"/>
        <w:jc w:val="center"/>
        <w:rPr>
          <w:rFonts w:hint="eastAsia" w:ascii="黑体" w:hAnsi="黑体" w:eastAsia="黑体" w:cs="黑体"/>
          <w:b w:val="0"/>
          <w:bCs w:val="0"/>
          <w:sz w:val="32"/>
          <w:szCs w:val="32"/>
          <w:lang w:val="en-US" w:eastAsia="zh-CN"/>
        </w:rPr>
      </w:pPr>
    </w:p>
    <w:p>
      <w:pPr>
        <w:ind w:firstLine="640" w:firstLineChars="200"/>
        <w:jc w:val="center"/>
        <w:rPr>
          <w:rFonts w:hint="eastAsia" w:ascii="黑体" w:hAnsi="黑体" w:eastAsia="黑体" w:cs="黑体"/>
          <w:b w:val="0"/>
          <w:bCs w:val="0"/>
          <w:sz w:val="32"/>
          <w:szCs w:val="32"/>
          <w:lang w:val="en-US" w:eastAsia="zh-CN"/>
        </w:rPr>
      </w:pPr>
    </w:p>
    <w:p>
      <w:pPr>
        <w:ind w:firstLine="640" w:firstLineChars="200"/>
        <w:jc w:val="center"/>
        <w:rPr>
          <w:rFonts w:hint="eastAsia" w:ascii="黑体" w:hAnsi="黑体" w:eastAsia="黑体" w:cs="黑体"/>
          <w:b w:val="0"/>
          <w:bCs w:val="0"/>
          <w:sz w:val="32"/>
          <w:szCs w:val="32"/>
          <w:lang w:val="en-US" w:eastAsia="zh-CN"/>
        </w:rPr>
      </w:pPr>
    </w:p>
    <w:p>
      <w:pPr>
        <w:ind w:firstLine="640" w:firstLineChars="200"/>
        <w:jc w:val="center"/>
        <w:rPr>
          <w:rFonts w:hint="eastAsia" w:ascii="黑体" w:hAnsi="黑体" w:eastAsia="黑体" w:cs="黑体"/>
          <w:b w:val="0"/>
          <w:bCs w:val="0"/>
          <w:sz w:val="32"/>
          <w:szCs w:val="32"/>
          <w:lang w:val="en-US" w:eastAsia="zh-CN"/>
        </w:rPr>
      </w:pPr>
    </w:p>
    <w:p>
      <w:pPr>
        <w:ind w:firstLine="640" w:firstLineChars="200"/>
        <w:jc w:val="center"/>
        <w:rPr>
          <w:rFonts w:hint="eastAsia" w:ascii="黑体" w:hAnsi="黑体" w:eastAsia="黑体" w:cs="黑体"/>
          <w:b w:val="0"/>
          <w:bCs w:val="0"/>
          <w:sz w:val="32"/>
          <w:szCs w:val="32"/>
          <w:lang w:val="en-US" w:eastAsia="zh-CN"/>
        </w:rPr>
      </w:pPr>
    </w:p>
    <w:p>
      <w:pPr>
        <w:ind w:firstLine="640" w:firstLineChars="200"/>
        <w:jc w:val="center"/>
        <w:rPr>
          <w:rFonts w:hint="eastAsia" w:ascii="黑体" w:hAnsi="黑体" w:eastAsia="黑体" w:cs="黑体"/>
          <w:b w:val="0"/>
          <w:bCs w:val="0"/>
          <w:sz w:val="32"/>
          <w:szCs w:val="32"/>
          <w:lang w:val="en-US" w:eastAsia="zh-CN"/>
        </w:rPr>
      </w:pPr>
    </w:p>
    <w:p>
      <w:pPr>
        <w:ind w:firstLine="640" w:firstLineChars="200"/>
        <w:jc w:val="center"/>
        <w:rPr>
          <w:rFonts w:hint="eastAsia" w:ascii="黑体" w:hAnsi="黑体" w:eastAsia="黑体" w:cs="黑体"/>
          <w:b w:val="0"/>
          <w:bCs w:val="0"/>
          <w:sz w:val="32"/>
          <w:szCs w:val="32"/>
          <w:lang w:val="en-US" w:eastAsia="zh-CN"/>
        </w:rPr>
      </w:pPr>
    </w:p>
    <w:p>
      <w:pPr>
        <w:ind w:firstLine="640" w:firstLineChars="200"/>
        <w:jc w:val="center"/>
        <w:rPr>
          <w:rFonts w:hint="eastAsia" w:ascii="黑体" w:hAnsi="黑体" w:eastAsia="黑体" w:cs="黑体"/>
          <w:b w:val="0"/>
          <w:bCs w:val="0"/>
          <w:sz w:val="32"/>
          <w:szCs w:val="32"/>
          <w:lang w:val="en-US" w:eastAsia="zh-CN"/>
        </w:rPr>
      </w:pPr>
    </w:p>
    <w:p>
      <w:pPr>
        <w:ind w:firstLine="640" w:firstLineChars="20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2021年11月</w:t>
      </w:r>
    </w:p>
    <w:p>
      <w:pPr>
        <w:ind w:firstLine="640" w:firstLineChars="200"/>
        <w:jc w:val="center"/>
        <w:rPr>
          <w:rFonts w:hint="eastAsia" w:ascii="黑体" w:hAnsi="黑体" w:eastAsia="黑体" w:cs="黑体"/>
          <w:b w:val="0"/>
          <w:bCs w:val="0"/>
          <w:sz w:val="32"/>
          <w:szCs w:val="32"/>
          <w:lang w:val="en-US" w:eastAsia="zh-CN"/>
        </w:rPr>
      </w:pPr>
    </w:p>
    <w:p>
      <w:pPr>
        <w:ind w:firstLine="640" w:firstLineChars="200"/>
        <w:jc w:val="center"/>
        <w:rPr>
          <w:rFonts w:hint="eastAsia" w:ascii="黑体" w:hAnsi="黑体" w:eastAsia="黑体" w:cs="黑体"/>
          <w:b w:val="0"/>
          <w:bCs w:val="0"/>
          <w:sz w:val="32"/>
          <w:szCs w:val="32"/>
          <w:lang w:val="en-US" w:eastAsia="zh-CN"/>
        </w:rPr>
      </w:pPr>
    </w:p>
    <w:p>
      <w:pPr>
        <w:pStyle w:val="5"/>
        <w:tabs>
          <w:tab w:val="right" w:leader="dot" w:pos="8306"/>
        </w:tabs>
        <w:jc w:val="center"/>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目录</w:t>
      </w:r>
    </w:p>
    <w:p>
      <w:pPr>
        <w:rPr>
          <w:rFonts w:hint="eastAsia"/>
          <w:lang w:val="en-US" w:eastAsia="zh-CN"/>
        </w:rPr>
      </w:pPr>
    </w:p>
    <w:p>
      <w:pPr>
        <w:pStyle w:val="5"/>
        <w:tabs>
          <w:tab w:val="right" w:leader="dot" w:pos="8306"/>
        </w:tabs>
        <w:rPr>
          <w:rFonts w:hint="eastAsia" w:ascii="仿宋" w:hAnsi="仿宋" w:eastAsia="仿宋" w:cs="仿宋"/>
          <w:b/>
          <w:bCs/>
          <w:sz w:val="30"/>
          <w:szCs w:val="30"/>
        </w:rPr>
      </w:pPr>
      <w:r>
        <w:rPr>
          <w:rFonts w:hint="eastAsia" w:ascii="仿宋" w:hAnsi="仿宋" w:eastAsia="仿宋" w:cs="仿宋"/>
          <w:b w:val="0"/>
          <w:bCs w:val="0"/>
          <w:sz w:val="30"/>
          <w:szCs w:val="30"/>
          <w:lang w:val="en-US" w:eastAsia="zh-CN"/>
        </w:rPr>
        <w:fldChar w:fldCharType="begin"/>
      </w:r>
      <w:r>
        <w:rPr>
          <w:rFonts w:hint="eastAsia" w:ascii="仿宋" w:hAnsi="仿宋" w:eastAsia="仿宋" w:cs="仿宋"/>
          <w:b w:val="0"/>
          <w:bCs w:val="0"/>
          <w:sz w:val="30"/>
          <w:szCs w:val="30"/>
          <w:lang w:val="en-US" w:eastAsia="zh-CN"/>
        </w:rPr>
        <w:instrText xml:space="preserve">TOC \o "1-2" \h \u </w:instrText>
      </w:r>
      <w:r>
        <w:rPr>
          <w:rFonts w:hint="eastAsia" w:ascii="仿宋" w:hAnsi="仿宋" w:eastAsia="仿宋" w:cs="仿宋"/>
          <w:b w:val="0"/>
          <w:bCs w:val="0"/>
          <w:sz w:val="30"/>
          <w:szCs w:val="30"/>
          <w:lang w:val="en-US" w:eastAsia="zh-CN"/>
        </w:rPr>
        <w:fldChar w:fldCharType="separate"/>
      </w:r>
      <w:r>
        <w:rPr>
          <w:rFonts w:hint="eastAsia" w:ascii="仿宋" w:hAnsi="仿宋" w:eastAsia="仿宋" w:cs="仿宋"/>
          <w:b/>
          <w:bCs/>
          <w:sz w:val="30"/>
          <w:szCs w:val="30"/>
          <w:lang w:val="en-US" w:eastAsia="zh-CN"/>
        </w:rPr>
        <w:fldChar w:fldCharType="begin"/>
      </w:r>
      <w:r>
        <w:rPr>
          <w:rFonts w:hint="eastAsia" w:ascii="仿宋" w:hAnsi="仿宋" w:eastAsia="仿宋" w:cs="仿宋"/>
          <w:b/>
          <w:bCs/>
          <w:sz w:val="30"/>
          <w:szCs w:val="30"/>
          <w:lang w:val="en-US" w:eastAsia="zh-CN"/>
        </w:rPr>
        <w:instrText xml:space="preserve"> HYPERLINK \l _Toc4670 </w:instrText>
      </w:r>
      <w:r>
        <w:rPr>
          <w:rFonts w:hint="eastAsia" w:ascii="仿宋" w:hAnsi="仿宋" w:eastAsia="仿宋" w:cs="仿宋"/>
          <w:b/>
          <w:bCs/>
          <w:sz w:val="30"/>
          <w:szCs w:val="30"/>
          <w:lang w:val="en-US" w:eastAsia="zh-CN"/>
        </w:rPr>
        <w:fldChar w:fldCharType="separate"/>
      </w:r>
      <w:r>
        <w:rPr>
          <w:rFonts w:hint="eastAsia" w:ascii="仿宋" w:hAnsi="仿宋" w:eastAsia="仿宋" w:cs="仿宋"/>
          <w:b/>
          <w:bCs/>
          <w:sz w:val="30"/>
          <w:szCs w:val="30"/>
          <w:lang w:val="en-US" w:eastAsia="zh-CN"/>
        </w:rPr>
        <w:t>引言</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_Toc4670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w:t>
      </w:r>
      <w:r>
        <w:rPr>
          <w:rFonts w:hint="eastAsia" w:ascii="仿宋" w:hAnsi="仿宋" w:eastAsia="仿宋" w:cs="仿宋"/>
          <w:b/>
          <w:bCs/>
          <w:sz w:val="30"/>
          <w:szCs w:val="30"/>
        </w:rPr>
        <w:fldChar w:fldCharType="end"/>
      </w:r>
      <w:r>
        <w:rPr>
          <w:rFonts w:hint="eastAsia" w:ascii="仿宋" w:hAnsi="仿宋" w:eastAsia="仿宋" w:cs="仿宋"/>
          <w:b/>
          <w:bCs/>
          <w:sz w:val="30"/>
          <w:szCs w:val="30"/>
          <w:lang w:val="en-US" w:eastAsia="zh-CN"/>
        </w:rPr>
        <w:fldChar w:fldCharType="end"/>
      </w:r>
    </w:p>
    <w:p>
      <w:pPr>
        <w:pStyle w:val="5"/>
        <w:tabs>
          <w:tab w:val="right" w:leader="dot" w:pos="8306"/>
        </w:tabs>
        <w:rPr>
          <w:rFonts w:hint="eastAsia" w:ascii="仿宋" w:hAnsi="仿宋" w:eastAsia="仿宋" w:cs="仿宋"/>
          <w:b/>
          <w:bCs/>
          <w:sz w:val="30"/>
          <w:szCs w:val="30"/>
        </w:rPr>
      </w:pPr>
      <w:r>
        <w:rPr>
          <w:rFonts w:hint="eastAsia" w:ascii="仿宋" w:hAnsi="仿宋" w:eastAsia="仿宋" w:cs="仿宋"/>
          <w:b/>
          <w:bCs/>
          <w:sz w:val="30"/>
          <w:szCs w:val="30"/>
          <w:lang w:val="en-US" w:eastAsia="zh-CN"/>
        </w:rPr>
        <w:fldChar w:fldCharType="begin"/>
      </w:r>
      <w:r>
        <w:rPr>
          <w:rFonts w:hint="eastAsia" w:ascii="仿宋" w:hAnsi="仿宋" w:eastAsia="仿宋" w:cs="仿宋"/>
          <w:b/>
          <w:bCs/>
          <w:sz w:val="30"/>
          <w:szCs w:val="30"/>
          <w:lang w:val="en-US" w:eastAsia="zh-CN"/>
        </w:rPr>
        <w:instrText xml:space="preserve"> HYPERLINK \l _Toc3911 </w:instrText>
      </w:r>
      <w:r>
        <w:rPr>
          <w:rFonts w:hint="eastAsia" w:ascii="仿宋" w:hAnsi="仿宋" w:eastAsia="仿宋" w:cs="仿宋"/>
          <w:b/>
          <w:bCs/>
          <w:sz w:val="30"/>
          <w:szCs w:val="30"/>
          <w:lang w:val="en-US" w:eastAsia="zh-CN"/>
        </w:rPr>
        <w:fldChar w:fldCharType="separate"/>
      </w:r>
      <w:r>
        <w:rPr>
          <w:rFonts w:hint="eastAsia" w:ascii="仿宋" w:hAnsi="仿宋" w:eastAsia="仿宋" w:cs="仿宋"/>
          <w:b/>
          <w:bCs/>
          <w:sz w:val="30"/>
          <w:szCs w:val="30"/>
          <w:lang w:val="en-US" w:eastAsia="zh-CN"/>
        </w:rPr>
        <w:t>第一章  发展现状</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_Toc3911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2</w:t>
      </w:r>
      <w:r>
        <w:rPr>
          <w:rFonts w:hint="eastAsia" w:ascii="仿宋" w:hAnsi="仿宋" w:eastAsia="仿宋" w:cs="仿宋"/>
          <w:b/>
          <w:bCs/>
          <w:sz w:val="30"/>
          <w:szCs w:val="30"/>
        </w:rPr>
        <w:fldChar w:fldCharType="end"/>
      </w:r>
      <w:r>
        <w:rPr>
          <w:rFonts w:hint="eastAsia" w:ascii="仿宋" w:hAnsi="仿宋" w:eastAsia="仿宋" w:cs="仿宋"/>
          <w:b/>
          <w:bCs/>
          <w:sz w:val="30"/>
          <w:szCs w:val="30"/>
          <w:lang w:val="en-US" w:eastAsia="zh-CN"/>
        </w:rPr>
        <w:fldChar w:fldCharType="end"/>
      </w:r>
    </w:p>
    <w:p>
      <w:pPr>
        <w:pStyle w:val="6"/>
        <w:tabs>
          <w:tab w:val="right" w:leader="dot" w:pos="8306"/>
        </w:tabs>
        <w:rPr>
          <w:rFonts w:hint="eastAsia" w:ascii="仿宋" w:hAnsi="仿宋" w:eastAsia="仿宋" w:cs="仿宋"/>
          <w:sz w:val="30"/>
          <w:szCs w:val="30"/>
        </w:rPr>
      </w:pPr>
      <w:r>
        <w:rPr>
          <w:rFonts w:hint="eastAsia" w:ascii="仿宋" w:hAnsi="仿宋" w:eastAsia="仿宋" w:cs="仿宋"/>
          <w:bCs w:val="0"/>
          <w:sz w:val="30"/>
          <w:szCs w:val="30"/>
          <w:lang w:val="en-US" w:eastAsia="zh-CN"/>
        </w:rPr>
        <w:fldChar w:fldCharType="begin"/>
      </w:r>
      <w:r>
        <w:rPr>
          <w:rFonts w:hint="eastAsia" w:ascii="仿宋" w:hAnsi="仿宋" w:eastAsia="仿宋" w:cs="仿宋"/>
          <w:bCs w:val="0"/>
          <w:sz w:val="30"/>
          <w:szCs w:val="30"/>
          <w:lang w:val="en-US" w:eastAsia="zh-CN"/>
        </w:rPr>
        <w:instrText xml:space="preserve"> HYPERLINK \l _Toc31327 </w:instrText>
      </w:r>
      <w:r>
        <w:rPr>
          <w:rFonts w:hint="eastAsia" w:ascii="仿宋" w:hAnsi="仿宋" w:eastAsia="仿宋" w:cs="仿宋"/>
          <w:bCs w:val="0"/>
          <w:sz w:val="30"/>
          <w:szCs w:val="30"/>
          <w:lang w:val="en-US" w:eastAsia="zh-CN"/>
        </w:rPr>
        <w:fldChar w:fldCharType="separate"/>
      </w:r>
      <w:r>
        <w:rPr>
          <w:rFonts w:hint="eastAsia" w:ascii="仿宋" w:hAnsi="仿宋" w:eastAsia="仿宋" w:cs="仿宋"/>
          <w:bCs w:val="0"/>
          <w:sz w:val="30"/>
          <w:szCs w:val="30"/>
          <w:lang w:val="en-US" w:eastAsia="zh-CN"/>
        </w:rPr>
        <w:t>第一节  建设现状</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_Toc31327 </w:instrText>
      </w:r>
      <w:r>
        <w:rPr>
          <w:rFonts w:hint="eastAsia" w:ascii="仿宋" w:hAnsi="仿宋" w:eastAsia="仿宋" w:cs="仿宋"/>
          <w:sz w:val="30"/>
          <w:szCs w:val="30"/>
        </w:rPr>
        <w:fldChar w:fldCharType="separate"/>
      </w:r>
      <w:r>
        <w:rPr>
          <w:rFonts w:hint="eastAsia" w:ascii="仿宋" w:hAnsi="仿宋" w:eastAsia="仿宋" w:cs="仿宋"/>
          <w:sz w:val="30"/>
          <w:szCs w:val="30"/>
        </w:rPr>
        <w:t>2</w:t>
      </w:r>
      <w:r>
        <w:rPr>
          <w:rFonts w:hint="eastAsia" w:ascii="仿宋" w:hAnsi="仿宋" w:eastAsia="仿宋" w:cs="仿宋"/>
          <w:sz w:val="30"/>
          <w:szCs w:val="30"/>
        </w:rPr>
        <w:fldChar w:fldCharType="end"/>
      </w:r>
      <w:r>
        <w:rPr>
          <w:rFonts w:hint="eastAsia" w:ascii="仿宋" w:hAnsi="仿宋" w:eastAsia="仿宋" w:cs="仿宋"/>
          <w:bCs w:val="0"/>
          <w:sz w:val="30"/>
          <w:szCs w:val="30"/>
          <w:lang w:val="en-US" w:eastAsia="zh-CN"/>
        </w:rPr>
        <w:fldChar w:fldCharType="end"/>
      </w:r>
    </w:p>
    <w:p>
      <w:pPr>
        <w:pStyle w:val="6"/>
        <w:tabs>
          <w:tab w:val="right" w:leader="dot" w:pos="8306"/>
        </w:tabs>
        <w:rPr>
          <w:rFonts w:hint="eastAsia" w:ascii="仿宋" w:hAnsi="仿宋" w:eastAsia="仿宋" w:cs="仿宋"/>
          <w:sz w:val="30"/>
          <w:szCs w:val="30"/>
        </w:rPr>
      </w:pPr>
      <w:r>
        <w:rPr>
          <w:rFonts w:hint="eastAsia" w:ascii="仿宋" w:hAnsi="仿宋" w:eastAsia="仿宋" w:cs="仿宋"/>
          <w:bCs w:val="0"/>
          <w:sz w:val="30"/>
          <w:szCs w:val="30"/>
          <w:lang w:val="en-US" w:eastAsia="zh-CN"/>
        </w:rPr>
        <w:fldChar w:fldCharType="begin"/>
      </w:r>
      <w:r>
        <w:rPr>
          <w:rFonts w:hint="eastAsia" w:ascii="仿宋" w:hAnsi="仿宋" w:eastAsia="仿宋" w:cs="仿宋"/>
          <w:bCs w:val="0"/>
          <w:sz w:val="30"/>
          <w:szCs w:val="30"/>
          <w:lang w:val="en-US" w:eastAsia="zh-CN"/>
        </w:rPr>
        <w:instrText xml:space="preserve"> HYPERLINK \l _Toc20469 </w:instrText>
      </w:r>
      <w:r>
        <w:rPr>
          <w:rFonts w:hint="eastAsia" w:ascii="仿宋" w:hAnsi="仿宋" w:eastAsia="仿宋" w:cs="仿宋"/>
          <w:bCs w:val="0"/>
          <w:sz w:val="30"/>
          <w:szCs w:val="30"/>
          <w:lang w:val="en-US" w:eastAsia="zh-CN"/>
        </w:rPr>
        <w:fldChar w:fldCharType="separate"/>
      </w:r>
      <w:r>
        <w:rPr>
          <w:rFonts w:hint="eastAsia" w:ascii="仿宋" w:hAnsi="仿宋" w:eastAsia="仿宋" w:cs="仿宋"/>
          <w:bCs w:val="0"/>
          <w:sz w:val="30"/>
          <w:szCs w:val="30"/>
          <w:lang w:val="en-US" w:eastAsia="zh-CN"/>
        </w:rPr>
        <w:t>第二节  存在问题</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_Toc20469 </w:instrText>
      </w:r>
      <w:r>
        <w:rPr>
          <w:rFonts w:hint="eastAsia" w:ascii="仿宋" w:hAnsi="仿宋" w:eastAsia="仿宋" w:cs="仿宋"/>
          <w:sz w:val="30"/>
          <w:szCs w:val="30"/>
        </w:rPr>
        <w:fldChar w:fldCharType="separate"/>
      </w:r>
      <w:r>
        <w:rPr>
          <w:rFonts w:hint="eastAsia" w:ascii="仿宋" w:hAnsi="仿宋" w:eastAsia="仿宋" w:cs="仿宋"/>
          <w:sz w:val="30"/>
          <w:szCs w:val="30"/>
        </w:rPr>
        <w:t>12</w:t>
      </w:r>
      <w:r>
        <w:rPr>
          <w:rFonts w:hint="eastAsia" w:ascii="仿宋" w:hAnsi="仿宋" w:eastAsia="仿宋" w:cs="仿宋"/>
          <w:sz w:val="30"/>
          <w:szCs w:val="30"/>
        </w:rPr>
        <w:fldChar w:fldCharType="end"/>
      </w:r>
      <w:r>
        <w:rPr>
          <w:rFonts w:hint="eastAsia" w:ascii="仿宋" w:hAnsi="仿宋" w:eastAsia="仿宋" w:cs="仿宋"/>
          <w:bCs w:val="0"/>
          <w:sz w:val="30"/>
          <w:szCs w:val="30"/>
          <w:lang w:val="en-US" w:eastAsia="zh-CN"/>
        </w:rPr>
        <w:fldChar w:fldCharType="end"/>
      </w:r>
    </w:p>
    <w:p>
      <w:pPr>
        <w:pStyle w:val="5"/>
        <w:tabs>
          <w:tab w:val="right" w:leader="dot" w:pos="8306"/>
        </w:tabs>
        <w:rPr>
          <w:rFonts w:hint="eastAsia" w:ascii="仿宋" w:hAnsi="仿宋" w:eastAsia="仿宋" w:cs="仿宋"/>
          <w:b/>
          <w:bCs/>
          <w:sz w:val="30"/>
          <w:szCs w:val="30"/>
        </w:rPr>
      </w:pPr>
      <w:r>
        <w:rPr>
          <w:rFonts w:hint="eastAsia" w:ascii="仿宋" w:hAnsi="仿宋" w:eastAsia="仿宋" w:cs="仿宋"/>
          <w:b/>
          <w:bCs/>
          <w:sz w:val="30"/>
          <w:szCs w:val="30"/>
          <w:lang w:val="en-US" w:eastAsia="zh-CN"/>
        </w:rPr>
        <w:fldChar w:fldCharType="begin"/>
      </w:r>
      <w:r>
        <w:rPr>
          <w:rFonts w:hint="eastAsia" w:ascii="仿宋" w:hAnsi="仿宋" w:eastAsia="仿宋" w:cs="仿宋"/>
          <w:b/>
          <w:bCs/>
          <w:sz w:val="30"/>
          <w:szCs w:val="30"/>
          <w:lang w:val="en-US" w:eastAsia="zh-CN"/>
        </w:rPr>
        <w:instrText xml:space="preserve"> HYPERLINK \l _Toc4679 </w:instrText>
      </w:r>
      <w:r>
        <w:rPr>
          <w:rFonts w:hint="eastAsia" w:ascii="仿宋" w:hAnsi="仿宋" w:eastAsia="仿宋" w:cs="仿宋"/>
          <w:b/>
          <w:bCs/>
          <w:sz w:val="30"/>
          <w:szCs w:val="30"/>
          <w:lang w:val="en-US" w:eastAsia="zh-CN"/>
        </w:rPr>
        <w:fldChar w:fldCharType="separate"/>
      </w:r>
      <w:r>
        <w:rPr>
          <w:rFonts w:hint="eastAsia" w:ascii="仿宋" w:hAnsi="仿宋" w:eastAsia="仿宋" w:cs="仿宋"/>
          <w:b/>
          <w:bCs/>
          <w:kern w:val="2"/>
          <w:sz w:val="30"/>
          <w:szCs w:val="30"/>
          <w:lang w:val="en-US" w:eastAsia="zh-CN" w:bidi="ar-SA"/>
        </w:rPr>
        <w:t>第二章 总体要求</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_Toc4679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13</w:t>
      </w:r>
      <w:r>
        <w:rPr>
          <w:rFonts w:hint="eastAsia" w:ascii="仿宋" w:hAnsi="仿宋" w:eastAsia="仿宋" w:cs="仿宋"/>
          <w:b/>
          <w:bCs/>
          <w:sz w:val="30"/>
          <w:szCs w:val="30"/>
        </w:rPr>
        <w:fldChar w:fldCharType="end"/>
      </w:r>
      <w:r>
        <w:rPr>
          <w:rFonts w:hint="eastAsia" w:ascii="仿宋" w:hAnsi="仿宋" w:eastAsia="仿宋" w:cs="仿宋"/>
          <w:b/>
          <w:bCs/>
          <w:sz w:val="30"/>
          <w:szCs w:val="30"/>
          <w:lang w:val="en-US" w:eastAsia="zh-CN"/>
        </w:rPr>
        <w:fldChar w:fldCharType="end"/>
      </w:r>
    </w:p>
    <w:p>
      <w:pPr>
        <w:pStyle w:val="6"/>
        <w:tabs>
          <w:tab w:val="right" w:leader="dot" w:pos="8306"/>
        </w:tabs>
        <w:rPr>
          <w:rFonts w:hint="eastAsia" w:ascii="仿宋" w:hAnsi="仿宋" w:eastAsia="仿宋" w:cs="仿宋"/>
          <w:sz w:val="30"/>
          <w:szCs w:val="30"/>
        </w:rPr>
      </w:pPr>
      <w:r>
        <w:rPr>
          <w:rFonts w:hint="eastAsia" w:ascii="仿宋" w:hAnsi="仿宋" w:eastAsia="仿宋" w:cs="仿宋"/>
          <w:bCs w:val="0"/>
          <w:sz w:val="30"/>
          <w:szCs w:val="30"/>
          <w:lang w:val="en-US" w:eastAsia="zh-CN"/>
        </w:rPr>
        <w:fldChar w:fldCharType="begin"/>
      </w:r>
      <w:r>
        <w:rPr>
          <w:rFonts w:hint="eastAsia" w:ascii="仿宋" w:hAnsi="仿宋" w:eastAsia="仿宋" w:cs="仿宋"/>
          <w:bCs w:val="0"/>
          <w:sz w:val="30"/>
          <w:szCs w:val="30"/>
          <w:lang w:val="en-US" w:eastAsia="zh-CN"/>
        </w:rPr>
        <w:instrText xml:space="preserve"> HYPERLINK \l _Toc11008 </w:instrText>
      </w:r>
      <w:r>
        <w:rPr>
          <w:rFonts w:hint="eastAsia" w:ascii="仿宋" w:hAnsi="仿宋" w:eastAsia="仿宋" w:cs="仿宋"/>
          <w:bCs w:val="0"/>
          <w:sz w:val="30"/>
          <w:szCs w:val="30"/>
          <w:lang w:val="en-US" w:eastAsia="zh-CN"/>
        </w:rPr>
        <w:fldChar w:fldCharType="separate"/>
      </w:r>
      <w:r>
        <w:rPr>
          <w:rFonts w:hint="eastAsia" w:ascii="仿宋" w:hAnsi="仿宋" w:eastAsia="仿宋" w:cs="仿宋"/>
          <w:bCs w:val="0"/>
          <w:kern w:val="2"/>
          <w:sz w:val="30"/>
          <w:szCs w:val="30"/>
          <w:lang w:val="en-US" w:eastAsia="zh-CN" w:bidi="ar-SA"/>
        </w:rPr>
        <w:t>第一节  指导思想</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_Toc11008 </w:instrText>
      </w:r>
      <w:r>
        <w:rPr>
          <w:rFonts w:hint="eastAsia" w:ascii="仿宋" w:hAnsi="仿宋" w:eastAsia="仿宋" w:cs="仿宋"/>
          <w:sz w:val="30"/>
          <w:szCs w:val="30"/>
        </w:rPr>
        <w:fldChar w:fldCharType="separate"/>
      </w:r>
      <w:r>
        <w:rPr>
          <w:rFonts w:hint="eastAsia" w:ascii="仿宋" w:hAnsi="仿宋" w:eastAsia="仿宋" w:cs="仿宋"/>
          <w:sz w:val="30"/>
          <w:szCs w:val="30"/>
        </w:rPr>
        <w:t>13</w:t>
      </w:r>
      <w:r>
        <w:rPr>
          <w:rFonts w:hint="eastAsia" w:ascii="仿宋" w:hAnsi="仿宋" w:eastAsia="仿宋" w:cs="仿宋"/>
          <w:sz w:val="30"/>
          <w:szCs w:val="30"/>
        </w:rPr>
        <w:fldChar w:fldCharType="end"/>
      </w:r>
      <w:r>
        <w:rPr>
          <w:rFonts w:hint="eastAsia" w:ascii="仿宋" w:hAnsi="仿宋" w:eastAsia="仿宋" w:cs="仿宋"/>
          <w:bCs w:val="0"/>
          <w:sz w:val="30"/>
          <w:szCs w:val="30"/>
          <w:lang w:val="en-US" w:eastAsia="zh-CN"/>
        </w:rPr>
        <w:fldChar w:fldCharType="end"/>
      </w:r>
    </w:p>
    <w:p>
      <w:pPr>
        <w:pStyle w:val="6"/>
        <w:tabs>
          <w:tab w:val="right" w:leader="dot" w:pos="8306"/>
        </w:tabs>
        <w:rPr>
          <w:rFonts w:hint="eastAsia" w:ascii="仿宋" w:hAnsi="仿宋" w:eastAsia="仿宋" w:cs="仿宋"/>
          <w:sz w:val="30"/>
          <w:szCs w:val="30"/>
        </w:rPr>
      </w:pPr>
      <w:r>
        <w:rPr>
          <w:rFonts w:hint="eastAsia" w:ascii="仿宋" w:hAnsi="仿宋" w:eastAsia="仿宋" w:cs="仿宋"/>
          <w:bCs w:val="0"/>
          <w:sz w:val="30"/>
          <w:szCs w:val="30"/>
          <w:lang w:val="en-US" w:eastAsia="zh-CN"/>
        </w:rPr>
        <w:fldChar w:fldCharType="begin"/>
      </w:r>
      <w:r>
        <w:rPr>
          <w:rFonts w:hint="eastAsia" w:ascii="仿宋" w:hAnsi="仿宋" w:eastAsia="仿宋" w:cs="仿宋"/>
          <w:bCs w:val="0"/>
          <w:sz w:val="30"/>
          <w:szCs w:val="30"/>
          <w:lang w:val="en-US" w:eastAsia="zh-CN"/>
        </w:rPr>
        <w:instrText xml:space="preserve"> HYPERLINK \l _Toc1782 </w:instrText>
      </w:r>
      <w:r>
        <w:rPr>
          <w:rFonts w:hint="eastAsia" w:ascii="仿宋" w:hAnsi="仿宋" w:eastAsia="仿宋" w:cs="仿宋"/>
          <w:bCs w:val="0"/>
          <w:sz w:val="30"/>
          <w:szCs w:val="30"/>
          <w:lang w:val="en-US" w:eastAsia="zh-CN"/>
        </w:rPr>
        <w:fldChar w:fldCharType="separate"/>
      </w:r>
      <w:r>
        <w:rPr>
          <w:rFonts w:hint="eastAsia" w:ascii="仿宋" w:hAnsi="仿宋" w:eastAsia="仿宋" w:cs="仿宋"/>
          <w:bCs w:val="0"/>
          <w:kern w:val="2"/>
          <w:sz w:val="30"/>
          <w:szCs w:val="30"/>
          <w:lang w:val="en-US" w:eastAsia="zh-CN" w:bidi="ar-SA"/>
        </w:rPr>
        <w:t>第二节  工作原则</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_Toc1782 </w:instrText>
      </w:r>
      <w:r>
        <w:rPr>
          <w:rFonts w:hint="eastAsia" w:ascii="仿宋" w:hAnsi="仿宋" w:eastAsia="仿宋" w:cs="仿宋"/>
          <w:sz w:val="30"/>
          <w:szCs w:val="30"/>
        </w:rPr>
        <w:fldChar w:fldCharType="separate"/>
      </w:r>
      <w:r>
        <w:rPr>
          <w:rFonts w:hint="eastAsia" w:ascii="仿宋" w:hAnsi="仿宋" w:eastAsia="仿宋" w:cs="仿宋"/>
          <w:sz w:val="30"/>
          <w:szCs w:val="30"/>
        </w:rPr>
        <w:t>14</w:t>
      </w:r>
      <w:r>
        <w:rPr>
          <w:rFonts w:hint="eastAsia" w:ascii="仿宋" w:hAnsi="仿宋" w:eastAsia="仿宋" w:cs="仿宋"/>
          <w:sz w:val="30"/>
          <w:szCs w:val="30"/>
        </w:rPr>
        <w:fldChar w:fldCharType="end"/>
      </w:r>
      <w:r>
        <w:rPr>
          <w:rFonts w:hint="eastAsia" w:ascii="仿宋" w:hAnsi="仿宋" w:eastAsia="仿宋" w:cs="仿宋"/>
          <w:bCs w:val="0"/>
          <w:sz w:val="30"/>
          <w:szCs w:val="30"/>
          <w:lang w:val="en-US" w:eastAsia="zh-CN"/>
        </w:rPr>
        <w:fldChar w:fldCharType="end"/>
      </w:r>
    </w:p>
    <w:p>
      <w:pPr>
        <w:pStyle w:val="6"/>
        <w:tabs>
          <w:tab w:val="right" w:leader="dot" w:pos="8306"/>
        </w:tabs>
        <w:rPr>
          <w:rFonts w:hint="eastAsia" w:ascii="仿宋" w:hAnsi="仿宋" w:eastAsia="仿宋" w:cs="仿宋"/>
          <w:sz w:val="30"/>
          <w:szCs w:val="30"/>
        </w:rPr>
      </w:pPr>
      <w:r>
        <w:rPr>
          <w:rFonts w:hint="eastAsia" w:ascii="仿宋" w:hAnsi="仿宋" w:eastAsia="仿宋" w:cs="仿宋"/>
          <w:bCs w:val="0"/>
          <w:sz w:val="30"/>
          <w:szCs w:val="30"/>
          <w:lang w:val="en-US" w:eastAsia="zh-CN"/>
        </w:rPr>
        <w:fldChar w:fldCharType="begin"/>
      </w:r>
      <w:r>
        <w:rPr>
          <w:rFonts w:hint="eastAsia" w:ascii="仿宋" w:hAnsi="仿宋" w:eastAsia="仿宋" w:cs="仿宋"/>
          <w:bCs w:val="0"/>
          <w:sz w:val="30"/>
          <w:szCs w:val="30"/>
          <w:lang w:val="en-US" w:eastAsia="zh-CN"/>
        </w:rPr>
        <w:instrText xml:space="preserve"> HYPERLINK \l _Toc28959 </w:instrText>
      </w:r>
      <w:r>
        <w:rPr>
          <w:rFonts w:hint="eastAsia" w:ascii="仿宋" w:hAnsi="仿宋" w:eastAsia="仿宋" w:cs="仿宋"/>
          <w:bCs w:val="0"/>
          <w:sz w:val="30"/>
          <w:szCs w:val="30"/>
          <w:lang w:val="en-US" w:eastAsia="zh-CN"/>
        </w:rPr>
        <w:fldChar w:fldCharType="separate"/>
      </w:r>
      <w:r>
        <w:rPr>
          <w:rFonts w:hint="eastAsia" w:ascii="仿宋" w:hAnsi="仿宋" w:eastAsia="仿宋" w:cs="仿宋"/>
          <w:bCs w:val="0"/>
          <w:kern w:val="2"/>
          <w:sz w:val="30"/>
          <w:szCs w:val="30"/>
          <w:lang w:val="en-US" w:eastAsia="zh-CN" w:bidi="ar-SA"/>
        </w:rPr>
        <w:t>第三节  规划思路</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_Toc28959 </w:instrText>
      </w:r>
      <w:r>
        <w:rPr>
          <w:rFonts w:hint="eastAsia" w:ascii="仿宋" w:hAnsi="仿宋" w:eastAsia="仿宋" w:cs="仿宋"/>
          <w:sz w:val="30"/>
          <w:szCs w:val="30"/>
        </w:rPr>
        <w:fldChar w:fldCharType="separate"/>
      </w:r>
      <w:r>
        <w:rPr>
          <w:rFonts w:hint="eastAsia" w:ascii="仿宋" w:hAnsi="仿宋" w:eastAsia="仿宋" w:cs="仿宋"/>
          <w:sz w:val="30"/>
          <w:szCs w:val="30"/>
        </w:rPr>
        <w:t>16</w:t>
      </w:r>
      <w:r>
        <w:rPr>
          <w:rFonts w:hint="eastAsia" w:ascii="仿宋" w:hAnsi="仿宋" w:eastAsia="仿宋" w:cs="仿宋"/>
          <w:sz w:val="30"/>
          <w:szCs w:val="30"/>
        </w:rPr>
        <w:fldChar w:fldCharType="end"/>
      </w:r>
      <w:r>
        <w:rPr>
          <w:rFonts w:hint="eastAsia" w:ascii="仿宋" w:hAnsi="仿宋" w:eastAsia="仿宋" w:cs="仿宋"/>
          <w:bCs w:val="0"/>
          <w:sz w:val="30"/>
          <w:szCs w:val="30"/>
          <w:lang w:val="en-US" w:eastAsia="zh-CN"/>
        </w:rPr>
        <w:fldChar w:fldCharType="end"/>
      </w:r>
    </w:p>
    <w:p>
      <w:pPr>
        <w:pStyle w:val="6"/>
        <w:tabs>
          <w:tab w:val="right" w:leader="dot" w:pos="8306"/>
        </w:tabs>
        <w:rPr>
          <w:rFonts w:hint="eastAsia" w:ascii="仿宋" w:hAnsi="仿宋" w:eastAsia="仿宋" w:cs="仿宋"/>
          <w:sz w:val="30"/>
          <w:szCs w:val="30"/>
        </w:rPr>
      </w:pPr>
      <w:r>
        <w:rPr>
          <w:rFonts w:hint="eastAsia" w:ascii="仿宋" w:hAnsi="仿宋" w:eastAsia="仿宋" w:cs="仿宋"/>
          <w:bCs w:val="0"/>
          <w:sz w:val="30"/>
          <w:szCs w:val="30"/>
          <w:lang w:val="en-US" w:eastAsia="zh-CN"/>
        </w:rPr>
        <w:fldChar w:fldCharType="begin"/>
      </w:r>
      <w:r>
        <w:rPr>
          <w:rFonts w:hint="eastAsia" w:ascii="仿宋" w:hAnsi="仿宋" w:eastAsia="仿宋" w:cs="仿宋"/>
          <w:bCs w:val="0"/>
          <w:sz w:val="30"/>
          <w:szCs w:val="30"/>
          <w:lang w:val="en-US" w:eastAsia="zh-CN"/>
        </w:rPr>
        <w:instrText xml:space="preserve"> HYPERLINK \l _Toc10033 </w:instrText>
      </w:r>
      <w:r>
        <w:rPr>
          <w:rFonts w:hint="eastAsia" w:ascii="仿宋" w:hAnsi="仿宋" w:eastAsia="仿宋" w:cs="仿宋"/>
          <w:bCs w:val="0"/>
          <w:sz w:val="30"/>
          <w:szCs w:val="30"/>
          <w:lang w:val="en-US" w:eastAsia="zh-CN"/>
        </w:rPr>
        <w:fldChar w:fldCharType="separate"/>
      </w:r>
      <w:r>
        <w:rPr>
          <w:rFonts w:hint="eastAsia" w:ascii="仿宋" w:hAnsi="仿宋" w:eastAsia="仿宋" w:cs="仿宋"/>
          <w:bCs w:val="0"/>
          <w:kern w:val="2"/>
          <w:sz w:val="30"/>
          <w:szCs w:val="30"/>
          <w:lang w:val="en-US" w:eastAsia="zh-CN" w:bidi="ar-SA"/>
        </w:rPr>
        <w:t>第四节  发展目标</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_Toc10033 </w:instrText>
      </w:r>
      <w:r>
        <w:rPr>
          <w:rFonts w:hint="eastAsia" w:ascii="仿宋" w:hAnsi="仿宋" w:eastAsia="仿宋" w:cs="仿宋"/>
          <w:sz w:val="30"/>
          <w:szCs w:val="30"/>
        </w:rPr>
        <w:fldChar w:fldCharType="separate"/>
      </w:r>
      <w:r>
        <w:rPr>
          <w:rFonts w:hint="eastAsia" w:ascii="仿宋" w:hAnsi="仿宋" w:eastAsia="仿宋" w:cs="仿宋"/>
          <w:sz w:val="30"/>
          <w:szCs w:val="30"/>
        </w:rPr>
        <w:t>16</w:t>
      </w:r>
      <w:r>
        <w:rPr>
          <w:rFonts w:hint="eastAsia" w:ascii="仿宋" w:hAnsi="仿宋" w:eastAsia="仿宋" w:cs="仿宋"/>
          <w:sz w:val="30"/>
          <w:szCs w:val="30"/>
        </w:rPr>
        <w:fldChar w:fldCharType="end"/>
      </w:r>
      <w:r>
        <w:rPr>
          <w:rFonts w:hint="eastAsia" w:ascii="仿宋" w:hAnsi="仿宋" w:eastAsia="仿宋" w:cs="仿宋"/>
          <w:bCs w:val="0"/>
          <w:sz w:val="30"/>
          <w:szCs w:val="30"/>
          <w:lang w:val="en-US" w:eastAsia="zh-CN"/>
        </w:rPr>
        <w:fldChar w:fldCharType="end"/>
      </w:r>
    </w:p>
    <w:p>
      <w:pPr>
        <w:pStyle w:val="5"/>
        <w:tabs>
          <w:tab w:val="right" w:leader="dot" w:pos="8306"/>
        </w:tabs>
        <w:rPr>
          <w:rFonts w:hint="eastAsia" w:ascii="仿宋" w:hAnsi="仿宋" w:eastAsia="仿宋" w:cs="仿宋"/>
          <w:b/>
          <w:bCs/>
          <w:sz w:val="30"/>
          <w:szCs w:val="30"/>
        </w:rPr>
      </w:pPr>
      <w:r>
        <w:rPr>
          <w:rFonts w:hint="eastAsia" w:ascii="仿宋" w:hAnsi="仿宋" w:eastAsia="仿宋" w:cs="仿宋"/>
          <w:b/>
          <w:bCs/>
          <w:sz w:val="30"/>
          <w:szCs w:val="30"/>
          <w:lang w:val="en-US" w:eastAsia="zh-CN"/>
        </w:rPr>
        <w:fldChar w:fldCharType="begin"/>
      </w:r>
      <w:r>
        <w:rPr>
          <w:rFonts w:hint="eastAsia" w:ascii="仿宋" w:hAnsi="仿宋" w:eastAsia="仿宋" w:cs="仿宋"/>
          <w:b/>
          <w:bCs/>
          <w:sz w:val="30"/>
          <w:szCs w:val="30"/>
          <w:lang w:val="en-US" w:eastAsia="zh-CN"/>
        </w:rPr>
        <w:instrText xml:space="preserve"> HYPERLINK \l _Toc6983 </w:instrText>
      </w:r>
      <w:r>
        <w:rPr>
          <w:rFonts w:hint="eastAsia" w:ascii="仿宋" w:hAnsi="仿宋" w:eastAsia="仿宋" w:cs="仿宋"/>
          <w:b/>
          <w:bCs/>
          <w:sz w:val="30"/>
          <w:szCs w:val="30"/>
          <w:lang w:val="en-US" w:eastAsia="zh-CN"/>
        </w:rPr>
        <w:fldChar w:fldCharType="separate"/>
      </w:r>
      <w:r>
        <w:rPr>
          <w:rFonts w:hint="eastAsia" w:ascii="仿宋" w:hAnsi="仿宋" w:eastAsia="仿宋" w:cs="仿宋"/>
          <w:b/>
          <w:bCs/>
          <w:kern w:val="2"/>
          <w:sz w:val="30"/>
          <w:szCs w:val="30"/>
          <w:lang w:val="en-US" w:eastAsia="zh-CN" w:bidi="ar-SA"/>
        </w:rPr>
        <w:t>第三章 总体架构</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_Toc6983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20</w:t>
      </w:r>
      <w:r>
        <w:rPr>
          <w:rFonts w:hint="eastAsia" w:ascii="仿宋" w:hAnsi="仿宋" w:eastAsia="仿宋" w:cs="仿宋"/>
          <w:b/>
          <w:bCs/>
          <w:sz w:val="30"/>
          <w:szCs w:val="30"/>
        </w:rPr>
        <w:fldChar w:fldCharType="end"/>
      </w:r>
      <w:r>
        <w:rPr>
          <w:rFonts w:hint="eastAsia" w:ascii="仿宋" w:hAnsi="仿宋" w:eastAsia="仿宋" w:cs="仿宋"/>
          <w:b/>
          <w:bCs/>
          <w:sz w:val="30"/>
          <w:szCs w:val="30"/>
          <w:lang w:val="en-US" w:eastAsia="zh-CN"/>
        </w:rPr>
        <w:fldChar w:fldCharType="end"/>
      </w:r>
    </w:p>
    <w:p>
      <w:pPr>
        <w:pStyle w:val="6"/>
        <w:tabs>
          <w:tab w:val="right" w:leader="dot" w:pos="8306"/>
        </w:tabs>
        <w:rPr>
          <w:rFonts w:hint="eastAsia" w:ascii="仿宋" w:hAnsi="仿宋" w:eastAsia="仿宋" w:cs="仿宋"/>
          <w:sz w:val="30"/>
          <w:szCs w:val="30"/>
        </w:rPr>
      </w:pPr>
      <w:r>
        <w:rPr>
          <w:rFonts w:hint="eastAsia" w:ascii="仿宋" w:hAnsi="仿宋" w:eastAsia="仿宋" w:cs="仿宋"/>
          <w:bCs w:val="0"/>
          <w:sz w:val="30"/>
          <w:szCs w:val="30"/>
          <w:lang w:val="en-US" w:eastAsia="zh-CN"/>
        </w:rPr>
        <w:fldChar w:fldCharType="begin"/>
      </w:r>
      <w:r>
        <w:rPr>
          <w:rFonts w:hint="eastAsia" w:ascii="仿宋" w:hAnsi="仿宋" w:eastAsia="仿宋" w:cs="仿宋"/>
          <w:bCs w:val="0"/>
          <w:sz w:val="30"/>
          <w:szCs w:val="30"/>
          <w:lang w:val="en-US" w:eastAsia="zh-CN"/>
        </w:rPr>
        <w:instrText xml:space="preserve"> HYPERLINK \l _Toc24658 </w:instrText>
      </w:r>
      <w:r>
        <w:rPr>
          <w:rFonts w:hint="eastAsia" w:ascii="仿宋" w:hAnsi="仿宋" w:eastAsia="仿宋" w:cs="仿宋"/>
          <w:bCs w:val="0"/>
          <w:sz w:val="30"/>
          <w:szCs w:val="30"/>
          <w:lang w:val="en-US" w:eastAsia="zh-CN"/>
        </w:rPr>
        <w:fldChar w:fldCharType="separate"/>
      </w:r>
      <w:r>
        <w:rPr>
          <w:rFonts w:hint="eastAsia" w:ascii="仿宋" w:hAnsi="仿宋" w:eastAsia="仿宋" w:cs="仿宋"/>
          <w:kern w:val="2"/>
          <w:sz w:val="30"/>
          <w:szCs w:val="30"/>
          <w:lang w:val="en-US" w:eastAsia="zh-CN" w:bidi="ar-SA"/>
        </w:rPr>
        <w:t>第一节  管理架构</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_Toc24658 </w:instrText>
      </w:r>
      <w:r>
        <w:rPr>
          <w:rFonts w:hint="eastAsia" w:ascii="仿宋" w:hAnsi="仿宋" w:eastAsia="仿宋" w:cs="仿宋"/>
          <w:sz w:val="30"/>
          <w:szCs w:val="30"/>
        </w:rPr>
        <w:fldChar w:fldCharType="separate"/>
      </w:r>
      <w:r>
        <w:rPr>
          <w:rFonts w:hint="eastAsia" w:ascii="仿宋" w:hAnsi="仿宋" w:eastAsia="仿宋" w:cs="仿宋"/>
          <w:sz w:val="30"/>
          <w:szCs w:val="30"/>
        </w:rPr>
        <w:t>20</w:t>
      </w:r>
      <w:r>
        <w:rPr>
          <w:rFonts w:hint="eastAsia" w:ascii="仿宋" w:hAnsi="仿宋" w:eastAsia="仿宋" w:cs="仿宋"/>
          <w:sz w:val="30"/>
          <w:szCs w:val="30"/>
        </w:rPr>
        <w:fldChar w:fldCharType="end"/>
      </w:r>
      <w:r>
        <w:rPr>
          <w:rFonts w:hint="eastAsia" w:ascii="仿宋" w:hAnsi="仿宋" w:eastAsia="仿宋" w:cs="仿宋"/>
          <w:bCs w:val="0"/>
          <w:sz w:val="30"/>
          <w:szCs w:val="30"/>
          <w:lang w:val="en-US" w:eastAsia="zh-CN"/>
        </w:rPr>
        <w:fldChar w:fldCharType="end"/>
      </w:r>
    </w:p>
    <w:p>
      <w:pPr>
        <w:pStyle w:val="6"/>
        <w:tabs>
          <w:tab w:val="right" w:leader="dot" w:pos="8306"/>
        </w:tabs>
        <w:rPr>
          <w:rFonts w:hint="eastAsia" w:ascii="仿宋" w:hAnsi="仿宋" w:eastAsia="仿宋" w:cs="仿宋"/>
          <w:sz w:val="30"/>
          <w:szCs w:val="30"/>
        </w:rPr>
      </w:pPr>
      <w:r>
        <w:rPr>
          <w:rFonts w:hint="eastAsia" w:ascii="仿宋" w:hAnsi="仿宋" w:eastAsia="仿宋" w:cs="仿宋"/>
          <w:bCs w:val="0"/>
          <w:sz w:val="30"/>
          <w:szCs w:val="30"/>
          <w:lang w:val="en-US" w:eastAsia="zh-CN"/>
        </w:rPr>
        <w:fldChar w:fldCharType="begin"/>
      </w:r>
      <w:r>
        <w:rPr>
          <w:rFonts w:hint="eastAsia" w:ascii="仿宋" w:hAnsi="仿宋" w:eastAsia="仿宋" w:cs="仿宋"/>
          <w:bCs w:val="0"/>
          <w:sz w:val="30"/>
          <w:szCs w:val="30"/>
          <w:lang w:val="en-US" w:eastAsia="zh-CN"/>
        </w:rPr>
        <w:instrText xml:space="preserve"> HYPERLINK \l _Toc16567 </w:instrText>
      </w:r>
      <w:r>
        <w:rPr>
          <w:rFonts w:hint="eastAsia" w:ascii="仿宋" w:hAnsi="仿宋" w:eastAsia="仿宋" w:cs="仿宋"/>
          <w:bCs w:val="0"/>
          <w:sz w:val="30"/>
          <w:szCs w:val="30"/>
          <w:lang w:val="en-US" w:eastAsia="zh-CN"/>
        </w:rPr>
        <w:fldChar w:fldCharType="separate"/>
      </w:r>
      <w:r>
        <w:rPr>
          <w:rFonts w:hint="eastAsia" w:ascii="仿宋" w:hAnsi="仿宋" w:eastAsia="仿宋" w:cs="仿宋"/>
          <w:sz w:val="30"/>
          <w:szCs w:val="30"/>
          <w:lang w:val="en-US" w:eastAsia="zh-CN"/>
        </w:rPr>
        <w:t>第二节  业务架构</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_Toc16567 </w:instrText>
      </w:r>
      <w:r>
        <w:rPr>
          <w:rFonts w:hint="eastAsia" w:ascii="仿宋" w:hAnsi="仿宋" w:eastAsia="仿宋" w:cs="仿宋"/>
          <w:sz w:val="30"/>
          <w:szCs w:val="30"/>
        </w:rPr>
        <w:fldChar w:fldCharType="separate"/>
      </w:r>
      <w:r>
        <w:rPr>
          <w:rFonts w:hint="eastAsia" w:ascii="仿宋" w:hAnsi="仿宋" w:eastAsia="仿宋" w:cs="仿宋"/>
          <w:sz w:val="30"/>
          <w:szCs w:val="30"/>
        </w:rPr>
        <w:t>21</w:t>
      </w:r>
      <w:r>
        <w:rPr>
          <w:rFonts w:hint="eastAsia" w:ascii="仿宋" w:hAnsi="仿宋" w:eastAsia="仿宋" w:cs="仿宋"/>
          <w:sz w:val="30"/>
          <w:szCs w:val="30"/>
        </w:rPr>
        <w:fldChar w:fldCharType="end"/>
      </w:r>
      <w:r>
        <w:rPr>
          <w:rFonts w:hint="eastAsia" w:ascii="仿宋" w:hAnsi="仿宋" w:eastAsia="仿宋" w:cs="仿宋"/>
          <w:bCs w:val="0"/>
          <w:sz w:val="30"/>
          <w:szCs w:val="30"/>
          <w:lang w:val="en-US" w:eastAsia="zh-CN"/>
        </w:rPr>
        <w:fldChar w:fldCharType="end"/>
      </w:r>
    </w:p>
    <w:p>
      <w:pPr>
        <w:pStyle w:val="6"/>
        <w:tabs>
          <w:tab w:val="right" w:leader="dot" w:pos="8306"/>
        </w:tabs>
        <w:rPr>
          <w:rFonts w:hint="eastAsia" w:ascii="仿宋" w:hAnsi="仿宋" w:eastAsia="仿宋" w:cs="仿宋"/>
          <w:sz w:val="30"/>
          <w:szCs w:val="30"/>
        </w:rPr>
      </w:pPr>
      <w:r>
        <w:rPr>
          <w:rFonts w:hint="eastAsia" w:ascii="仿宋" w:hAnsi="仿宋" w:eastAsia="仿宋" w:cs="仿宋"/>
          <w:bCs w:val="0"/>
          <w:sz w:val="30"/>
          <w:szCs w:val="30"/>
          <w:lang w:val="en-US" w:eastAsia="zh-CN"/>
        </w:rPr>
        <w:fldChar w:fldCharType="begin"/>
      </w:r>
      <w:r>
        <w:rPr>
          <w:rFonts w:hint="eastAsia" w:ascii="仿宋" w:hAnsi="仿宋" w:eastAsia="仿宋" w:cs="仿宋"/>
          <w:bCs w:val="0"/>
          <w:sz w:val="30"/>
          <w:szCs w:val="30"/>
          <w:lang w:val="en-US" w:eastAsia="zh-CN"/>
        </w:rPr>
        <w:instrText xml:space="preserve"> HYPERLINK \l _Toc5800 </w:instrText>
      </w:r>
      <w:r>
        <w:rPr>
          <w:rFonts w:hint="eastAsia" w:ascii="仿宋" w:hAnsi="仿宋" w:eastAsia="仿宋" w:cs="仿宋"/>
          <w:bCs w:val="0"/>
          <w:sz w:val="30"/>
          <w:szCs w:val="30"/>
          <w:lang w:val="en-US" w:eastAsia="zh-CN"/>
        </w:rPr>
        <w:fldChar w:fldCharType="separate"/>
      </w:r>
      <w:r>
        <w:rPr>
          <w:rFonts w:hint="eastAsia" w:ascii="仿宋" w:hAnsi="仿宋" w:eastAsia="仿宋" w:cs="仿宋"/>
          <w:sz w:val="30"/>
          <w:szCs w:val="30"/>
          <w:lang w:val="en-US" w:eastAsia="zh-CN"/>
        </w:rPr>
        <w:t>第三节  技术架构</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_Toc5800 </w:instrText>
      </w:r>
      <w:r>
        <w:rPr>
          <w:rFonts w:hint="eastAsia" w:ascii="仿宋" w:hAnsi="仿宋" w:eastAsia="仿宋" w:cs="仿宋"/>
          <w:sz w:val="30"/>
          <w:szCs w:val="30"/>
        </w:rPr>
        <w:fldChar w:fldCharType="separate"/>
      </w:r>
      <w:r>
        <w:rPr>
          <w:rFonts w:hint="eastAsia" w:ascii="仿宋" w:hAnsi="仿宋" w:eastAsia="仿宋" w:cs="仿宋"/>
          <w:sz w:val="30"/>
          <w:szCs w:val="30"/>
        </w:rPr>
        <w:t>23</w:t>
      </w:r>
      <w:r>
        <w:rPr>
          <w:rFonts w:hint="eastAsia" w:ascii="仿宋" w:hAnsi="仿宋" w:eastAsia="仿宋" w:cs="仿宋"/>
          <w:sz w:val="30"/>
          <w:szCs w:val="30"/>
        </w:rPr>
        <w:fldChar w:fldCharType="end"/>
      </w:r>
      <w:r>
        <w:rPr>
          <w:rFonts w:hint="eastAsia" w:ascii="仿宋" w:hAnsi="仿宋" w:eastAsia="仿宋" w:cs="仿宋"/>
          <w:bCs w:val="0"/>
          <w:sz w:val="30"/>
          <w:szCs w:val="30"/>
          <w:lang w:val="en-US" w:eastAsia="zh-CN"/>
        </w:rPr>
        <w:fldChar w:fldCharType="end"/>
      </w:r>
    </w:p>
    <w:p>
      <w:pPr>
        <w:pStyle w:val="5"/>
        <w:tabs>
          <w:tab w:val="right" w:leader="dot" w:pos="8306"/>
        </w:tabs>
        <w:rPr>
          <w:rFonts w:hint="eastAsia" w:ascii="仿宋" w:hAnsi="仿宋" w:eastAsia="仿宋" w:cs="仿宋"/>
          <w:b/>
          <w:bCs/>
          <w:sz w:val="30"/>
          <w:szCs w:val="30"/>
        </w:rPr>
      </w:pPr>
      <w:r>
        <w:rPr>
          <w:rFonts w:hint="eastAsia" w:ascii="仿宋" w:hAnsi="仿宋" w:eastAsia="仿宋" w:cs="仿宋"/>
          <w:b/>
          <w:bCs/>
          <w:sz w:val="30"/>
          <w:szCs w:val="30"/>
          <w:lang w:val="en-US" w:eastAsia="zh-CN"/>
        </w:rPr>
        <w:fldChar w:fldCharType="begin"/>
      </w:r>
      <w:r>
        <w:rPr>
          <w:rFonts w:hint="eastAsia" w:ascii="仿宋" w:hAnsi="仿宋" w:eastAsia="仿宋" w:cs="仿宋"/>
          <w:b/>
          <w:bCs/>
          <w:sz w:val="30"/>
          <w:szCs w:val="30"/>
          <w:lang w:val="en-US" w:eastAsia="zh-CN"/>
        </w:rPr>
        <w:instrText xml:space="preserve"> HYPERLINK \l _Toc24170 </w:instrText>
      </w:r>
      <w:r>
        <w:rPr>
          <w:rFonts w:hint="eastAsia" w:ascii="仿宋" w:hAnsi="仿宋" w:eastAsia="仿宋" w:cs="仿宋"/>
          <w:b/>
          <w:bCs/>
          <w:sz w:val="30"/>
          <w:szCs w:val="30"/>
          <w:lang w:val="en-US" w:eastAsia="zh-CN"/>
        </w:rPr>
        <w:fldChar w:fldCharType="separate"/>
      </w:r>
      <w:r>
        <w:rPr>
          <w:rFonts w:hint="eastAsia" w:ascii="仿宋" w:hAnsi="仿宋" w:eastAsia="仿宋" w:cs="仿宋"/>
          <w:b/>
          <w:bCs/>
          <w:kern w:val="2"/>
          <w:sz w:val="30"/>
          <w:szCs w:val="30"/>
          <w:lang w:val="en-US" w:eastAsia="zh-CN" w:bidi="ar-SA"/>
        </w:rPr>
        <w:t>第四章  主要任务</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_Toc24170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25</w:t>
      </w:r>
      <w:r>
        <w:rPr>
          <w:rFonts w:hint="eastAsia" w:ascii="仿宋" w:hAnsi="仿宋" w:eastAsia="仿宋" w:cs="仿宋"/>
          <w:b/>
          <w:bCs/>
          <w:sz w:val="30"/>
          <w:szCs w:val="30"/>
        </w:rPr>
        <w:fldChar w:fldCharType="end"/>
      </w:r>
      <w:r>
        <w:rPr>
          <w:rFonts w:hint="eastAsia" w:ascii="仿宋" w:hAnsi="仿宋" w:eastAsia="仿宋" w:cs="仿宋"/>
          <w:b/>
          <w:bCs/>
          <w:sz w:val="30"/>
          <w:szCs w:val="30"/>
          <w:lang w:val="en-US" w:eastAsia="zh-CN"/>
        </w:rPr>
        <w:fldChar w:fldCharType="end"/>
      </w:r>
    </w:p>
    <w:p>
      <w:pPr>
        <w:pStyle w:val="6"/>
        <w:tabs>
          <w:tab w:val="right" w:leader="dot" w:pos="8306"/>
        </w:tabs>
        <w:ind w:left="1620" w:hanging="1200" w:hangingChars="400"/>
        <w:rPr>
          <w:rFonts w:hint="eastAsia" w:ascii="仿宋" w:hAnsi="仿宋" w:eastAsia="仿宋" w:cs="仿宋"/>
          <w:sz w:val="30"/>
          <w:szCs w:val="30"/>
        </w:rPr>
      </w:pPr>
      <w:r>
        <w:rPr>
          <w:rFonts w:hint="eastAsia" w:ascii="仿宋" w:hAnsi="仿宋" w:eastAsia="仿宋" w:cs="仿宋"/>
          <w:bCs w:val="0"/>
          <w:sz w:val="30"/>
          <w:szCs w:val="30"/>
          <w:lang w:val="en-US" w:eastAsia="zh-CN"/>
        </w:rPr>
        <w:fldChar w:fldCharType="begin"/>
      </w:r>
      <w:r>
        <w:rPr>
          <w:rFonts w:hint="eastAsia" w:ascii="仿宋" w:hAnsi="仿宋" w:eastAsia="仿宋" w:cs="仿宋"/>
          <w:bCs w:val="0"/>
          <w:sz w:val="30"/>
          <w:szCs w:val="30"/>
          <w:lang w:val="en-US" w:eastAsia="zh-CN"/>
        </w:rPr>
        <w:instrText xml:space="preserve"> HYPERLINK \l _Toc23962 </w:instrText>
      </w:r>
      <w:r>
        <w:rPr>
          <w:rFonts w:hint="eastAsia" w:ascii="仿宋" w:hAnsi="仿宋" w:eastAsia="仿宋" w:cs="仿宋"/>
          <w:bCs w:val="0"/>
          <w:sz w:val="30"/>
          <w:szCs w:val="30"/>
          <w:lang w:val="en-US" w:eastAsia="zh-CN"/>
        </w:rPr>
        <w:fldChar w:fldCharType="separate"/>
      </w:r>
      <w:r>
        <w:rPr>
          <w:rFonts w:hint="eastAsia" w:ascii="仿宋" w:hAnsi="仿宋" w:eastAsia="仿宋" w:cs="仿宋"/>
          <w:kern w:val="2"/>
          <w:sz w:val="30"/>
          <w:szCs w:val="30"/>
          <w:lang w:val="en-US" w:eastAsia="zh-CN" w:bidi="ar-SA"/>
        </w:rPr>
        <w:t>第一节  强化三大基础支撑（云、网、数），夯实数字化发展基础</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_Toc23962 </w:instrText>
      </w:r>
      <w:r>
        <w:rPr>
          <w:rFonts w:hint="eastAsia" w:ascii="仿宋" w:hAnsi="仿宋" w:eastAsia="仿宋" w:cs="仿宋"/>
          <w:sz w:val="30"/>
          <w:szCs w:val="30"/>
        </w:rPr>
        <w:fldChar w:fldCharType="separate"/>
      </w:r>
      <w:r>
        <w:rPr>
          <w:rFonts w:hint="eastAsia" w:ascii="仿宋" w:hAnsi="仿宋" w:eastAsia="仿宋" w:cs="仿宋"/>
          <w:sz w:val="30"/>
          <w:szCs w:val="30"/>
        </w:rPr>
        <w:t>25</w:t>
      </w:r>
      <w:r>
        <w:rPr>
          <w:rFonts w:hint="eastAsia" w:ascii="仿宋" w:hAnsi="仿宋" w:eastAsia="仿宋" w:cs="仿宋"/>
          <w:sz w:val="30"/>
          <w:szCs w:val="30"/>
        </w:rPr>
        <w:fldChar w:fldCharType="end"/>
      </w:r>
      <w:r>
        <w:rPr>
          <w:rFonts w:hint="eastAsia" w:ascii="仿宋" w:hAnsi="仿宋" w:eastAsia="仿宋" w:cs="仿宋"/>
          <w:bCs w:val="0"/>
          <w:sz w:val="30"/>
          <w:szCs w:val="30"/>
          <w:lang w:val="en-US" w:eastAsia="zh-CN"/>
        </w:rPr>
        <w:fldChar w:fldCharType="end"/>
      </w:r>
    </w:p>
    <w:p>
      <w:pPr>
        <w:pStyle w:val="6"/>
        <w:tabs>
          <w:tab w:val="right" w:leader="dot" w:pos="8306"/>
        </w:tabs>
        <w:rPr>
          <w:rFonts w:hint="eastAsia" w:ascii="仿宋" w:hAnsi="仿宋" w:eastAsia="仿宋" w:cs="仿宋"/>
          <w:sz w:val="30"/>
          <w:szCs w:val="30"/>
        </w:rPr>
      </w:pPr>
      <w:r>
        <w:rPr>
          <w:rFonts w:hint="eastAsia" w:ascii="仿宋" w:hAnsi="仿宋" w:eastAsia="仿宋" w:cs="仿宋"/>
          <w:bCs w:val="0"/>
          <w:sz w:val="30"/>
          <w:szCs w:val="30"/>
          <w:lang w:val="en-US" w:eastAsia="zh-CN"/>
        </w:rPr>
        <w:fldChar w:fldCharType="begin"/>
      </w:r>
      <w:r>
        <w:rPr>
          <w:rFonts w:hint="eastAsia" w:ascii="仿宋" w:hAnsi="仿宋" w:eastAsia="仿宋" w:cs="仿宋"/>
          <w:bCs w:val="0"/>
          <w:sz w:val="30"/>
          <w:szCs w:val="30"/>
          <w:lang w:val="en-US" w:eastAsia="zh-CN"/>
        </w:rPr>
        <w:instrText xml:space="preserve"> HYPERLINK \l _Toc788 </w:instrText>
      </w:r>
      <w:r>
        <w:rPr>
          <w:rFonts w:hint="eastAsia" w:ascii="仿宋" w:hAnsi="仿宋" w:eastAsia="仿宋" w:cs="仿宋"/>
          <w:bCs w:val="0"/>
          <w:sz w:val="30"/>
          <w:szCs w:val="30"/>
          <w:lang w:val="en-US" w:eastAsia="zh-CN"/>
        </w:rPr>
        <w:fldChar w:fldCharType="separate"/>
      </w:r>
      <w:r>
        <w:rPr>
          <w:rFonts w:hint="eastAsia" w:ascii="仿宋" w:hAnsi="仿宋" w:eastAsia="仿宋" w:cs="仿宋"/>
          <w:sz w:val="30"/>
          <w:szCs w:val="30"/>
          <w:lang w:val="en-US" w:eastAsia="zh-CN"/>
        </w:rPr>
        <w:t>第二节  深化“粤系列”本地化应用，促进三网融合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_Toc788 </w:instrText>
      </w:r>
      <w:r>
        <w:rPr>
          <w:rFonts w:hint="eastAsia" w:ascii="仿宋" w:hAnsi="仿宋" w:eastAsia="仿宋" w:cs="仿宋"/>
          <w:sz w:val="30"/>
          <w:szCs w:val="30"/>
        </w:rPr>
        <w:fldChar w:fldCharType="separate"/>
      </w:r>
      <w:r>
        <w:rPr>
          <w:rFonts w:hint="eastAsia" w:ascii="仿宋" w:hAnsi="仿宋" w:eastAsia="仿宋" w:cs="仿宋"/>
          <w:sz w:val="30"/>
          <w:szCs w:val="30"/>
        </w:rPr>
        <w:t>30</w:t>
      </w:r>
      <w:r>
        <w:rPr>
          <w:rFonts w:hint="eastAsia" w:ascii="仿宋" w:hAnsi="仿宋" w:eastAsia="仿宋" w:cs="仿宋"/>
          <w:sz w:val="30"/>
          <w:szCs w:val="30"/>
        </w:rPr>
        <w:fldChar w:fldCharType="end"/>
      </w:r>
      <w:r>
        <w:rPr>
          <w:rFonts w:hint="eastAsia" w:ascii="仿宋" w:hAnsi="仿宋" w:eastAsia="仿宋" w:cs="仿宋"/>
          <w:bCs w:val="0"/>
          <w:sz w:val="30"/>
          <w:szCs w:val="30"/>
          <w:lang w:val="en-US" w:eastAsia="zh-CN"/>
        </w:rPr>
        <w:fldChar w:fldCharType="end"/>
      </w:r>
    </w:p>
    <w:p>
      <w:pPr>
        <w:pStyle w:val="6"/>
        <w:tabs>
          <w:tab w:val="right" w:leader="dot" w:pos="8306"/>
        </w:tabs>
        <w:ind w:left="1620" w:hanging="1200" w:hangingChars="400"/>
        <w:rPr>
          <w:rFonts w:hint="eastAsia" w:ascii="仿宋" w:hAnsi="仿宋" w:eastAsia="仿宋" w:cs="仿宋"/>
          <w:sz w:val="30"/>
          <w:szCs w:val="30"/>
        </w:rPr>
      </w:pPr>
      <w:r>
        <w:rPr>
          <w:rFonts w:hint="eastAsia" w:ascii="仿宋" w:hAnsi="仿宋" w:eastAsia="仿宋" w:cs="仿宋"/>
          <w:bCs w:val="0"/>
          <w:sz w:val="30"/>
          <w:szCs w:val="30"/>
          <w:lang w:val="en-US" w:eastAsia="zh-CN"/>
        </w:rPr>
        <w:fldChar w:fldCharType="begin"/>
      </w:r>
      <w:r>
        <w:rPr>
          <w:rFonts w:hint="eastAsia" w:ascii="仿宋" w:hAnsi="仿宋" w:eastAsia="仿宋" w:cs="仿宋"/>
          <w:bCs w:val="0"/>
          <w:sz w:val="30"/>
          <w:szCs w:val="30"/>
          <w:lang w:val="en-US" w:eastAsia="zh-CN"/>
        </w:rPr>
        <w:instrText xml:space="preserve"> HYPERLINK \l _Toc30261 </w:instrText>
      </w:r>
      <w:r>
        <w:rPr>
          <w:rFonts w:hint="eastAsia" w:ascii="仿宋" w:hAnsi="仿宋" w:eastAsia="仿宋" w:cs="仿宋"/>
          <w:bCs w:val="0"/>
          <w:sz w:val="30"/>
          <w:szCs w:val="30"/>
          <w:lang w:val="en-US" w:eastAsia="zh-CN"/>
        </w:rPr>
        <w:fldChar w:fldCharType="separate"/>
      </w:r>
      <w:r>
        <w:rPr>
          <w:rFonts w:hint="eastAsia" w:ascii="仿宋" w:hAnsi="仿宋" w:eastAsia="仿宋" w:cs="仿宋"/>
          <w:sz w:val="30"/>
          <w:szCs w:val="30"/>
          <w:lang w:val="en-US" w:eastAsia="zh-CN"/>
        </w:rPr>
        <w:t>第三节  推进四大工程，建设活力特区、法治城市、文明窗口、和美侨乡、智慧都市</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_Toc30261 </w:instrText>
      </w:r>
      <w:r>
        <w:rPr>
          <w:rFonts w:hint="eastAsia" w:ascii="仿宋" w:hAnsi="仿宋" w:eastAsia="仿宋" w:cs="仿宋"/>
          <w:sz w:val="30"/>
          <w:szCs w:val="30"/>
        </w:rPr>
        <w:fldChar w:fldCharType="separate"/>
      </w:r>
      <w:r>
        <w:rPr>
          <w:rFonts w:hint="eastAsia" w:ascii="仿宋" w:hAnsi="仿宋" w:eastAsia="仿宋" w:cs="仿宋"/>
          <w:sz w:val="30"/>
          <w:szCs w:val="30"/>
        </w:rPr>
        <w:t>38</w:t>
      </w:r>
      <w:r>
        <w:rPr>
          <w:rFonts w:hint="eastAsia" w:ascii="仿宋" w:hAnsi="仿宋" w:eastAsia="仿宋" w:cs="仿宋"/>
          <w:sz w:val="30"/>
          <w:szCs w:val="30"/>
        </w:rPr>
        <w:fldChar w:fldCharType="end"/>
      </w:r>
      <w:r>
        <w:rPr>
          <w:rFonts w:hint="eastAsia" w:ascii="仿宋" w:hAnsi="仿宋" w:eastAsia="仿宋" w:cs="仿宋"/>
          <w:bCs w:val="0"/>
          <w:sz w:val="30"/>
          <w:szCs w:val="30"/>
          <w:lang w:val="en-US" w:eastAsia="zh-CN"/>
        </w:rPr>
        <w:fldChar w:fldCharType="end"/>
      </w:r>
    </w:p>
    <w:p>
      <w:pPr>
        <w:pStyle w:val="6"/>
        <w:tabs>
          <w:tab w:val="right" w:leader="dot" w:pos="8306"/>
        </w:tabs>
        <w:rPr>
          <w:rFonts w:hint="eastAsia" w:ascii="仿宋" w:hAnsi="仿宋" w:eastAsia="仿宋" w:cs="仿宋"/>
          <w:sz w:val="30"/>
          <w:szCs w:val="30"/>
        </w:rPr>
      </w:pPr>
      <w:r>
        <w:rPr>
          <w:rFonts w:hint="eastAsia" w:ascii="仿宋" w:hAnsi="仿宋" w:eastAsia="仿宋" w:cs="仿宋"/>
          <w:bCs w:val="0"/>
          <w:sz w:val="30"/>
          <w:szCs w:val="30"/>
          <w:lang w:val="en-US" w:eastAsia="zh-CN"/>
        </w:rPr>
        <w:fldChar w:fldCharType="begin"/>
      </w:r>
      <w:r>
        <w:rPr>
          <w:rFonts w:hint="eastAsia" w:ascii="仿宋" w:hAnsi="仿宋" w:eastAsia="仿宋" w:cs="仿宋"/>
          <w:bCs w:val="0"/>
          <w:sz w:val="30"/>
          <w:szCs w:val="30"/>
          <w:lang w:val="en-US" w:eastAsia="zh-CN"/>
        </w:rPr>
        <w:instrText xml:space="preserve"> HYPERLINK \l _Toc19481 </w:instrText>
      </w:r>
      <w:r>
        <w:rPr>
          <w:rFonts w:hint="eastAsia" w:ascii="仿宋" w:hAnsi="仿宋" w:eastAsia="仿宋" w:cs="仿宋"/>
          <w:bCs w:val="0"/>
          <w:sz w:val="30"/>
          <w:szCs w:val="30"/>
          <w:lang w:val="en-US" w:eastAsia="zh-CN"/>
        </w:rPr>
        <w:fldChar w:fldCharType="separate"/>
      </w:r>
      <w:r>
        <w:rPr>
          <w:rFonts w:hint="eastAsia" w:ascii="仿宋" w:hAnsi="仿宋" w:eastAsia="仿宋" w:cs="仿宋"/>
          <w:sz w:val="30"/>
          <w:szCs w:val="30"/>
          <w:lang w:val="en-US" w:eastAsia="zh-CN"/>
        </w:rPr>
        <w:t>第四节  构建“三横四纵”数字政府安全体系</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_Toc19481 </w:instrText>
      </w:r>
      <w:r>
        <w:rPr>
          <w:rFonts w:hint="eastAsia" w:ascii="仿宋" w:hAnsi="仿宋" w:eastAsia="仿宋" w:cs="仿宋"/>
          <w:sz w:val="30"/>
          <w:szCs w:val="30"/>
        </w:rPr>
        <w:fldChar w:fldCharType="separate"/>
      </w:r>
      <w:r>
        <w:rPr>
          <w:rFonts w:hint="eastAsia" w:ascii="仿宋" w:hAnsi="仿宋" w:eastAsia="仿宋" w:cs="仿宋"/>
          <w:sz w:val="30"/>
          <w:szCs w:val="30"/>
        </w:rPr>
        <w:t>55</w:t>
      </w:r>
      <w:r>
        <w:rPr>
          <w:rFonts w:hint="eastAsia" w:ascii="仿宋" w:hAnsi="仿宋" w:eastAsia="仿宋" w:cs="仿宋"/>
          <w:sz w:val="30"/>
          <w:szCs w:val="30"/>
        </w:rPr>
        <w:fldChar w:fldCharType="end"/>
      </w:r>
      <w:r>
        <w:rPr>
          <w:rFonts w:hint="eastAsia" w:ascii="仿宋" w:hAnsi="仿宋" w:eastAsia="仿宋" w:cs="仿宋"/>
          <w:bCs w:val="0"/>
          <w:sz w:val="30"/>
          <w:szCs w:val="30"/>
          <w:lang w:val="en-US" w:eastAsia="zh-CN"/>
        </w:rPr>
        <w:fldChar w:fldCharType="end"/>
      </w:r>
    </w:p>
    <w:p>
      <w:pPr>
        <w:pStyle w:val="5"/>
        <w:tabs>
          <w:tab w:val="right" w:leader="dot" w:pos="8306"/>
        </w:tabs>
        <w:rPr>
          <w:rFonts w:hint="eastAsia" w:ascii="仿宋" w:hAnsi="仿宋" w:eastAsia="仿宋" w:cs="仿宋"/>
          <w:b/>
          <w:bCs/>
          <w:sz w:val="30"/>
          <w:szCs w:val="30"/>
        </w:rPr>
      </w:pPr>
      <w:r>
        <w:rPr>
          <w:rFonts w:hint="eastAsia" w:ascii="仿宋" w:hAnsi="仿宋" w:eastAsia="仿宋" w:cs="仿宋"/>
          <w:b/>
          <w:bCs/>
          <w:sz w:val="30"/>
          <w:szCs w:val="30"/>
          <w:lang w:val="en-US" w:eastAsia="zh-CN"/>
        </w:rPr>
        <w:fldChar w:fldCharType="begin"/>
      </w:r>
      <w:r>
        <w:rPr>
          <w:rFonts w:hint="eastAsia" w:ascii="仿宋" w:hAnsi="仿宋" w:eastAsia="仿宋" w:cs="仿宋"/>
          <w:b/>
          <w:bCs/>
          <w:sz w:val="30"/>
          <w:szCs w:val="30"/>
          <w:lang w:val="en-US" w:eastAsia="zh-CN"/>
        </w:rPr>
        <w:instrText xml:space="preserve"> HYPERLINK \l _Toc28359 </w:instrText>
      </w:r>
      <w:r>
        <w:rPr>
          <w:rFonts w:hint="eastAsia" w:ascii="仿宋" w:hAnsi="仿宋" w:eastAsia="仿宋" w:cs="仿宋"/>
          <w:b/>
          <w:bCs/>
          <w:sz w:val="30"/>
          <w:szCs w:val="30"/>
          <w:lang w:val="en-US" w:eastAsia="zh-CN"/>
        </w:rPr>
        <w:fldChar w:fldCharType="separate"/>
      </w:r>
      <w:r>
        <w:rPr>
          <w:rFonts w:hint="eastAsia" w:ascii="仿宋" w:hAnsi="仿宋" w:eastAsia="仿宋" w:cs="仿宋"/>
          <w:b/>
          <w:bCs/>
          <w:sz w:val="30"/>
          <w:szCs w:val="30"/>
          <w:lang w:val="en-US" w:eastAsia="zh-CN"/>
        </w:rPr>
        <w:t>第五章  实施步骤</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_Toc28359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58</w:t>
      </w:r>
      <w:r>
        <w:rPr>
          <w:rFonts w:hint="eastAsia" w:ascii="仿宋" w:hAnsi="仿宋" w:eastAsia="仿宋" w:cs="仿宋"/>
          <w:b/>
          <w:bCs/>
          <w:sz w:val="30"/>
          <w:szCs w:val="30"/>
        </w:rPr>
        <w:fldChar w:fldCharType="end"/>
      </w:r>
      <w:r>
        <w:rPr>
          <w:rFonts w:hint="eastAsia" w:ascii="仿宋" w:hAnsi="仿宋" w:eastAsia="仿宋" w:cs="仿宋"/>
          <w:b/>
          <w:bCs/>
          <w:sz w:val="30"/>
          <w:szCs w:val="30"/>
          <w:lang w:val="en-US" w:eastAsia="zh-CN"/>
        </w:rPr>
        <w:fldChar w:fldCharType="end"/>
      </w:r>
    </w:p>
    <w:p>
      <w:pPr>
        <w:pStyle w:val="5"/>
        <w:tabs>
          <w:tab w:val="right" w:leader="dot" w:pos="8306"/>
        </w:tabs>
        <w:rPr>
          <w:rFonts w:hint="eastAsia" w:ascii="仿宋" w:hAnsi="仿宋" w:eastAsia="仿宋" w:cs="仿宋"/>
          <w:b/>
          <w:bCs/>
          <w:sz w:val="30"/>
          <w:szCs w:val="30"/>
        </w:rPr>
      </w:pPr>
      <w:r>
        <w:rPr>
          <w:rFonts w:hint="eastAsia" w:ascii="仿宋" w:hAnsi="仿宋" w:eastAsia="仿宋" w:cs="仿宋"/>
          <w:b/>
          <w:bCs/>
          <w:sz w:val="30"/>
          <w:szCs w:val="30"/>
          <w:lang w:val="en-US" w:eastAsia="zh-CN"/>
        </w:rPr>
        <w:fldChar w:fldCharType="begin"/>
      </w:r>
      <w:r>
        <w:rPr>
          <w:rFonts w:hint="eastAsia" w:ascii="仿宋" w:hAnsi="仿宋" w:eastAsia="仿宋" w:cs="仿宋"/>
          <w:b/>
          <w:bCs/>
          <w:sz w:val="30"/>
          <w:szCs w:val="30"/>
          <w:lang w:val="en-US" w:eastAsia="zh-CN"/>
        </w:rPr>
        <w:instrText xml:space="preserve"> HYPERLINK \l _Toc17180 </w:instrText>
      </w:r>
      <w:r>
        <w:rPr>
          <w:rFonts w:hint="eastAsia" w:ascii="仿宋" w:hAnsi="仿宋" w:eastAsia="仿宋" w:cs="仿宋"/>
          <w:b/>
          <w:bCs/>
          <w:sz w:val="30"/>
          <w:szCs w:val="30"/>
          <w:lang w:val="en-US" w:eastAsia="zh-CN"/>
        </w:rPr>
        <w:fldChar w:fldCharType="separate"/>
      </w:r>
      <w:r>
        <w:rPr>
          <w:rFonts w:hint="eastAsia" w:ascii="仿宋" w:hAnsi="仿宋" w:eastAsia="仿宋" w:cs="仿宋"/>
          <w:b/>
          <w:bCs/>
          <w:sz w:val="30"/>
          <w:szCs w:val="30"/>
          <w:lang w:val="en-US" w:eastAsia="zh-CN"/>
        </w:rPr>
        <w:t>第六章  保障措施</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_Toc17180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60</w:t>
      </w:r>
      <w:r>
        <w:rPr>
          <w:rFonts w:hint="eastAsia" w:ascii="仿宋" w:hAnsi="仿宋" w:eastAsia="仿宋" w:cs="仿宋"/>
          <w:b/>
          <w:bCs/>
          <w:sz w:val="30"/>
          <w:szCs w:val="30"/>
        </w:rPr>
        <w:fldChar w:fldCharType="end"/>
      </w:r>
      <w:r>
        <w:rPr>
          <w:rFonts w:hint="eastAsia" w:ascii="仿宋" w:hAnsi="仿宋" w:eastAsia="仿宋" w:cs="仿宋"/>
          <w:b/>
          <w:bCs/>
          <w:sz w:val="30"/>
          <w:szCs w:val="30"/>
          <w:lang w:val="en-US" w:eastAsia="zh-CN"/>
        </w:rPr>
        <w:fldChar w:fldCharType="end"/>
      </w:r>
    </w:p>
    <w:p>
      <w:pPr>
        <w:pStyle w:val="5"/>
        <w:tabs>
          <w:tab w:val="right" w:leader="dot" w:pos="8306"/>
        </w:tabs>
        <w:rPr>
          <w:rFonts w:hint="eastAsia" w:ascii="仿宋" w:hAnsi="仿宋" w:eastAsia="仿宋" w:cs="仿宋"/>
          <w:sz w:val="30"/>
          <w:szCs w:val="30"/>
        </w:rPr>
      </w:pPr>
      <w:r>
        <w:rPr>
          <w:rFonts w:hint="eastAsia" w:ascii="仿宋" w:hAnsi="仿宋" w:eastAsia="仿宋" w:cs="仿宋"/>
          <w:b/>
          <w:bCs/>
          <w:sz w:val="30"/>
          <w:szCs w:val="30"/>
          <w:lang w:val="en-US" w:eastAsia="zh-CN"/>
        </w:rPr>
        <w:fldChar w:fldCharType="begin"/>
      </w:r>
      <w:r>
        <w:rPr>
          <w:rFonts w:hint="eastAsia" w:ascii="仿宋" w:hAnsi="仿宋" w:eastAsia="仿宋" w:cs="仿宋"/>
          <w:b/>
          <w:bCs/>
          <w:sz w:val="30"/>
          <w:szCs w:val="30"/>
          <w:lang w:val="en-US" w:eastAsia="zh-CN"/>
        </w:rPr>
        <w:instrText xml:space="preserve"> HYPERLINK \l _Toc21684 </w:instrText>
      </w:r>
      <w:r>
        <w:rPr>
          <w:rFonts w:hint="eastAsia" w:ascii="仿宋" w:hAnsi="仿宋" w:eastAsia="仿宋" w:cs="仿宋"/>
          <w:b/>
          <w:bCs/>
          <w:sz w:val="30"/>
          <w:szCs w:val="30"/>
          <w:lang w:val="en-US" w:eastAsia="zh-CN"/>
        </w:rPr>
        <w:fldChar w:fldCharType="separate"/>
      </w:r>
      <w:r>
        <w:rPr>
          <w:rFonts w:hint="eastAsia" w:ascii="仿宋" w:hAnsi="仿宋" w:eastAsia="仿宋" w:cs="仿宋"/>
          <w:b/>
          <w:bCs/>
          <w:sz w:val="30"/>
          <w:szCs w:val="30"/>
          <w:lang w:val="en-US" w:eastAsia="zh-CN"/>
        </w:rPr>
        <w:t>附  件：指标计算方法</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_Toc21684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62</w:t>
      </w:r>
      <w:r>
        <w:rPr>
          <w:rFonts w:hint="eastAsia" w:ascii="仿宋" w:hAnsi="仿宋" w:eastAsia="仿宋" w:cs="仿宋"/>
          <w:b/>
          <w:bCs/>
          <w:sz w:val="30"/>
          <w:szCs w:val="30"/>
        </w:rPr>
        <w:fldChar w:fldCharType="end"/>
      </w:r>
      <w:r>
        <w:rPr>
          <w:rFonts w:hint="eastAsia" w:ascii="仿宋" w:hAnsi="仿宋" w:eastAsia="仿宋" w:cs="仿宋"/>
          <w:b/>
          <w:bCs/>
          <w:sz w:val="30"/>
          <w:szCs w:val="30"/>
          <w:lang w:val="en-US" w:eastAsia="zh-CN"/>
        </w:rPr>
        <w:fldChar w:fldCharType="end"/>
      </w:r>
    </w:p>
    <w:p>
      <w:pPr>
        <w:jc w:val="both"/>
        <w:rPr>
          <w:rFonts w:hint="eastAsia" w:ascii="黑体" w:hAnsi="黑体" w:eastAsia="黑体" w:cs="黑体"/>
          <w:b w:val="0"/>
          <w:bCs w:val="0"/>
          <w:sz w:val="32"/>
          <w:szCs w:val="32"/>
          <w:lang w:val="en-US" w:eastAsia="zh-CN"/>
        </w:rPr>
      </w:pPr>
      <w:r>
        <w:rPr>
          <w:rFonts w:hint="eastAsia" w:ascii="仿宋" w:hAnsi="仿宋" w:eastAsia="仿宋" w:cs="仿宋"/>
          <w:bCs w:val="0"/>
          <w:sz w:val="30"/>
          <w:szCs w:val="30"/>
          <w:lang w:val="en-US" w:eastAsia="zh-CN"/>
        </w:rPr>
        <w:fldChar w:fldCharType="end"/>
      </w:r>
    </w:p>
    <w:p>
      <w:pPr>
        <w:ind w:firstLine="640" w:firstLineChars="200"/>
        <w:jc w:val="center"/>
        <w:rPr>
          <w:rFonts w:hint="eastAsia" w:ascii="黑体" w:hAnsi="黑体" w:eastAsia="黑体" w:cs="黑体"/>
          <w:b w:val="0"/>
          <w:bCs w:val="0"/>
          <w:sz w:val="32"/>
          <w:szCs w:val="32"/>
          <w:lang w:val="en-US" w:eastAsia="zh-CN"/>
        </w:rPr>
      </w:pPr>
    </w:p>
    <w:p>
      <w:pPr>
        <w:ind w:firstLine="640" w:firstLineChars="200"/>
        <w:jc w:val="center"/>
        <w:rPr>
          <w:rFonts w:hint="eastAsia" w:ascii="黑体" w:hAnsi="黑体" w:eastAsia="黑体" w:cs="黑体"/>
          <w:b w:val="0"/>
          <w:bCs w:val="0"/>
          <w:sz w:val="32"/>
          <w:szCs w:val="32"/>
          <w:lang w:val="en-US" w:eastAsia="zh-CN"/>
        </w:rPr>
      </w:pPr>
    </w:p>
    <w:p>
      <w:pPr>
        <w:ind w:firstLine="640" w:firstLineChars="200"/>
        <w:jc w:val="center"/>
        <w:rPr>
          <w:rFonts w:hint="eastAsia" w:ascii="黑体" w:hAnsi="黑体" w:eastAsia="黑体" w:cs="黑体"/>
          <w:b w:val="0"/>
          <w:bCs w:val="0"/>
          <w:sz w:val="32"/>
          <w:szCs w:val="32"/>
          <w:lang w:val="en-US" w:eastAsia="zh-CN"/>
        </w:rPr>
      </w:pPr>
    </w:p>
    <w:p>
      <w:pPr>
        <w:ind w:firstLine="640" w:firstLineChars="200"/>
        <w:jc w:val="center"/>
        <w:rPr>
          <w:rFonts w:hint="eastAsia" w:ascii="黑体" w:hAnsi="黑体" w:eastAsia="黑体" w:cs="黑体"/>
          <w:b w:val="0"/>
          <w:bCs w:val="0"/>
          <w:sz w:val="32"/>
          <w:szCs w:val="32"/>
          <w:lang w:val="en-US" w:eastAsia="zh-CN"/>
        </w:rPr>
      </w:pPr>
    </w:p>
    <w:p>
      <w:pPr>
        <w:ind w:firstLine="640" w:firstLineChars="200"/>
        <w:jc w:val="center"/>
        <w:rPr>
          <w:rFonts w:hint="eastAsia" w:ascii="黑体" w:hAnsi="黑体" w:eastAsia="黑体" w:cs="黑体"/>
          <w:b w:val="0"/>
          <w:bCs w:val="0"/>
          <w:sz w:val="32"/>
          <w:szCs w:val="32"/>
          <w:lang w:val="en-US" w:eastAsia="zh-CN"/>
        </w:rPr>
      </w:pPr>
    </w:p>
    <w:p>
      <w:pPr>
        <w:ind w:firstLine="640" w:firstLineChars="200"/>
        <w:jc w:val="center"/>
        <w:rPr>
          <w:rFonts w:hint="eastAsia" w:ascii="黑体" w:hAnsi="黑体" w:eastAsia="黑体" w:cs="黑体"/>
          <w:b w:val="0"/>
          <w:bCs w:val="0"/>
          <w:sz w:val="32"/>
          <w:szCs w:val="32"/>
          <w:lang w:val="en-US" w:eastAsia="zh-CN"/>
        </w:rPr>
      </w:pPr>
    </w:p>
    <w:p>
      <w:pPr>
        <w:ind w:firstLine="640" w:firstLineChars="200"/>
        <w:jc w:val="center"/>
        <w:rPr>
          <w:rFonts w:hint="eastAsia" w:ascii="黑体" w:hAnsi="黑体" w:eastAsia="黑体" w:cs="黑体"/>
          <w:b w:val="0"/>
          <w:bCs w:val="0"/>
          <w:sz w:val="32"/>
          <w:szCs w:val="32"/>
          <w:lang w:val="en-US" w:eastAsia="zh-CN"/>
        </w:rPr>
      </w:pPr>
    </w:p>
    <w:p>
      <w:pPr>
        <w:ind w:firstLine="640" w:firstLineChars="200"/>
        <w:jc w:val="center"/>
        <w:rPr>
          <w:rFonts w:hint="eastAsia" w:ascii="黑体" w:hAnsi="黑体" w:eastAsia="黑体" w:cs="黑体"/>
          <w:b w:val="0"/>
          <w:bCs w:val="0"/>
          <w:sz w:val="32"/>
          <w:szCs w:val="32"/>
          <w:lang w:val="en-US" w:eastAsia="zh-CN"/>
        </w:rPr>
      </w:pPr>
    </w:p>
    <w:p>
      <w:pPr>
        <w:ind w:firstLine="640" w:firstLineChars="200"/>
        <w:jc w:val="center"/>
        <w:rPr>
          <w:rFonts w:hint="eastAsia" w:ascii="黑体" w:hAnsi="黑体" w:eastAsia="黑体" w:cs="黑体"/>
          <w:b w:val="0"/>
          <w:bCs w:val="0"/>
          <w:sz w:val="32"/>
          <w:szCs w:val="32"/>
          <w:lang w:val="en-US" w:eastAsia="zh-CN"/>
        </w:rPr>
      </w:pPr>
    </w:p>
    <w:p>
      <w:pPr>
        <w:jc w:val="both"/>
        <w:rPr>
          <w:rFonts w:hint="eastAsia" w:ascii="黑体" w:hAnsi="黑体" w:eastAsia="黑体" w:cs="黑体"/>
          <w:b w:val="0"/>
          <w:bCs w:val="0"/>
          <w:sz w:val="32"/>
          <w:szCs w:val="32"/>
          <w:lang w:val="en-US" w:eastAsia="zh-CN"/>
        </w:rPr>
      </w:pPr>
    </w:p>
    <w:p>
      <w:pPr>
        <w:ind w:firstLine="640" w:firstLineChars="200"/>
        <w:jc w:val="center"/>
        <w:outlineLvl w:val="0"/>
        <w:rPr>
          <w:rFonts w:hint="eastAsia" w:ascii="黑体" w:hAnsi="黑体" w:eastAsia="黑体" w:cs="黑体"/>
          <w:b w:val="0"/>
          <w:bCs w:val="0"/>
          <w:sz w:val="32"/>
          <w:szCs w:val="32"/>
          <w:lang w:val="en-US" w:eastAsia="zh-CN"/>
        </w:rPr>
      </w:pPr>
      <w:bookmarkStart w:id="0" w:name="_Toc1239"/>
    </w:p>
    <w:p>
      <w:pPr>
        <w:ind w:firstLine="640" w:firstLineChars="200"/>
        <w:jc w:val="center"/>
        <w:outlineLvl w:val="0"/>
        <w:rPr>
          <w:rFonts w:hint="eastAsia" w:ascii="黑体" w:hAnsi="黑体" w:eastAsia="黑体" w:cs="黑体"/>
          <w:b w:val="0"/>
          <w:bCs w:val="0"/>
          <w:sz w:val="32"/>
          <w:szCs w:val="32"/>
          <w:lang w:val="en-US" w:eastAsia="zh-CN"/>
        </w:rPr>
      </w:pPr>
    </w:p>
    <w:p>
      <w:pPr>
        <w:ind w:firstLine="640" w:firstLineChars="200"/>
        <w:jc w:val="center"/>
        <w:outlineLvl w:val="0"/>
        <w:rPr>
          <w:rFonts w:hint="eastAsia" w:ascii="黑体" w:hAnsi="黑体" w:eastAsia="黑体" w:cs="黑体"/>
          <w:b w:val="0"/>
          <w:bCs w:val="0"/>
          <w:sz w:val="32"/>
          <w:szCs w:val="32"/>
          <w:lang w:val="en-US" w:eastAsia="zh-CN"/>
        </w:rPr>
      </w:pPr>
    </w:p>
    <w:p>
      <w:pPr>
        <w:ind w:firstLine="640" w:firstLineChars="200"/>
        <w:jc w:val="center"/>
        <w:outlineLvl w:val="0"/>
        <w:rPr>
          <w:rFonts w:hint="eastAsia" w:ascii="黑体" w:hAnsi="黑体" w:eastAsia="黑体" w:cs="黑体"/>
          <w:b w:val="0"/>
          <w:bCs w:val="0"/>
          <w:sz w:val="32"/>
          <w:szCs w:val="32"/>
          <w:lang w:val="en-US" w:eastAsia="zh-CN"/>
        </w:rPr>
      </w:pPr>
    </w:p>
    <w:p>
      <w:pPr>
        <w:ind w:firstLine="640" w:firstLineChars="200"/>
        <w:jc w:val="center"/>
        <w:outlineLvl w:val="0"/>
        <w:rPr>
          <w:rFonts w:hint="eastAsia" w:ascii="黑体" w:hAnsi="黑体" w:eastAsia="黑体" w:cs="黑体"/>
          <w:b w:val="0"/>
          <w:bCs w:val="0"/>
          <w:sz w:val="32"/>
          <w:szCs w:val="32"/>
          <w:lang w:val="en-US" w:eastAsia="zh-CN"/>
        </w:rPr>
      </w:pPr>
    </w:p>
    <w:p>
      <w:pPr>
        <w:ind w:firstLine="640" w:firstLineChars="200"/>
        <w:jc w:val="center"/>
        <w:outlineLvl w:val="0"/>
        <w:rPr>
          <w:rFonts w:hint="eastAsia" w:ascii="黑体" w:hAnsi="黑体" w:eastAsia="黑体" w:cs="黑体"/>
          <w:b w:val="0"/>
          <w:bCs w:val="0"/>
          <w:sz w:val="32"/>
          <w:szCs w:val="32"/>
          <w:lang w:val="en-US" w:eastAsia="zh-CN"/>
        </w:rPr>
      </w:pPr>
    </w:p>
    <w:p>
      <w:pPr>
        <w:ind w:firstLine="640" w:firstLineChars="200"/>
        <w:jc w:val="center"/>
        <w:outlineLvl w:val="0"/>
        <w:rPr>
          <w:rFonts w:hint="eastAsia" w:ascii="黑体" w:hAnsi="黑体" w:eastAsia="黑体" w:cs="黑体"/>
          <w:b w:val="0"/>
          <w:bCs w:val="0"/>
          <w:sz w:val="32"/>
          <w:szCs w:val="32"/>
          <w:lang w:val="en-US" w:eastAsia="zh-CN"/>
        </w:rPr>
      </w:pPr>
    </w:p>
    <w:p>
      <w:pPr>
        <w:ind w:firstLine="640" w:firstLineChars="200"/>
        <w:jc w:val="center"/>
        <w:outlineLvl w:val="0"/>
        <w:rPr>
          <w:rFonts w:hint="eastAsia" w:ascii="黑体" w:hAnsi="黑体" w:eastAsia="黑体" w:cs="黑体"/>
          <w:b w:val="0"/>
          <w:bCs w:val="0"/>
          <w:sz w:val="32"/>
          <w:szCs w:val="32"/>
          <w:lang w:val="en-US" w:eastAsia="zh-CN"/>
        </w:rPr>
      </w:pPr>
    </w:p>
    <w:p>
      <w:pPr>
        <w:ind w:firstLine="640" w:firstLineChars="200"/>
        <w:jc w:val="center"/>
        <w:outlineLvl w:val="0"/>
        <w:rPr>
          <w:rFonts w:hint="eastAsia" w:ascii="黑体" w:hAnsi="黑体" w:eastAsia="黑体" w:cs="黑体"/>
          <w:b w:val="0"/>
          <w:bCs w:val="0"/>
          <w:sz w:val="32"/>
          <w:szCs w:val="32"/>
          <w:lang w:val="en-US" w:eastAsia="zh-CN"/>
        </w:rPr>
      </w:pPr>
    </w:p>
    <w:p>
      <w:pPr>
        <w:ind w:firstLine="640" w:firstLineChars="200"/>
        <w:jc w:val="center"/>
        <w:outlineLvl w:val="0"/>
        <w:rPr>
          <w:rFonts w:hint="eastAsia" w:ascii="黑体" w:hAnsi="黑体" w:eastAsia="黑体" w:cs="黑体"/>
          <w:b w:val="0"/>
          <w:bCs w:val="0"/>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p>
    <w:p>
      <w:pPr>
        <w:ind w:firstLine="640" w:firstLineChars="200"/>
        <w:jc w:val="center"/>
        <w:outlineLvl w:val="0"/>
        <w:rPr>
          <w:rFonts w:hint="eastAsia" w:ascii="黑体" w:hAnsi="黑体" w:eastAsia="黑体" w:cs="黑体"/>
          <w:b w:val="0"/>
          <w:bCs w:val="0"/>
          <w:sz w:val="32"/>
          <w:szCs w:val="32"/>
          <w:lang w:val="en-US" w:eastAsia="zh-CN"/>
        </w:rPr>
      </w:pPr>
      <w:bookmarkStart w:id="1" w:name="_Toc4670"/>
      <w:r>
        <w:rPr>
          <w:rFonts w:hint="eastAsia" w:ascii="黑体" w:hAnsi="黑体" w:eastAsia="黑体" w:cs="黑体"/>
          <w:b w:val="0"/>
          <w:bCs w:val="0"/>
          <w:sz w:val="32"/>
          <w:szCs w:val="32"/>
          <w:lang w:val="en-US" w:eastAsia="zh-CN"/>
        </w:rPr>
        <w:t>引言</w:t>
      </w:r>
      <w:bookmarkEnd w:id="0"/>
      <w:bookmarkEnd w:id="1"/>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“十四五”是衔接“两个一百年”奋斗目标的第一个五年规划时期，数字化、5G、人工智能、物联网正在推动第四次工业革命，社会进入基于信息网络的大创新、大变革时代。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随着政府职能转变的不断深化和信息化发展的不断深入， 以“互联网+政务服务”为核心的“数字政府”正逐步成为创新政府管理和服务的新方式、新渠道、新载体。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党的十九届四中全会明确指出，要“建立健全运用互联网、大数据、人工智能等技术手段进行行政管理的制度规则，推进数字政府建设，加强数据有序共享，依法保护个人信息”。党的十九届五中全会通过的《中共中央关于制定国民经济和社会发展第十四个五年规划和二〇三五年远景目标的建议》中明确提出，要“加强数字社会、数字政府建设，提升公共服务、社会治理等数字化智能化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持以习近平新时代中国特色社会主义思想为指导，深刻把握电子政务发展趋势，推动政府数字化转型，构建数字政府，引领经济社会高质量发展，是落实“网络强国”战略，加快建设“数字中国”的必然要求，是全面深化改革，以信息化推进国家治理体系和治理能力现代化的关键抉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lang w:val="en-US" w:eastAsia="zh-CN"/>
        </w:rPr>
      </w:pPr>
      <w:r>
        <w:rPr>
          <w:rFonts w:hint="eastAsia" w:ascii="仿宋" w:hAnsi="仿宋" w:eastAsia="仿宋" w:cs="仿宋"/>
          <w:sz w:val="32"/>
          <w:szCs w:val="32"/>
          <w:lang w:val="en-US" w:eastAsia="zh-CN"/>
        </w:rPr>
        <w:t>为进一步明确“十四五”期间我市数字政府改革建设的发展目标、主要任务、实施步骤和保障措施，提出具有汕头本地特色的</w:t>
      </w:r>
      <w:r>
        <w:rPr>
          <w:rFonts w:hint="eastAsia" w:ascii="仿宋" w:hAnsi="仿宋" w:eastAsia="仿宋" w:cs="仿宋"/>
          <w:sz w:val="32"/>
          <w:szCs w:val="32"/>
        </w:rPr>
        <w:t>“数字政府”改革建设模式</w:t>
      </w:r>
      <w:r>
        <w:rPr>
          <w:rFonts w:hint="eastAsia" w:ascii="仿宋" w:hAnsi="仿宋" w:eastAsia="仿宋" w:cs="仿宋"/>
          <w:sz w:val="32"/>
          <w:szCs w:val="32"/>
          <w:lang w:eastAsia="zh-CN"/>
        </w:rPr>
        <w:t>和</w:t>
      </w:r>
      <w:r>
        <w:rPr>
          <w:rFonts w:hint="eastAsia" w:ascii="仿宋" w:hAnsi="仿宋" w:eastAsia="仿宋" w:cs="仿宋"/>
          <w:sz w:val="32"/>
          <w:szCs w:val="32"/>
          <w:lang w:val="en-US" w:eastAsia="zh-CN"/>
        </w:rPr>
        <w:t>整体解决方案，指导市直部门和各区县推进数字政府改革建设工作，根据《广东省政务服务数据管理局关于做好数字政府“十四五”规划编制工作的通知》和《广东省数字政府改革建设“十四五”规划》，结合汕头市实际，编制本规划。</w:t>
      </w:r>
    </w:p>
    <w:p>
      <w:pPr>
        <w:ind w:firstLine="640" w:firstLineChars="200"/>
        <w:jc w:val="left"/>
        <w:rPr>
          <w:rFonts w:hint="eastAsia" w:ascii="黑体" w:hAnsi="黑体" w:eastAsia="黑体" w:cs="黑体"/>
          <w:b w:val="0"/>
          <w:bCs w:val="0"/>
          <w:sz w:val="32"/>
          <w:szCs w:val="32"/>
          <w:lang w:val="en-US" w:eastAsia="zh-CN"/>
        </w:rPr>
      </w:pPr>
    </w:p>
    <w:p>
      <w:pPr>
        <w:ind w:firstLine="640" w:firstLineChars="200"/>
        <w:jc w:val="center"/>
        <w:outlineLvl w:val="0"/>
        <w:rPr>
          <w:rFonts w:hint="eastAsia" w:ascii="黑体" w:hAnsi="黑体" w:eastAsia="黑体" w:cs="黑体"/>
          <w:b w:val="0"/>
          <w:bCs w:val="0"/>
          <w:sz w:val="32"/>
          <w:szCs w:val="32"/>
          <w:lang w:val="en-US" w:eastAsia="zh-CN"/>
        </w:rPr>
      </w:pPr>
      <w:bookmarkStart w:id="2" w:name="_Toc6520"/>
      <w:bookmarkStart w:id="3" w:name="_Toc3911"/>
      <w:r>
        <w:rPr>
          <w:rFonts w:hint="eastAsia" w:ascii="黑体" w:hAnsi="黑体" w:eastAsia="黑体" w:cs="黑体"/>
          <w:b w:val="0"/>
          <w:bCs w:val="0"/>
          <w:sz w:val="32"/>
          <w:szCs w:val="32"/>
          <w:lang w:val="en-US" w:eastAsia="zh-CN"/>
        </w:rPr>
        <w:t>第一章  发展现状</w:t>
      </w:r>
      <w:bookmarkEnd w:id="2"/>
      <w:bookmarkEnd w:id="3"/>
    </w:p>
    <w:p>
      <w:pPr>
        <w:ind w:firstLine="640" w:firstLineChars="200"/>
        <w:rPr>
          <w:rFonts w:hint="eastAsia" w:ascii="黑体" w:hAnsi="黑体" w:eastAsia="黑体" w:cs="黑体"/>
          <w:b w:val="0"/>
          <w:bCs w:val="0"/>
          <w:sz w:val="32"/>
          <w:szCs w:val="32"/>
          <w:lang w:val="en-US" w:eastAsia="zh-CN"/>
        </w:rPr>
      </w:pPr>
    </w:p>
    <w:p>
      <w:pPr>
        <w:numPr>
          <w:ilvl w:val="0"/>
          <w:numId w:val="1"/>
        </w:numPr>
        <w:ind w:firstLine="640" w:firstLineChars="200"/>
        <w:jc w:val="center"/>
        <w:outlineLvl w:val="1"/>
        <w:rPr>
          <w:rFonts w:hint="eastAsia" w:ascii="黑体" w:hAnsi="黑体" w:eastAsia="黑体" w:cs="黑体"/>
          <w:b w:val="0"/>
          <w:bCs w:val="0"/>
          <w:sz w:val="32"/>
          <w:szCs w:val="32"/>
          <w:lang w:val="en-US" w:eastAsia="zh-CN"/>
        </w:rPr>
      </w:pPr>
      <w:bookmarkStart w:id="4" w:name="_Toc27748"/>
      <w:bookmarkStart w:id="5" w:name="_Toc31327"/>
      <w:r>
        <w:rPr>
          <w:rFonts w:hint="eastAsia" w:ascii="黑体" w:hAnsi="黑体" w:eastAsia="黑体" w:cs="黑体"/>
          <w:b w:val="0"/>
          <w:bCs w:val="0"/>
          <w:sz w:val="32"/>
          <w:szCs w:val="32"/>
          <w:lang w:val="en-US" w:eastAsia="zh-CN"/>
        </w:rPr>
        <w:t>建设现状</w:t>
      </w:r>
      <w:bookmarkEnd w:id="4"/>
      <w:bookmarkEnd w:id="5"/>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近年来，</w:t>
      </w:r>
      <w:r>
        <w:rPr>
          <w:rFonts w:hint="eastAsia" w:ascii="仿宋" w:hAnsi="仿宋" w:eastAsia="仿宋" w:cs="仿宋"/>
          <w:sz w:val="32"/>
          <w:szCs w:val="32"/>
          <w:lang w:eastAsia="zh-CN"/>
        </w:rPr>
        <w:t>汕头市紧扣“</w:t>
      </w:r>
      <w:r>
        <w:rPr>
          <w:rFonts w:hint="eastAsia" w:ascii="仿宋" w:hAnsi="仿宋" w:eastAsia="仿宋" w:cs="仿宋"/>
          <w:sz w:val="32"/>
          <w:szCs w:val="32"/>
          <w:lang w:val="en-US" w:eastAsia="zh-CN"/>
        </w:rPr>
        <w:t>数字政府”建设主题，深化“放管服”改革，打造不打烊政府，致力提升营商环境，在电子政务建设和应用方面成效显著：连续七届入选“中国城市信息化50强”，连续三年入选“中国数字经济百强城市”，先后荣获首批“全国电信普遍服务试点城市”、“广东省超高清（4K）电视网络应用试点城市”等多项荣誉称号；《汕头经济特区优化营商环境条例》自2021年11月1日起开始施行，标志着我市优化营商环境工作进入法治化、规范化发展的新阶段。</w:t>
      </w: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一、体制机制日趋完善</w:t>
      </w:r>
    </w:p>
    <w:p>
      <w:pPr>
        <w:numPr>
          <w:ilvl w:val="0"/>
          <w:numId w:val="0"/>
        </w:numPr>
        <w:ind w:firstLine="640" w:firstLineChars="200"/>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2015年9月，《汕头经济特区电子政务建设管理办法》出台，通过立法手段进一步规范电子政务建设的规划、评审以及网络信息资源、业务应用和安全系统的建设管理等方面工作。2017年9月，《汕头市电子政务十三五规划》出台，进一步明确“十三五”期间我市电子政务发展目标、主要任务、重点工程和保障措施，有力推动了全市电子政务建设工作。期间，我市引进了第三方技术咨询服务机构参与电子政务项目技术评审工作，扩充了电子政务专家库，建立健全了电子政务专家库管理制度和电子政务技术咨询服务第三方机构管理制度，为提高我市电子政务建设的科学决策水平发挥了积极作用。2017年12月，我市成立了由市委副书记、市长担任组长的市“数字政府”改革建设工作领导小组，负责“数字政府”改革建设工作的组织领导、顶层设计和统筹协调。2019年1月，组建汕头市政务服务数据管理局为市政府工作部门，作为“数字政府”改革建设工作行政主管机构，统一负责政务服务管理、“互联网+政务服务”、政务数据管理、公共资源交易管理等“数字政府”改革工作。2019年3月，全市六区一县均组建了政务服务数据管理局，统一领导、上下衔接、统筹有力的全市信息化组织体系基本确立。2019年4月，我市创新“数字政府”建设与运营模式，成立了“数字政府”运营中心，即数字广东网络建设有限公司汕头分公司，为“数字政府”改革建设工作提供技术支撑。2019年7月，市政府常务会议审议通过《汕头市“数字政府”改革建设方案》，为我市“数字政府”改革建设指明方向，明确了工作目标和工作任务。2019年9月，我市成立了市“数字政府”改革建设专家委员会，为我市“数字政府”改革建设工作提供决策咨询和智力支持。2019年12月，《汕头市“数字政府”建设规划（2019-2021年）》和《汕头市“数字政府”建设规划（2019-2021年）实施方案》出台，进一步明确了2019-2021年我市的总体要求、建设架构、重点工程、实施步骤和实施保障，进一步提升我市“数字政府”建设水平。</w:t>
      </w: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二、信息基础设施建设初具规模</w:t>
      </w:r>
    </w:p>
    <w:p>
      <w:pPr>
        <w:numPr>
          <w:ilvl w:val="0"/>
          <w:numId w:val="0"/>
        </w:numPr>
        <w:ind w:firstLine="642"/>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大力推进电子政务云平台建设应用。</w:t>
      </w:r>
      <w:r>
        <w:rPr>
          <w:rFonts w:hint="eastAsia" w:ascii="仿宋" w:hAnsi="仿宋" w:eastAsia="仿宋" w:cs="仿宋"/>
          <w:sz w:val="32"/>
          <w:szCs w:val="32"/>
          <w:lang w:val="en-US" w:eastAsia="zh-CN"/>
        </w:rPr>
        <w:t>按照省“数字政府”政务云平台“1+N+M”的布局规划，坚持高标准、高质量、高安全的原则，着力推进电子政务云平台建设，逐步推动全市政务信息化系统迁移、部署上云，为全市政务信息系统安全稳定运行提供强而有力的平台和技术支持。汕头政务云2019年完成一期建设，2020年正式投入生产，2021年开展二期资源扩容，总投入超9000万元。今年扩容后实现资源8820核，4.2tG，1462T，目前已上云系统近30个，涉及市委市政府，发改，住建，城管等重要单位。</w:t>
      </w:r>
    </w:p>
    <w:p>
      <w:pPr>
        <w:numPr>
          <w:ilvl w:val="0"/>
          <w:numId w:val="0"/>
        </w:numPr>
        <w:ind w:firstLine="642"/>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政务外网实现100%覆盖。</w:t>
      </w:r>
      <w:r>
        <w:rPr>
          <w:rFonts w:hint="eastAsia" w:ascii="仿宋" w:hAnsi="仿宋" w:eastAsia="仿宋" w:cs="仿宋"/>
          <w:sz w:val="32"/>
          <w:szCs w:val="32"/>
          <w:lang w:val="en-US" w:eastAsia="zh-CN"/>
        </w:rPr>
        <w:t>完成6区1县，69个镇街、1087个村居政务外网建设，实现市、区县、镇街、村居四级政务外网100%覆盖，形成“横向到边、纵向到底”的政务外网格局，为党政机关的政务信息资源共享提供安全可靠的网络基础。</w:t>
      </w:r>
    </w:p>
    <w:p>
      <w:pPr>
        <w:numPr>
          <w:ilvl w:val="0"/>
          <w:numId w:val="0"/>
        </w:numPr>
        <w:ind w:firstLine="64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时，5G网络、光纤网络等信息基础设施建设水平显著提升。固定宽带方面，截至2020年底，全市固定宽带家庭普及率达121.3%，光纤入户率从2015年的37.2%提升至116.9%。移动通信方面，移动通信基站累计达2.7万座，其中5G基站累计建成开通4000座，重点区域平均5G覆盖率超过99%，网络质量已达到与深圳相当的商用水平。4G基站从2015年的1万座增长至1.6万座，20户以上自然村实现4G网络全覆盖，覆盖率在全省前列。</w:t>
      </w:r>
    </w:p>
    <w:p>
      <w:pPr>
        <w:numPr>
          <w:ilvl w:val="0"/>
          <w:numId w:val="0"/>
        </w:numPr>
        <w:ind w:firstLine="642"/>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着力构建政务大数据中心。</w:t>
      </w:r>
      <w:r>
        <w:rPr>
          <w:rFonts w:hint="eastAsia" w:ascii="仿宋" w:hAnsi="仿宋" w:eastAsia="仿宋" w:cs="仿宋"/>
          <w:sz w:val="32"/>
          <w:szCs w:val="32"/>
          <w:lang w:val="en-US" w:eastAsia="zh-CN"/>
        </w:rPr>
        <w:t>我市作为全省9个数据中心集聚区之一，已被纳入《广东省5G基站和数据中心总体布局规划（2021-2025年）》。我市现有数据中心6个，标准机架合计14995个。其中，南沙湾数据中心是粤东地区已投产规模最大、等级最高的五星级数据中心，总规划投资30亿元，投产机架7449多个，上架设备数超1.6万，已获公安部等保三级备案和中国数据中心工作组五星级等多项认证。基于政务云、汕头政府在线、人社等系统业务需求，以市委大院、移动信息大楼为市级双核心，以粤东数据中心为区县核心，并在广州设置异地的数据容灾机房，构建两地三中心容灾备份体系，充分保障系统7*24小时业务连续性。在此基础上，我市于2020年8月开始规划建设政务大数据中心，按照省统一标准，于2021年11月完成政务大数据中心汕头分节点建设，提升政务数据资源跨部门、跨层级、跨地区的高效、便捷、安全共享和应用。</w:t>
      </w: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三、数据整合共享有序开展</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国家、省政务信息资源共享体系的建设要求，我市积极整合信息资源，利用现有数据平台，建设全市政务信息资源共享平台。我市已经完成政务信息资源共享平台部署工作，建成共享数据中心资源库，完成了与省共享平台级联接口联调，实现与省共享平台的互联互通，通过前置服务器实现各部门间的互联互通和数据交换。</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时，业务主管部门根据业务需求，负责牵头相关数据提供部门，明确数据的归集范围和格式标准，推动相关部门的数据共享。依托省大数据中心数据共享原则，各部门按照数据共享流程要求编制、维护本部门政务信息资源目录，在确保数据准确、及时和完整的基础上，做好数据的挂接和系统对接工作，建立数据更新机制。目前，汕头市已在广东省大数据中心上线数据资源610类，数据挂接610个，共享数据需求41项，需求满足率100%。</w:t>
      </w: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四、政务服务体系持续完善</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政务服务事项办理流程不断优化。</w:t>
      </w:r>
      <w:r>
        <w:rPr>
          <w:rFonts w:hint="eastAsia" w:ascii="仿宋" w:hAnsi="仿宋" w:eastAsia="仿宋" w:cs="仿宋"/>
          <w:sz w:val="32"/>
          <w:szCs w:val="32"/>
          <w:lang w:val="en-US" w:eastAsia="zh-CN"/>
        </w:rPr>
        <w:t>目前我市依申请类政务服务事项网上可办率87％，97％以上的事项实现“最多跑一次”，78％以上的事项实现一次不用跑,83％的行政许可事项实现即办；推出“一件事”主题指南服务。以群众、企业办事实际需求为出发点，将若干审批环节梳理为“一件事”，形成342个“一件事”办事指南在广东政务服务网汕头分厅展示，简化群众、企业办事流程，持续提升群众、企业获得感；探索开展政务服务“秒批”改革。协调推进我市商事主体全程电子化智能化申报平台项目建设，拓展“商事登记”在自助终端的应用。2021年4月1日起，商事主体登记自助办理系统已在市政务服务中心试运行，首批实现了贸易类等行业的、对象为股东为自然人的内资公司、个人独资企业、个体工商户的商事主体设立登记的无人工自动审批。同时，结合我市自助终端机现有易于改造、改进为“秒批”事项的情况，在充分征求各有关部门意见后，最终确定包含“自助办”“指尖办”“网上办”等方式的55个事项作为我市第一批“秒批”事项清单，并对外公布；当前以我市政务服务“即办”事项清单、“网办”事项清单为基础，已初步形成我市第二批“秒批秒报”事项目标清单。</w:t>
      </w:r>
    </w:p>
    <w:p>
      <w:pPr>
        <w:numPr>
          <w:ilvl w:val="0"/>
          <w:numId w:val="0"/>
        </w:numPr>
        <w:adjustRightInd w:val="0"/>
        <w:snapToGrid w:val="0"/>
        <w:spacing w:line="600" w:lineRule="exact"/>
        <w:ind w:firstLine="643" w:firstLineChars="200"/>
        <w:outlineLvl w:val="9"/>
        <w:rPr>
          <w:rFonts w:hint="eastAsia" w:ascii="仿宋_GB2312" w:hAnsi="仿宋_GB2312" w:eastAsia="仿宋_GB2312" w:cs="仿宋_GB2312"/>
          <w:b w:val="0"/>
          <w:bCs w:val="0"/>
          <w:kern w:val="2"/>
          <w:sz w:val="32"/>
          <w:szCs w:val="32"/>
          <w:lang w:val="en-US" w:eastAsia="zh-CN" w:bidi="ar-SA"/>
        </w:rPr>
      </w:pPr>
      <w:r>
        <w:rPr>
          <w:rFonts w:hint="eastAsia" w:ascii="仿宋" w:hAnsi="仿宋" w:eastAsia="仿宋" w:cs="仿宋"/>
          <w:b/>
          <w:bCs/>
          <w:sz w:val="32"/>
          <w:szCs w:val="32"/>
          <w:lang w:val="en-US" w:eastAsia="zh-CN"/>
        </w:rPr>
        <w:t>政务服务能力不断提升。</w:t>
      </w:r>
      <w:r>
        <w:rPr>
          <w:rFonts w:hint="eastAsia" w:ascii="仿宋_GB2312" w:hAnsi="仿宋_GB2312" w:eastAsia="仿宋_GB2312" w:cs="仿宋_GB2312"/>
          <w:b w:val="0"/>
          <w:bCs/>
          <w:kern w:val="2"/>
          <w:sz w:val="32"/>
          <w:szCs w:val="32"/>
          <w:lang w:val="en-US" w:eastAsia="zh-CN" w:bidi="ar-SA"/>
        </w:rPr>
        <w:t>汕头市政务服务中心现有进驻单位51个，进驻政务服务事项1939项。设置人社（社保）、财政、公安、司法、不动产、税务等6个专窗（分厅）和集工程建设、综合类等事项为一体的综合类服务大厅，推动实现市发改局等35个部门共1239个</w:t>
      </w:r>
      <w:r>
        <w:rPr>
          <w:rFonts w:hint="eastAsia" w:ascii="仿宋_GB2312" w:hAnsi="仿宋_GB2312" w:eastAsia="仿宋_GB2312" w:cs="仿宋_GB2312"/>
          <w:b w:val="0"/>
          <w:bCs w:val="0"/>
          <w:kern w:val="2"/>
          <w:sz w:val="32"/>
          <w:szCs w:val="32"/>
          <w:lang w:val="en-US" w:eastAsia="zh-CN" w:bidi="ar-SA"/>
        </w:rPr>
        <w:t>事项纳入市政务服务中心政府综合服务窗口（简称“综合窗口”），实行“前台综合受理、后台分类审批、统一窗口出件”的“一窗受理，集成服务”运行模式。我市已与福建漳州、宁夏银川以及省内的深圳、惠州、梅州、汕尾、潮州、揭阳等6个地市建立政务服务跨域合作机制，从高频政务服务事项入手，采取线下在市政务服务中心开设专窗以及配置自助一体机方式，线上在广东政务服务网汕头分厅建设跨域通办专栏，并开展点对点“跨域通办”，实现福建省漳州市、省内广州、佛山、江门、东莞、惠州、清远、梅州、河源、揭阳、汕尾等市共360多项“跨省通办、省内通办”。</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“粤省事”政务服务线上应用持续推进</w:t>
      </w:r>
      <w:r>
        <w:rPr>
          <w:rFonts w:hint="eastAsia" w:ascii="仿宋" w:hAnsi="仿宋" w:eastAsia="仿宋" w:cs="仿宋"/>
          <w:sz w:val="32"/>
          <w:szCs w:val="32"/>
          <w:lang w:val="en-US" w:eastAsia="zh-CN"/>
        </w:rPr>
        <w:t>。截至2021年8月底粤省事·汕头实名注册用户数累计434万，已上线928项政务服务事项（含38项特色事项），其中办理类531项，查询类397项，零跑动733项；进一步推进基层“就近办”服务，全力推进“百项政务服务进网点”合作项目，目前我局已和汕头建行、农行、中行、工行、农商行、交行分别签订了合作框架协议，推动多台便民自助终端在上述6家商业银行的网点上线应用，形成24小时政务服务网点的“应建尽建、多点开花”，实现政务服务就近能办、多点可办、少跑快办，使企业群众的获得感更足。同时，根据《广东省人民政府办公厅关于印发广东省“数字政府”改革建设2021年工作要点的通知》（粤办函〔2021〕44号）和省领导同志定点联系汕头市工作专班会议（第3期）要求，结合我市实施“千村党群服务中心提档升级”工程的工作部署，推动综合政务服务自助终端一体机基层覆盖建设工作，实现“秒批”服务全城覆盖和政务服务“就近办”，营造良好的营商环境。</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我市政务服务“好差评”制度率先建立。</w:t>
      </w:r>
      <w:r>
        <w:rPr>
          <w:rFonts w:hint="eastAsia" w:ascii="仿宋" w:hAnsi="仿宋" w:eastAsia="仿宋" w:cs="仿宋"/>
          <w:sz w:val="32"/>
          <w:szCs w:val="32"/>
          <w:lang w:val="en-US" w:eastAsia="zh-CN"/>
        </w:rPr>
        <w:t>在全省率先出台《汕头市政务服务“好差评”实施细则（试行）》，明确赋予服务对象评判权，评价内容覆盖范围广，确保每个政务服务事项均可评价，并将评价结果与相关部门的考核与绩效评价直接挂钩，确保差评件件有整改、有反馈。</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企业融资便利度不断提升。</w:t>
      </w:r>
      <w:r>
        <w:rPr>
          <w:rFonts w:hint="eastAsia" w:ascii="仿宋" w:hAnsi="仿宋" w:eastAsia="仿宋" w:cs="仿宋"/>
          <w:sz w:val="32"/>
          <w:szCs w:val="32"/>
          <w:lang w:val="en-US" w:eastAsia="zh-CN"/>
        </w:rPr>
        <w:t>由汕头银保监分局、汕头市金融工作局联合发起，汕头市银行业协会、汕头市保险行业协会和汕头融媒集团联合开发的“汕金惠企通”金融服务平台（微信小程序）于2021年7月29日正式上线运行，该平台依托微信小程序技术手段，可实现企业贷款、投保需求一键直达银行保险机构，金融服务供需双方线上实时对接，解决信息不对称问题，提高中小微企业金融服务的可获得性和便利性。截至当前，汕头市已有48家银行保险机构针对中小微企业推出专属信贷产品114个、保险产品73款，银行机构合计完成贷款对接72笔、金额1.59亿元，保险机构合计完成投保对接20单、承保4.05亿元；汕头市首贷服务中心于2021年10月22日正式启动，该首贷服务中心由中国人民银行汕头市中心支行、市金融工作局、市政务服务数据管理局联合成立，是全省地级市首家首贷服务中心。“汕头市首贷服务中心”设置于市政务服务中心的新注册企业服务区域，进一步完善新注册企业的服务配套。该首贷服务中心采用“小前台大后台”形式，前台提供政策解读、首贷咨询、业务登记、对接、融资全流程跟踪反馈等服务，后台依托“粤信融”、“汕金惠企通”等平台将企业融资需求推送至有关银行，银行在后台承接办理业务，实现前后台受理审批无缝衔接，切实提升融资效率。</w:t>
      </w: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五、政务协同办公水平显著提高</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力组织推广应用粤政易移动办公平台，促进全市跨部门、跨层级政务信息共享和业务协同。截至2021年8月底，我市共开通粤政易帐户约7.5万个，开通范围覆盖至全市党政机关、事业单位、国有企业（管理层）和群团组织；深化“汕头政府在线”OA系统的应用。“汕头政府在线”移动办公系统已与粤政易对接，实现生活、工作“两机合一”，促进“指尖”办文“零时延”，全市公务员可在粤政易移动办公平台与省内各地公务员进行工作交流，在手机端随时随地处理公文和行政审批，提高机关办文和行政审批效率。</w:t>
      </w: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六、数字应用效能显著提升</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深入贯彻落实智慧新警务战略,以大数据智能化建设应用为牵引，强化警务云工程、大数据工程、云网端工程、视频云工程四大智慧赋能工程建设，攻坚克难，开拓创新，不断强化“8+N”创新警务应用建设纵深发展，在体系构建、实战应用、警务创新等方面打造一批示范亮点；构建数字化城市管理体系，建设汕头市数字城管平台，管理内容包括公共设施、园林绿化、道路交通等6 大类103 小类城市部件,以及市容环境、街面秩序、宣传广告等6 大类111 小类城市事件，初步实现市政、园林、环卫、城管执法等城市管理领域的全覆盖管理。在提高精细化管理服务水平，助力创文、创卫、创园等多城创建方面发挥了积极作用；紧紧围绕深化生态文明体制改革目标，着力补齐短板，强化生态环境监管能力建设，积极应用新技术手段，提升环境监测能力和科学管理水平，逐步建成涵盖空气、水、污染源企业和机动车排气的立体化监测体系；推动“雪亮工程”项目建设，紧抓我市作为2020年全国公安安全视频监控建设联网应用重点支持城市契机，推动整合市域社会治理所涵盖的各类行业公共安全视频监控资源和公共服务管理系统，为提升全市社会治理信息化、智能化水平提高技术支撑；针对城乡内涝的问题，以解决内涝积水监测难题，提升应急联动处置时效和水平作为出发点，坚持以信息化为支撑，依托科技手段，在全省率先开展了城乡内涝风险预警研究工作，建设汕头市应急管理局内涝监测平台（该平台被评为“汕治·善治”市域社会治理现代化2020年度优秀案例），对城乡易涝（积水）点进行智能化、科学化监测，统一组织应急处置，实现城乡内涝（积水）的实时监测预警和应急联动处置，极大地提升了应急处置时效和水平。</w:t>
      </w: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七、安全防护水平不断强化</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做好关键基础设施和重要信息系统的安全保密、网络信息安全突发事件应急预案等网络安全制度的制订工作，先后制定机房安全、网络安全、系统安全、应急管理、用户管理、外包服务管理和信息系统资产和档案管理等的管理制度和规范。定期组织安全应急演练，强化安全技术措施防护建设和数据安全防范工作，落实对全市性电子政务基础设施和重要信息系统的安全隐患排查工作，加强数据安全防护和安全检查，做好数据安全防控，顺利完成庆祝中国共产党成立100周年网络安全网络安全专项保障工作任务。</w:t>
      </w:r>
    </w:p>
    <w:p>
      <w:pPr>
        <w:numPr>
          <w:ilvl w:val="0"/>
          <w:numId w:val="0"/>
        </w:numPr>
        <w:jc w:val="center"/>
        <w:rPr>
          <w:rFonts w:hint="eastAsia" w:ascii="黑体" w:hAnsi="黑体" w:eastAsia="黑体" w:cs="黑体"/>
          <w:b w:val="0"/>
          <w:bCs w:val="0"/>
          <w:sz w:val="32"/>
          <w:szCs w:val="32"/>
          <w:lang w:val="en-US" w:eastAsia="zh-CN"/>
        </w:rPr>
      </w:pPr>
    </w:p>
    <w:p>
      <w:pPr>
        <w:numPr>
          <w:ilvl w:val="0"/>
          <w:numId w:val="2"/>
        </w:numPr>
        <w:jc w:val="center"/>
        <w:outlineLvl w:val="1"/>
        <w:rPr>
          <w:rFonts w:hint="eastAsia" w:ascii="黑体" w:hAnsi="黑体" w:eastAsia="黑体" w:cs="黑体"/>
          <w:b w:val="0"/>
          <w:bCs w:val="0"/>
          <w:sz w:val="32"/>
          <w:szCs w:val="32"/>
          <w:lang w:val="en-US" w:eastAsia="zh-CN"/>
        </w:rPr>
      </w:pPr>
      <w:bookmarkStart w:id="6" w:name="_Toc25699"/>
      <w:bookmarkStart w:id="7" w:name="_Toc20469"/>
      <w:r>
        <w:rPr>
          <w:rFonts w:hint="eastAsia" w:ascii="黑体" w:hAnsi="黑体" w:eastAsia="黑体" w:cs="黑体"/>
          <w:b w:val="0"/>
          <w:bCs w:val="0"/>
          <w:sz w:val="32"/>
          <w:szCs w:val="32"/>
          <w:lang w:val="en-US" w:eastAsia="zh-CN"/>
        </w:rPr>
        <w:t>存在问题</w:t>
      </w:r>
      <w:bookmarkEnd w:id="6"/>
      <w:bookmarkEnd w:id="7"/>
    </w:p>
    <w:p>
      <w:pPr>
        <w:numPr>
          <w:ilvl w:val="0"/>
          <w:numId w:val="0"/>
        </w:numPr>
        <w:jc w:val="both"/>
        <w:rPr>
          <w:rFonts w:hint="eastAsia" w:ascii="黑体" w:hAnsi="黑体" w:eastAsia="黑体" w:cs="黑体"/>
          <w:b w:val="0"/>
          <w:bCs w:val="0"/>
          <w:sz w:val="32"/>
          <w:szCs w:val="32"/>
          <w:lang w:val="en-US" w:eastAsia="zh-CN"/>
        </w:rPr>
      </w:pPr>
    </w:p>
    <w:p>
      <w:pPr>
        <w:numPr>
          <w:ilvl w:val="0"/>
          <w:numId w:val="0"/>
        </w:numPr>
        <w:ind w:firstLine="643" w:firstLineChars="200"/>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面向企业群众的服务能力仍需进一步强化。</w:t>
      </w:r>
      <w:r>
        <w:rPr>
          <w:rFonts w:hint="eastAsia" w:ascii="仿宋" w:hAnsi="仿宋" w:eastAsia="仿宋" w:cs="仿宋"/>
          <w:sz w:val="32"/>
          <w:szCs w:val="32"/>
          <w:lang w:val="en-US" w:eastAsia="zh-CN"/>
        </w:rPr>
        <w:t>“就近办事、一次办成”体验不强，线上、线下整合不深，“一网通办、异地通办”仍需不断优化，证照共享支撑不足，政务服务办理的便利程度还有待进一步提升，全流程网办体系仍需进一步完善。</w:t>
      </w:r>
    </w:p>
    <w:p>
      <w:pPr>
        <w:numPr>
          <w:ilvl w:val="0"/>
          <w:numId w:val="0"/>
        </w:numPr>
        <w:ind w:firstLine="643" w:firstLineChars="200"/>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体制机制有待进一步完善。</w:t>
      </w:r>
      <w:r>
        <w:rPr>
          <w:rFonts w:hint="eastAsia" w:ascii="仿宋" w:hAnsi="仿宋" w:eastAsia="仿宋" w:cs="仿宋"/>
          <w:sz w:val="32"/>
          <w:szCs w:val="32"/>
          <w:lang w:val="en-US" w:eastAsia="zh-CN"/>
        </w:rPr>
        <w:t>全市一盘棋的改革建设体制机制和联动模式仍不牢固，各行业、各区县之间数字政府发展水平不均衡的问题比较仍突出；数字政府运营建设服务支撑能力远未满足本地的需求，运营运维缺乏第三方监管；云、网、数及信息化项目的管理办法和制度规范仍比较欠缺。</w:t>
      </w:r>
    </w:p>
    <w:p>
      <w:pPr>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textAlignment w:val="auto"/>
        <w:outlineLvl w:val="9"/>
        <w:rPr>
          <w:rFonts w:hint="eastAsia" w:ascii="仿宋" w:hAnsi="仿宋" w:eastAsia="仿宋" w:cs="仿宋"/>
          <w:b w:val="0"/>
          <w:kern w:val="2"/>
          <w:sz w:val="32"/>
          <w:szCs w:val="32"/>
          <w:lang w:val="en-US" w:eastAsia="zh-CN" w:bidi="ar-SA"/>
        </w:rPr>
      </w:pPr>
      <w:bookmarkStart w:id="8" w:name="_Toc144"/>
      <w:r>
        <w:rPr>
          <w:rFonts w:hint="eastAsia" w:ascii="仿宋" w:hAnsi="仿宋" w:eastAsia="仿宋" w:cs="仿宋"/>
          <w:b/>
          <w:bCs/>
          <w:kern w:val="2"/>
          <w:sz w:val="32"/>
          <w:szCs w:val="32"/>
          <w:lang w:val="en-US" w:eastAsia="zh-CN" w:bidi="ar-SA"/>
        </w:rPr>
        <w:t>集约化建设水平有待提高</w:t>
      </w:r>
      <w:r>
        <w:rPr>
          <w:rFonts w:hint="eastAsia" w:ascii="楷体" w:hAnsi="楷体" w:eastAsia="楷体" w:cs="楷体"/>
          <w:sz w:val="32"/>
          <w:szCs w:val="32"/>
          <w:highlight w:val="none"/>
          <w:lang w:val="en-US" w:eastAsia="zh-CN"/>
        </w:rPr>
        <w:t>。</w:t>
      </w:r>
      <w:r>
        <w:rPr>
          <w:rFonts w:hint="eastAsia" w:ascii="仿宋" w:hAnsi="仿宋" w:eastAsia="仿宋" w:cs="仿宋"/>
          <w:b w:val="0"/>
          <w:kern w:val="2"/>
          <w:sz w:val="32"/>
          <w:szCs w:val="32"/>
          <w:lang w:val="en-US" w:eastAsia="zh-CN" w:bidi="ar-SA"/>
        </w:rPr>
        <w:t>支撑一体化整体政府的平台系统仍有较大上升空间，除了“互联网+政务服务”领域外，跨部门、跨层级的大系统、大平台还比较少，缺少深度整合与共建、共享、共用。</w:t>
      </w:r>
      <w:bookmarkEnd w:id="8"/>
    </w:p>
    <w:p>
      <w:pPr>
        <w:numPr>
          <w:ilvl w:val="0"/>
          <w:numId w:val="0"/>
        </w:numPr>
        <w:ind w:firstLine="643" w:firstLineChars="200"/>
        <w:outlineLvl w:val="9"/>
        <w:rPr>
          <w:rFonts w:hint="eastAsia" w:ascii="仿宋" w:hAnsi="仿宋" w:eastAsia="仿宋" w:cs="仿宋"/>
          <w:b w:val="0"/>
          <w:kern w:val="2"/>
          <w:sz w:val="32"/>
          <w:szCs w:val="32"/>
          <w:lang w:val="en-US" w:eastAsia="zh-CN" w:bidi="ar-SA"/>
        </w:rPr>
      </w:pPr>
      <w:r>
        <w:rPr>
          <w:rFonts w:hint="eastAsia" w:ascii="仿宋" w:hAnsi="仿宋" w:eastAsia="仿宋" w:cs="仿宋"/>
          <w:b/>
          <w:bCs/>
          <w:kern w:val="2"/>
          <w:sz w:val="32"/>
          <w:szCs w:val="32"/>
          <w:lang w:val="en-US" w:eastAsia="zh-CN" w:bidi="ar-SA"/>
        </w:rPr>
        <w:t>数据资源共享整合程度不足。</w:t>
      </w:r>
      <w:r>
        <w:rPr>
          <w:rFonts w:hint="eastAsia" w:ascii="仿宋" w:hAnsi="仿宋" w:eastAsia="仿宋" w:cs="仿宋"/>
          <w:b w:val="0"/>
          <w:kern w:val="2"/>
          <w:sz w:val="32"/>
          <w:szCs w:val="32"/>
          <w:lang w:val="en-US" w:eastAsia="zh-CN" w:bidi="ar-SA"/>
        </w:rPr>
        <w:t>我市公共数据资源整合共享、开发利用的水平还不高，还未在全市范围内广泛地构筑起利用大数据支撑和改善政府决策的能力和机制，距离数据要素市场化的目标，还有较大差距。</w:t>
      </w:r>
    </w:p>
    <w:p>
      <w:pPr>
        <w:numPr>
          <w:ilvl w:val="0"/>
          <w:numId w:val="0"/>
        </w:numPr>
        <w:ind w:firstLine="643" w:firstLineChars="200"/>
        <w:outlineLvl w:val="9"/>
        <w:rPr>
          <w:rFonts w:hint="eastAsia" w:ascii="仿宋" w:hAnsi="仿宋" w:eastAsia="仿宋" w:cs="仿宋"/>
          <w:b w:val="0"/>
          <w:kern w:val="2"/>
          <w:sz w:val="32"/>
          <w:szCs w:val="32"/>
          <w:lang w:val="en-US" w:eastAsia="zh-CN" w:bidi="ar-SA"/>
        </w:rPr>
      </w:pPr>
      <w:r>
        <w:rPr>
          <w:rFonts w:hint="eastAsia" w:ascii="仿宋" w:hAnsi="仿宋" w:eastAsia="仿宋" w:cs="仿宋"/>
          <w:b/>
          <w:bCs/>
          <w:kern w:val="2"/>
          <w:sz w:val="32"/>
          <w:szCs w:val="32"/>
          <w:lang w:val="en-US" w:eastAsia="zh-CN" w:bidi="ar-SA"/>
        </w:rPr>
        <w:t>数字政府整体技术架构整合升级空间大。</w:t>
      </w:r>
      <w:r>
        <w:rPr>
          <w:rFonts w:hint="eastAsia" w:ascii="仿宋" w:hAnsi="仿宋" w:eastAsia="仿宋" w:cs="仿宋"/>
          <w:b w:val="0"/>
          <w:kern w:val="2"/>
          <w:sz w:val="32"/>
          <w:szCs w:val="32"/>
          <w:lang w:val="en-US" w:eastAsia="zh-CN" w:bidi="ar-SA"/>
        </w:rPr>
        <w:t>新技术在数字政府领域的应用还不够充分，5G、区块链、人工智能等技术，还未广泛地在我市政务信息化建设中得到充分的验证和应用，数字政府整体技术架构仍有较大的整合、升级空间。</w:t>
      </w:r>
    </w:p>
    <w:p>
      <w:pPr>
        <w:numPr>
          <w:ilvl w:val="0"/>
          <w:numId w:val="0"/>
        </w:numPr>
        <w:ind w:firstLine="643" w:firstLineChars="200"/>
        <w:outlineLvl w:val="9"/>
        <w:rPr>
          <w:rFonts w:hint="eastAsia" w:ascii="仿宋" w:hAnsi="仿宋" w:eastAsia="仿宋" w:cs="仿宋"/>
          <w:b w:val="0"/>
          <w:kern w:val="2"/>
          <w:sz w:val="32"/>
          <w:szCs w:val="32"/>
          <w:lang w:val="en-US" w:eastAsia="zh-CN" w:bidi="ar-SA"/>
        </w:rPr>
      </w:pPr>
      <w:r>
        <w:rPr>
          <w:rFonts w:hint="eastAsia" w:ascii="仿宋" w:hAnsi="仿宋" w:eastAsia="仿宋" w:cs="仿宋"/>
          <w:b/>
          <w:bCs/>
          <w:kern w:val="2"/>
          <w:sz w:val="32"/>
          <w:szCs w:val="32"/>
          <w:lang w:val="en-US" w:eastAsia="zh-CN" w:bidi="ar-SA"/>
        </w:rPr>
        <w:t>数字政府网络安全防护体系有待进一步完善。</w:t>
      </w:r>
      <w:r>
        <w:rPr>
          <w:rFonts w:hint="eastAsia" w:ascii="仿宋" w:hAnsi="仿宋" w:eastAsia="仿宋" w:cs="仿宋"/>
          <w:b w:val="0"/>
          <w:kern w:val="2"/>
          <w:sz w:val="32"/>
          <w:szCs w:val="32"/>
          <w:lang w:val="en-US" w:eastAsia="zh-CN" w:bidi="ar-SA"/>
        </w:rPr>
        <w:t>安全责任边界、安全总体规划、安全机构协同联动、实战安全培训等方面还需进一步加强。数据共享开放、个人隐私保护、政务外网安全、政务终端安全、密码保障等技术体系仍需提升。</w:t>
      </w:r>
    </w:p>
    <w:p>
      <w:pPr>
        <w:ind w:firstLine="640"/>
        <w:rPr>
          <w:rFonts w:hint="eastAsia" w:ascii="黑体" w:hAnsi="黑体" w:eastAsia="黑体" w:cs="黑体"/>
          <w:b w:val="0"/>
          <w:bCs w:val="0"/>
          <w:kern w:val="2"/>
          <w:sz w:val="32"/>
          <w:szCs w:val="32"/>
          <w:lang w:val="en-US" w:eastAsia="zh-CN" w:bidi="ar-SA"/>
        </w:rPr>
      </w:pPr>
    </w:p>
    <w:p>
      <w:pPr>
        <w:numPr>
          <w:ilvl w:val="0"/>
          <w:numId w:val="3"/>
        </w:numPr>
        <w:ind w:firstLine="640"/>
        <w:jc w:val="center"/>
        <w:outlineLvl w:val="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 </w:t>
      </w:r>
      <w:bookmarkStart w:id="9" w:name="_Toc23619"/>
      <w:bookmarkStart w:id="10" w:name="_Toc4679"/>
      <w:r>
        <w:rPr>
          <w:rFonts w:hint="eastAsia" w:ascii="黑体" w:hAnsi="黑体" w:eastAsia="黑体" w:cs="黑体"/>
          <w:b w:val="0"/>
          <w:bCs w:val="0"/>
          <w:kern w:val="2"/>
          <w:sz w:val="32"/>
          <w:szCs w:val="32"/>
          <w:lang w:val="en-US" w:eastAsia="zh-CN" w:bidi="ar-SA"/>
        </w:rPr>
        <w:t>总体要求</w:t>
      </w:r>
      <w:bookmarkEnd w:id="9"/>
      <w:bookmarkEnd w:id="10"/>
    </w:p>
    <w:p>
      <w:pPr>
        <w:numPr>
          <w:ilvl w:val="0"/>
          <w:numId w:val="0"/>
        </w:numPr>
        <w:jc w:val="both"/>
        <w:rPr>
          <w:rFonts w:hint="eastAsia" w:ascii="黑体" w:hAnsi="黑体" w:eastAsia="黑体" w:cs="黑体"/>
          <w:b w:val="0"/>
          <w:bCs w:val="0"/>
          <w:kern w:val="2"/>
          <w:sz w:val="32"/>
          <w:szCs w:val="32"/>
          <w:lang w:val="en-US" w:eastAsia="zh-CN" w:bidi="ar-SA"/>
        </w:rPr>
      </w:pPr>
    </w:p>
    <w:p>
      <w:pPr>
        <w:keepNext w:val="0"/>
        <w:keepLines w:val="0"/>
        <w:pageBreakBefore w:val="0"/>
        <w:widowControl w:val="0"/>
        <w:pBdr>
          <w:bottom w:val="none" w:color="000000" w:sz="0" w:space="0"/>
        </w:pBdr>
        <w:kinsoku/>
        <w:wordWrap/>
        <w:overflowPunct/>
        <w:topLinePunct w:val="0"/>
        <w:autoSpaceDE/>
        <w:autoSpaceDN/>
        <w:bidi w:val="0"/>
        <w:adjustRightInd/>
        <w:snapToGrid/>
        <w:spacing w:line="600" w:lineRule="exact"/>
        <w:ind w:firstLineChars="200"/>
        <w:jc w:val="center"/>
        <w:textAlignment w:val="auto"/>
        <w:outlineLvl w:val="1"/>
        <w:rPr>
          <w:rFonts w:hint="eastAsia" w:ascii="黑体" w:hAnsi="黑体" w:eastAsia="黑体" w:cs="黑体"/>
          <w:b w:val="0"/>
          <w:bCs w:val="0"/>
          <w:kern w:val="2"/>
          <w:sz w:val="32"/>
          <w:szCs w:val="32"/>
          <w:lang w:val="en-US" w:eastAsia="zh-CN" w:bidi="ar-SA"/>
        </w:rPr>
      </w:pPr>
      <w:bookmarkStart w:id="11" w:name="_Toc17004"/>
      <w:bookmarkStart w:id="12" w:name="_Toc11008"/>
      <w:r>
        <w:rPr>
          <w:rFonts w:hint="eastAsia" w:ascii="黑体" w:hAnsi="黑体" w:eastAsia="黑体" w:cs="黑体"/>
          <w:b w:val="0"/>
          <w:bCs w:val="0"/>
          <w:kern w:val="2"/>
          <w:sz w:val="32"/>
          <w:szCs w:val="32"/>
          <w:lang w:val="en-US" w:eastAsia="zh-CN" w:bidi="ar-SA"/>
        </w:rPr>
        <w:t>第一节 指导思想</w:t>
      </w:r>
      <w:bookmarkEnd w:id="11"/>
      <w:bookmarkEnd w:id="12"/>
    </w:p>
    <w:p>
      <w:pPr>
        <w:keepNext w:val="0"/>
        <w:keepLines w:val="0"/>
        <w:pageBreakBefore w:val="0"/>
        <w:widowControl w:val="0"/>
        <w:pBdr>
          <w:bottom w:val="none" w:color="000000" w:sz="0" w:space="0"/>
        </w:pBdr>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b w:val="0"/>
          <w:kern w:val="2"/>
          <w:sz w:val="32"/>
          <w:szCs w:val="32"/>
          <w:lang w:val="en-US" w:eastAsia="zh-CN" w:bidi="ar-SA"/>
        </w:rPr>
      </w:pPr>
    </w:p>
    <w:p>
      <w:pPr>
        <w:keepNext w:val="0"/>
        <w:keepLines w:val="0"/>
        <w:pageBreakBefore w:val="0"/>
        <w:widowControl w:val="0"/>
        <w:pBdr>
          <w:bottom w:val="none" w:color="000000" w:sz="0" w:space="0"/>
        </w:pBdr>
        <w:kinsoku/>
        <w:wordWrap/>
        <w:overflowPunct/>
        <w:topLinePunct w:val="0"/>
        <w:autoSpaceDE/>
        <w:autoSpaceDN/>
        <w:bidi w:val="0"/>
        <w:adjustRightInd/>
        <w:snapToGrid/>
        <w:spacing w:line="600" w:lineRule="exact"/>
        <w:ind w:firstLineChars="200"/>
        <w:textAlignment w:val="auto"/>
        <w:rPr>
          <w:rFonts w:hint="eastAsia" w:ascii="仿宋_GB2312" w:hAnsi="仿宋_GB2312" w:eastAsia="仿宋_GB2312" w:cs="仿宋_GB2312"/>
          <w:sz w:val="32"/>
          <w:szCs w:val="32"/>
          <w:highlight w:val="none"/>
          <w:lang w:val="en-US" w:eastAsia="zh-CN"/>
        </w:rPr>
      </w:pPr>
      <w:r>
        <w:rPr>
          <w:rFonts w:hint="eastAsia" w:ascii="仿宋" w:hAnsi="仿宋" w:eastAsia="仿宋" w:cs="仿宋"/>
          <w:b w:val="0"/>
          <w:kern w:val="2"/>
          <w:sz w:val="32"/>
          <w:szCs w:val="32"/>
          <w:lang w:val="en-US" w:eastAsia="zh-CN" w:bidi="ar-SA"/>
        </w:rPr>
        <w:t>坚持以习近平新时代中国特色社会主义思想为指导，全面贯彻党的十九大和十九届二中、三中、四中、五中、六中全会精神，深入贯彻习近平总书记出席深圳经济特区建立40周年庆祝大会和视察广东、汕头重要讲话、重要指示精神，以汕头经济特区建立40周年为新起点，按照省委省政府关于“数字政府”改革建设的要求，立足汕头市发展基础，坚持以人民为中心的发展理念，以政府数字化转型为契机，以“数据上云、共享汇聚，服务下沉、按需高效”的建设模式为手段,</w:t>
      </w:r>
      <w:r>
        <w:rPr>
          <w:rFonts w:hint="eastAsia" w:ascii="仿宋_GB2312" w:hAnsi="仿宋_GB2312" w:eastAsia="仿宋_GB2312" w:cs="仿宋_GB2312"/>
          <w:sz w:val="32"/>
          <w:szCs w:val="32"/>
          <w:highlight w:val="none"/>
          <w:lang w:val="en-US" w:eastAsia="zh-CN"/>
        </w:rPr>
        <w:t>全面提升政府治理体系和治理能力现代化水平，促进汕头经济社会的全面、协调、可持续发展，实现汕头市“数字政府”建设成效位居全省前列，助推汕头打造现代化沿海经济带重要发展极、省域副中心城市和新时代中国特色社会主义现代化活力经济特区，为广东“在全面建设社会主义现代化国家新征程中走在全国前列、创造新的辉煌”做出积极贡献。</w:t>
      </w:r>
    </w:p>
    <w:p>
      <w:pPr>
        <w:ind w:firstLine="640"/>
        <w:jc w:val="center"/>
        <w:rPr>
          <w:rFonts w:hint="eastAsia" w:ascii="黑体" w:hAnsi="黑体" w:eastAsia="黑体" w:cs="黑体"/>
          <w:b w:val="0"/>
          <w:bCs w:val="0"/>
          <w:kern w:val="2"/>
          <w:sz w:val="32"/>
          <w:szCs w:val="32"/>
          <w:lang w:val="en-US" w:eastAsia="zh-CN" w:bidi="ar-SA"/>
        </w:rPr>
      </w:pPr>
    </w:p>
    <w:p>
      <w:pPr>
        <w:ind w:firstLine="640"/>
        <w:jc w:val="center"/>
        <w:outlineLvl w:val="1"/>
        <w:rPr>
          <w:rFonts w:hint="eastAsia" w:ascii="黑体" w:hAnsi="黑体" w:eastAsia="黑体" w:cs="黑体"/>
          <w:b w:val="0"/>
          <w:bCs w:val="0"/>
          <w:kern w:val="2"/>
          <w:sz w:val="32"/>
          <w:szCs w:val="32"/>
          <w:lang w:val="en-US" w:eastAsia="zh-CN" w:bidi="ar-SA"/>
        </w:rPr>
      </w:pPr>
      <w:bookmarkStart w:id="13" w:name="_Toc18006"/>
      <w:bookmarkStart w:id="14" w:name="_Toc1782"/>
      <w:r>
        <w:rPr>
          <w:rFonts w:hint="eastAsia" w:ascii="黑体" w:hAnsi="黑体" w:eastAsia="黑体" w:cs="黑体"/>
          <w:b w:val="0"/>
          <w:bCs w:val="0"/>
          <w:kern w:val="2"/>
          <w:sz w:val="32"/>
          <w:szCs w:val="32"/>
          <w:lang w:val="en-US" w:eastAsia="zh-CN" w:bidi="ar-SA"/>
        </w:rPr>
        <w:t>第二节 工作原则</w:t>
      </w:r>
      <w:bookmarkEnd w:id="13"/>
      <w:bookmarkEnd w:id="14"/>
    </w:p>
    <w:p>
      <w:pPr>
        <w:ind w:firstLine="640"/>
        <w:rPr>
          <w:rFonts w:hint="eastAsia" w:ascii="仿宋" w:hAnsi="仿宋" w:eastAsia="仿宋" w:cs="仿宋"/>
          <w:b/>
          <w:bCs/>
          <w:kern w:val="2"/>
          <w:sz w:val="32"/>
          <w:szCs w:val="32"/>
          <w:lang w:val="en-US" w:eastAsia="zh-CN" w:bidi="ar-SA"/>
        </w:rPr>
      </w:pPr>
    </w:p>
    <w:p>
      <w:pPr>
        <w:ind w:firstLine="640"/>
        <w:rPr>
          <w:rFonts w:hint="eastAsia" w:ascii="仿宋" w:hAnsi="仿宋" w:eastAsia="仿宋" w:cs="仿宋"/>
          <w:b w:val="0"/>
          <w:kern w:val="2"/>
          <w:sz w:val="32"/>
          <w:szCs w:val="32"/>
          <w:lang w:val="en-US" w:eastAsia="zh-CN" w:bidi="ar-SA"/>
        </w:rPr>
      </w:pPr>
      <w:r>
        <w:rPr>
          <w:rFonts w:hint="eastAsia" w:ascii="仿宋" w:hAnsi="仿宋" w:eastAsia="仿宋" w:cs="仿宋"/>
          <w:b/>
          <w:bCs/>
          <w:kern w:val="2"/>
          <w:sz w:val="32"/>
          <w:szCs w:val="32"/>
          <w:lang w:val="en-US" w:eastAsia="zh-CN" w:bidi="ar-SA"/>
        </w:rPr>
        <w:t>以人为本，服务为先。</w:t>
      </w:r>
      <w:r>
        <w:rPr>
          <w:rFonts w:hint="eastAsia" w:ascii="仿宋" w:hAnsi="仿宋" w:eastAsia="仿宋" w:cs="仿宋"/>
          <w:b w:val="0"/>
          <w:kern w:val="2"/>
          <w:sz w:val="32"/>
          <w:szCs w:val="32"/>
          <w:lang w:val="en-US" w:eastAsia="zh-CN" w:bidi="ar-SA"/>
        </w:rPr>
        <w:t>坚持以人民为中心的发展思想，以“便民、利企”为根本导向，紧紧围绕人民关心的政务、经济、民生、社会治理等领域，将人民群众的获得感和幸福感作为数字政府改革建设的出发点和落脚点，着力提升政务服务效能，优化营商环境，创新社会治理模式，让数字政府改革建设成果惠及全社会。</w:t>
      </w:r>
    </w:p>
    <w:p>
      <w:pPr>
        <w:ind w:firstLine="640"/>
        <w:rPr>
          <w:rFonts w:hint="eastAsia" w:ascii="仿宋" w:hAnsi="仿宋" w:eastAsia="仿宋" w:cs="仿宋"/>
          <w:b w:val="0"/>
          <w:kern w:val="2"/>
          <w:sz w:val="32"/>
          <w:szCs w:val="32"/>
          <w:lang w:val="en-US" w:eastAsia="zh-CN" w:bidi="ar-SA"/>
        </w:rPr>
      </w:pPr>
      <w:r>
        <w:rPr>
          <w:rFonts w:hint="eastAsia" w:ascii="仿宋" w:hAnsi="仿宋" w:eastAsia="仿宋" w:cs="仿宋"/>
          <w:b/>
          <w:bCs/>
          <w:kern w:val="2"/>
          <w:sz w:val="32"/>
          <w:szCs w:val="32"/>
          <w:lang w:val="en-US" w:eastAsia="zh-CN" w:bidi="ar-SA"/>
        </w:rPr>
        <w:t>统筹规划，共建共享。</w:t>
      </w:r>
      <w:r>
        <w:rPr>
          <w:rFonts w:hint="eastAsia" w:ascii="仿宋" w:hAnsi="仿宋" w:eastAsia="仿宋" w:cs="仿宋"/>
          <w:b w:val="0"/>
          <w:kern w:val="2"/>
          <w:sz w:val="32"/>
          <w:szCs w:val="32"/>
          <w:lang w:val="en-US" w:eastAsia="zh-CN" w:bidi="ar-SA"/>
        </w:rPr>
        <w:t>坚持“全市一盘棋”，以系统观念进行整体规划、统筹布局，立足汕头实际，构建上接省、下联区（县）、横向到边、纵向到底全覆盖的数字政府建设体系。健全各级各部门的工作协同机制，通过技术融合、业务融合、数据融合，实现跨层级、跨地域、跨部门的数据共享、信息服务和流程再造，破除信息孤岛，实现数据按需有序共享。</w:t>
      </w:r>
    </w:p>
    <w:p>
      <w:pPr>
        <w:ind w:firstLine="640"/>
        <w:rPr>
          <w:rFonts w:hint="eastAsia" w:ascii="仿宋" w:hAnsi="仿宋" w:eastAsia="仿宋" w:cs="仿宋"/>
          <w:b w:val="0"/>
          <w:kern w:val="2"/>
          <w:sz w:val="32"/>
          <w:szCs w:val="32"/>
          <w:lang w:val="en-US" w:eastAsia="zh-CN" w:bidi="ar-SA"/>
        </w:rPr>
      </w:pPr>
      <w:r>
        <w:rPr>
          <w:rFonts w:hint="eastAsia" w:ascii="仿宋" w:hAnsi="仿宋" w:eastAsia="仿宋" w:cs="仿宋"/>
          <w:b/>
          <w:bCs/>
          <w:kern w:val="2"/>
          <w:sz w:val="32"/>
          <w:szCs w:val="32"/>
          <w:lang w:val="en-US" w:eastAsia="zh-CN" w:bidi="ar-SA"/>
        </w:rPr>
        <w:t>集约建设，分类推进。</w:t>
      </w:r>
      <w:r>
        <w:rPr>
          <w:rFonts w:hint="eastAsia" w:ascii="仿宋" w:hAnsi="仿宋" w:eastAsia="仿宋" w:cs="仿宋"/>
          <w:b w:val="0"/>
          <w:kern w:val="2"/>
          <w:sz w:val="32"/>
          <w:szCs w:val="32"/>
          <w:lang w:val="en-US" w:eastAsia="zh-CN" w:bidi="ar-SA"/>
        </w:rPr>
        <w:t>充分利用省市数字政府建设成果，统筹规划建设全市政务网络、云基础设施、大数据平台等基础能力支撑体系，为各区县、各部门提供安全稳定的信息基础设施和准确、鲜活的基础数据服务。市一级要充分考虑覆盖区（县）级使用需求，同类系统区（县）级不再进行单独重复建设。各部门业务系统应充分考虑与“粤省事”、“粤商通”、“粤政易”等平台的对接，上级平台已经建设的功能，原则上各部门不再重复建设。汕头数字政府改革建设要充分考虑不同地区、不同部门、不同行业的信息化发展现状，充分考虑基础设施、通用平台、全局性应用和个性化应用的轻重缓急，加强分级分类指导，制定分阶段建设目标，根据实际需求滚动推进实施计划。</w:t>
      </w:r>
    </w:p>
    <w:p>
      <w:pPr>
        <w:ind w:firstLine="640"/>
        <w:rPr>
          <w:rFonts w:hint="eastAsia" w:ascii="仿宋" w:hAnsi="仿宋" w:eastAsia="仿宋" w:cs="仿宋"/>
          <w:b w:val="0"/>
          <w:kern w:val="2"/>
          <w:sz w:val="32"/>
          <w:szCs w:val="32"/>
          <w:lang w:val="en-US" w:eastAsia="zh-CN" w:bidi="ar-SA"/>
        </w:rPr>
      </w:pPr>
      <w:r>
        <w:rPr>
          <w:rFonts w:hint="eastAsia" w:ascii="仿宋" w:hAnsi="仿宋" w:eastAsia="仿宋" w:cs="仿宋"/>
          <w:b/>
          <w:bCs/>
          <w:kern w:val="2"/>
          <w:sz w:val="32"/>
          <w:szCs w:val="32"/>
          <w:lang w:val="en-US" w:eastAsia="zh-CN" w:bidi="ar-SA"/>
        </w:rPr>
        <w:t>自主可控，安全高效。</w:t>
      </w:r>
      <w:r>
        <w:rPr>
          <w:rFonts w:hint="eastAsia" w:ascii="仿宋" w:hAnsi="仿宋" w:eastAsia="仿宋" w:cs="仿宋"/>
          <w:b w:val="0"/>
          <w:kern w:val="2"/>
          <w:sz w:val="32"/>
          <w:szCs w:val="32"/>
          <w:lang w:val="en-US" w:eastAsia="zh-CN" w:bidi="ar-SA"/>
        </w:rPr>
        <w:t>根据国家、省网络安全管理相关规章制度及标准体系，建立管控结合的网络和数据资源安全保障体系。加大关键信息基础设施安全保障力度，加强数据采集、存储、开发应用等全流程的安全管理，依法加大对信息资源和个人信息保护力度。积极采用信创产品和服务，构建自主可控、安全高效的数字政府安全体系。</w:t>
      </w:r>
    </w:p>
    <w:p>
      <w:pPr>
        <w:ind w:firstLine="640"/>
        <w:rPr>
          <w:rFonts w:hint="eastAsia" w:ascii="仿宋" w:hAnsi="仿宋" w:eastAsia="仿宋" w:cs="仿宋"/>
          <w:b w:val="0"/>
          <w:kern w:val="2"/>
          <w:sz w:val="32"/>
          <w:szCs w:val="32"/>
          <w:lang w:val="en-US" w:eastAsia="zh-CN" w:bidi="ar-SA"/>
        </w:rPr>
      </w:pPr>
      <w:r>
        <w:rPr>
          <w:rFonts w:hint="eastAsia" w:ascii="仿宋" w:hAnsi="仿宋" w:eastAsia="仿宋" w:cs="仿宋"/>
          <w:b/>
          <w:bCs/>
          <w:kern w:val="2"/>
          <w:sz w:val="32"/>
          <w:szCs w:val="32"/>
          <w:lang w:val="en-US" w:eastAsia="zh-CN" w:bidi="ar-SA"/>
        </w:rPr>
        <w:t>创新引领，开放合作。</w:t>
      </w:r>
      <w:r>
        <w:rPr>
          <w:rFonts w:hint="eastAsia" w:ascii="仿宋" w:hAnsi="仿宋" w:eastAsia="仿宋" w:cs="仿宋"/>
          <w:b w:val="0"/>
          <w:bCs w:val="0"/>
          <w:kern w:val="2"/>
          <w:sz w:val="32"/>
          <w:szCs w:val="32"/>
          <w:lang w:val="en-US" w:eastAsia="zh-CN" w:bidi="ar-SA"/>
        </w:rPr>
        <w:t>充分</w:t>
      </w:r>
      <w:r>
        <w:rPr>
          <w:rFonts w:hint="eastAsia" w:ascii="仿宋" w:hAnsi="仿宋" w:eastAsia="仿宋" w:cs="仿宋"/>
          <w:b w:val="0"/>
          <w:kern w:val="2"/>
          <w:sz w:val="32"/>
          <w:szCs w:val="32"/>
          <w:lang w:val="en-US" w:eastAsia="zh-CN" w:bidi="ar-SA"/>
        </w:rPr>
        <w:t>运用5G、大数据、互联网、人工智能、区块链等新技术，推动数字政府改革建设理念创新、模式创新、手段创新，发挥市场在资源配置中的决定性作用，激发市场活力，鼓励和支持各类市场主体积极参与数字政府改革建设运营，建立政府引导、市场运作、社会参与的数字政府改革建设运营模式，带动和促进数字经济发展。</w:t>
      </w:r>
    </w:p>
    <w:p>
      <w:pPr>
        <w:numPr>
          <w:ilvl w:val="0"/>
          <w:numId w:val="0"/>
        </w:numPr>
        <w:ind w:firstLine="640" w:firstLineChars="200"/>
        <w:jc w:val="center"/>
        <w:rPr>
          <w:rFonts w:hint="eastAsia" w:ascii="黑体" w:hAnsi="黑体" w:eastAsia="黑体" w:cs="黑体"/>
          <w:b w:val="0"/>
          <w:bCs w:val="0"/>
          <w:kern w:val="2"/>
          <w:sz w:val="32"/>
          <w:szCs w:val="32"/>
          <w:lang w:val="en-US" w:eastAsia="zh-CN" w:bidi="ar-SA"/>
        </w:rPr>
      </w:pPr>
    </w:p>
    <w:p>
      <w:pPr>
        <w:numPr>
          <w:ilvl w:val="0"/>
          <w:numId w:val="0"/>
        </w:numPr>
        <w:ind w:firstLine="640" w:firstLineChars="200"/>
        <w:jc w:val="center"/>
        <w:outlineLvl w:val="1"/>
        <w:rPr>
          <w:rFonts w:hint="eastAsia" w:ascii="黑体" w:hAnsi="黑体" w:eastAsia="黑体" w:cs="黑体"/>
          <w:b w:val="0"/>
          <w:bCs w:val="0"/>
          <w:kern w:val="2"/>
          <w:sz w:val="32"/>
          <w:szCs w:val="32"/>
          <w:lang w:val="en-US" w:eastAsia="zh-CN" w:bidi="ar-SA"/>
        </w:rPr>
      </w:pPr>
      <w:bookmarkStart w:id="15" w:name="_Toc28882"/>
      <w:bookmarkStart w:id="16" w:name="_Toc28959"/>
      <w:r>
        <w:rPr>
          <w:rFonts w:hint="eastAsia" w:ascii="黑体" w:hAnsi="黑体" w:eastAsia="黑体" w:cs="黑体"/>
          <w:b w:val="0"/>
          <w:bCs w:val="0"/>
          <w:kern w:val="2"/>
          <w:sz w:val="32"/>
          <w:szCs w:val="32"/>
          <w:lang w:val="en-US" w:eastAsia="zh-CN" w:bidi="ar-SA"/>
        </w:rPr>
        <w:t>第三节 规划思路</w:t>
      </w:r>
      <w:bookmarkEnd w:id="15"/>
      <w:bookmarkEnd w:id="16"/>
    </w:p>
    <w:p>
      <w:pPr>
        <w:numPr>
          <w:ilvl w:val="0"/>
          <w:numId w:val="0"/>
        </w:numPr>
        <w:ind w:firstLine="640" w:firstLineChars="200"/>
        <w:rPr>
          <w:rFonts w:hint="eastAsia" w:ascii="仿宋" w:hAnsi="仿宋" w:eastAsia="仿宋" w:cs="仿宋"/>
          <w:b w:val="0"/>
          <w:kern w:val="2"/>
          <w:sz w:val="32"/>
          <w:szCs w:val="32"/>
          <w:lang w:val="en-US" w:eastAsia="zh-CN" w:bidi="ar-SA"/>
        </w:rPr>
      </w:pPr>
    </w:p>
    <w:p>
      <w:pPr>
        <w:numPr>
          <w:ilvl w:val="0"/>
          <w:numId w:val="0"/>
        </w:numPr>
        <w:ind w:firstLine="640" w:firstLineChars="20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以“3341”（即三个支撑、三项应用、四个工程和一个目标）为汕头市数字政府改革建设“十四五”规划思路，夯实云、网、数三项支撑，深化政府运行“一网协同”、政府服务“一网通办”和政府治理“一网统管”三项应用，推进政务服务提升工程、营商环境优化工程、社会治理提升工程和数据治理探索四大工程建设，推动实现汕头建设活力特区、法治城市、文明窗口、和美侨乡和智慧都市的目标。</w:t>
      </w:r>
    </w:p>
    <w:p>
      <w:pPr>
        <w:numPr>
          <w:ilvl w:val="0"/>
          <w:numId w:val="0"/>
        </w:numPr>
        <w:jc w:val="center"/>
        <w:rPr>
          <w:rFonts w:hint="eastAsia" w:ascii="黑体" w:hAnsi="黑体" w:eastAsia="黑体" w:cs="黑体"/>
          <w:b w:val="0"/>
          <w:bCs w:val="0"/>
          <w:kern w:val="2"/>
          <w:sz w:val="32"/>
          <w:szCs w:val="32"/>
          <w:lang w:val="en-US" w:eastAsia="zh-CN" w:bidi="ar-SA"/>
        </w:rPr>
      </w:pPr>
    </w:p>
    <w:p>
      <w:pPr>
        <w:numPr>
          <w:ilvl w:val="0"/>
          <w:numId w:val="0"/>
        </w:numPr>
        <w:jc w:val="center"/>
        <w:outlineLvl w:val="1"/>
        <w:rPr>
          <w:rFonts w:hint="eastAsia" w:ascii="黑体" w:hAnsi="黑体" w:eastAsia="黑体" w:cs="黑体"/>
          <w:b w:val="0"/>
          <w:bCs w:val="0"/>
          <w:kern w:val="2"/>
          <w:sz w:val="32"/>
          <w:szCs w:val="32"/>
          <w:lang w:val="en-US" w:eastAsia="zh-CN" w:bidi="ar-SA"/>
        </w:rPr>
      </w:pPr>
      <w:bookmarkStart w:id="17" w:name="_Toc613"/>
      <w:bookmarkStart w:id="18" w:name="_Toc10033"/>
      <w:r>
        <w:rPr>
          <w:rFonts w:hint="eastAsia" w:ascii="黑体" w:hAnsi="黑体" w:eastAsia="黑体" w:cs="黑体"/>
          <w:b w:val="0"/>
          <w:bCs w:val="0"/>
          <w:kern w:val="2"/>
          <w:sz w:val="32"/>
          <w:szCs w:val="32"/>
          <w:lang w:val="en-US" w:eastAsia="zh-CN" w:bidi="ar-SA"/>
        </w:rPr>
        <w:t>第四节 发展目标</w:t>
      </w:r>
      <w:bookmarkEnd w:id="17"/>
      <w:bookmarkEnd w:id="18"/>
    </w:p>
    <w:p>
      <w:pPr>
        <w:numPr>
          <w:ilvl w:val="0"/>
          <w:numId w:val="0"/>
        </w:numPr>
        <w:rPr>
          <w:rFonts w:hint="eastAsia" w:ascii="仿宋" w:hAnsi="仿宋" w:eastAsia="仿宋" w:cs="仿宋"/>
          <w:b w:val="0"/>
          <w:kern w:val="2"/>
          <w:sz w:val="32"/>
          <w:szCs w:val="32"/>
          <w:lang w:val="en-US" w:eastAsia="zh-CN" w:bidi="ar-SA"/>
        </w:rPr>
      </w:pPr>
    </w:p>
    <w:p>
      <w:pPr>
        <w:numPr>
          <w:ilvl w:val="0"/>
          <w:numId w:val="0"/>
        </w:numPr>
        <w:ind w:firstLine="640" w:firstLineChars="20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以政府履职过程中的各类问题和群众需求为导向，全面提升政务服务效能、营造良好营商环境、创新社会治理模式、提升民生服务水平，建成上接国省、下联区县（市）、横向到边、纵向到底全覆盖的“数字政府”，全面推进全市各级政府的数字化履职能力再上台阶。</w:t>
      </w:r>
    </w:p>
    <w:p>
      <w:pPr>
        <w:ind w:firstLine="640"/>
        <w:rPr>
          <w:rFonts w:hint="eastAsia" w:ascii="仿宋" w:hAnsi="仿宋" w:eastAsia="仿宋" w:cs="仿宋"/>
          <w:b w:val="0"/>
          <w:kern w:val="2"/>
          <w:sz w:val="32"/>
          <w:szCs w:val="32"/>
          <w:lang w:val="en-US" w:eastAsia="zh-CN" w:bidi="ar-SA"/>
        </w:rPr>
      </w:pPr>
      <w:r>
        <w:rPr>
          <w:rFonts w:hint="eastAsia" w:ascii="仿宋" w:hAnsi="仿宋" w:eastAsia="仿宋" w:cs="仿宋"/>
          <w:b/>
          <w:bCs/>
          <w:kern w:val="2"/>
          <w:sz w:val="32"/>
          <w:szCs w:val="32"/>
          <w:lang w:val="en-US" w:eastAsia="zh-CN" w:bidi="ar-SA"/>
        </w:rPr>
        <w:t>夯实信息化基础设施。</w:t>
      </w:r>
      <w:r>
        <w:rPr>
          <w:rFonts w:hint="eastAsia" w:ascii="仿宋" w:hAnsi="仿宋" w:eastAsia="仿宋" w:cs="仿宋"/>
          <w:b w:val="0"/>
          <w:kern w:val="2"/>
          <w:sz w:val="32"/>
          <w:szCs w:val="32"/>
          <w:lang w:val="en-US" w:eastAsia="zh-CN" w:bidi="ar-SA"/>
        </w:rPr>
        <w:t>聚焦“云、网、数”，进一步完善基础设施建设，推进数据资源的整合与共享，实现基础设施集约化和数据资源有序化，为“数字政府”运行提供统一、安全、稳定的基础支撑能力。</w:t>
      </w:r>
    </w:p>
    <w:p>
      <w:pPr>
        <w:spacing w:beforeLines="0" w:afterLines="0"/>
        <w:ind w:firstLine="643" w:firstLineChars="200"/>
        <w:jc w:val="left"/>
        <w:rPr>
          <w:rFonts w:hint="eastAsia" w:ascii="仿宋_GB2312" w:hAnsi="仿宋_GB2312" w:eastAsia="仿宋_GB2312" w:cs="仿宋_GB2312"/>
          <w:snapToGrid/>
          <w:sz w:val="32"/>
          <w:szCs w:val="32"/>
          <w:lang w:val="en-US" w:eastAsia="zh-CN"/>
        </w:rPr>
      </w:pPr>
      <w:r>
        <w:rPr>
          <w:rFonts w:hint="eastAsia" w:ascii="仿宋" w:hAnsi="仿宋" w:eastAsia="仿宋" w:cs="仿宋"/>
          <w:b/>
          <w:bCs/>
          <w:kern w:val="2"/>
          <w:sz w:val="32"/>
          <w:szCs w:val="32"/>
          <w:lang w:val="en-US" w:eastAsia="zh-CN" w:bidi="ar-SA"/>
        </w:rPr>
        <w:t>打造优质的政务营商环境。</w:t>
      </w:r>
      <w:r>
        <w:rPr>
          <w:rFonts w:hint="default" w:ascii="Times New Roman" w:hAnsi="Times New Roman" w:eastAsia="仿宋_GB2312" w:cs="Times New Roman"/>
          <w:sz w:val="32"/>
          <w:szCs w:val="32"/>
          <w:lang w:val="en-US" w:eastAsia="zh-CN"/>
        </w:rPr>
        <w:t>全面深化落实“放管服”改革，持续推进政务服务不断优化提升。深入推进工程建设项目审批制度改革，全面提升工程建设项目审批质量效率。继续深化商事制度改革，全面实现企业开办便利化。</w:t>
      </w:r>
      <w:r>
        <w:rPr>
          <w:rFonts w:hint="eastAsia" w:ascii="仿宋" w:hAnsi="仿宋" w:eastAsia="仿宋" w:cs="仿宋"/>
          <w:sz w:val="32"/>
          <w:szCs w:val="32"/>
          <w:lang w:val="en-US" w:eastAsia="zh-CN"/>
        </w:rPr>
        <w:t>完成与全省公共资源交易“一张网”的对接任务，提升税费缴纳便利化，实现“互联网+不动产登记”业务模式，</w:t>
      </w:r>
      <w:r>
        <w:rPr>
          <w:rFonts w:hint="default" w:ascii="Times New Roman" w:hAnsi="Times New Roman" w:eastAsia="仿宋_GB2312" w:cs="Times New Roman"/>
          <w:sz w:val="32"/>
          <w:szCs w:val="32"/>
          <w:lang w:val="en-US" w:eastAsia="zh-CN"/>
        </w:rPr>
        <w:t>形成</w:t>
      </w:r>
      <w:r>
        <w:rPr>
          <w:rFonts w:hint="eastAsia" w:ascii="Times New Roman" w:hAnsi="Times New Roman" w:eastAsia="仿宋_GB2312" w:cs="Times New Roman"/>
          <w:sz w:val="32"/>
          <w:szCs w:val="32"/>
          <w:lang w:val="en-US" w:eastAsia="zh-CN"/>
        </w:rPr>
        <w:t>汕头国际化、</w:t>
      </w:r>
      <w:r>
        <w:rPr>
          <w:rFonts w:hint="default" w:ascii="Times New Roman" w:hAnsi="Times New Roman" w:eastAsia="仿宋_GB2312" w:cs="Times New Roman"/>
          <w:sz w:val="32"/>
          <w:szCs w:val="32"/>
          <w:lang w:val="en-US" w:eastAsia="zh-CN"/>
        </w:rPr>
        <w:t>法治</w:t>
      </w:r>
      <w:r>
        <w:rPr>
          <w:rFonts w:hint="eastAsia"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便利化</w:t>
      </w:r>
      <w:r>
        <w:rPr>
          <w:rFonts w:hint="default" w:ascii="Times New Roman" w:hAnsi="Times New Roman" w:eastAsia="仿宋_GB2312" w:cs="Times New Roman"/>
          <w:sz w:val="32"/>
          <w:szCs w:val="32"/>
          <w:lang w:val="en-US" w:eastAsia="zh-CN"/>
        </w:rPr>
        <w:t>的</w:t>
      </w:r>
      <w:r>
        <w:rPr>
          <w:rFonts w:hint="eastAsia" w:eastAsia="仿宋_GB2312" w:cs="Times New Roman"/>
          <w:color w:val="auto"/>
          <w:sz w:val="32"/>
          <w:szCs w:val="32"/>
          <w:lang w:val="en-US" w:eastAsia="zh-CN"/>
        </w:rPr>
        <w:t>政务</w:t>
      </w:r>
      <w:r>
        <w:rPr>
          <w:rFonts w:hint="default" w:ascii="Times New Roman" w:hAnsi="Times New Roman" w:eastAsia="仿宋_GB2312" w:cs="Times New Roman"/>
          <w:sz w:val="32"/>
          <w:szCs w:val="32"/>
          <w:lang w:val="en-US" w:eastAsia="zh-CN"/>
        </w:rPr>
        <w:t>营商环境</w:t>
      </w:r>
      <w:r>
        <w:rPr>
          <w:rFonts w:hint="eastAsia" w:ascii="Times New Roman" w:hAnsi="Times New Roman" w:eastAsia="仿宋_GB2312" w:cs="Times New Roman"/>
          <w:sz w:val="32"/>
          <w:szCs w:val="32"/>
          <w:lang w:val="en-US" w:eastAsia="zh-CN"/>
        </w:rPr>
        <w:t>，打赢营商环境翻身仗。</w:t>
      </w:r>
    </w:p>
    <w:p>
      <w:pPr>
        <w:ind w:firstLine="640"/>
        <w:rPr>
          <w:rFonts w:hint="eastAsia" w:ascii="仿宋" w:hAnsi="仿宋" w:eastAsia="仿宋" w:cs="仿宋"/>
          <w:b w:val="0"/>
          <w:kern w:val="2"/>
          <w:sz w:val="32"/>
          <w:szCs w:val="32"/>
          <w:lang w:val="en-US" w:eastAsia="zh-CN" w:bidi="ar-SA"/>
        </w:rPr>
      </w:pPr>
      <w:r>
        <w:rPr>
          <w:rFonts w:hint="eastAsia" w:ascii="仿宋" w:hAnsi="仿宋" w:eastAsia="仿宋" w:cs="仿宋"/>
          <w:b/>
          <w:bCs/>
          <w:kern w:val="2"/>
          <w:sz w:val="32"/>
          <w:szCs w:val="32"/>
          <w:lang w:val="en-US" w:eastAsia="zh-CN" w:bidi="ar-SA"/>
        </w:rPr>
        <w:t>提升基层政务服务能力。</w:t>
      </w:r>
      <w:r>
        <w:rPr>
          <w:rFonts w:hint="eastAsia" w:ascii="仿宋" w:hAnsi="仿宋" w:eastAsia="仿宋" w:cs="仿宋"/>
          <w:b w:val="0"/>
          <w:kern w:val="2"/>
          <w:sz w:val="32"/>
          <w:szCs w:val="32"/>
          <w:lang w:val="en-US" w:eastAsia="zh-CN" w:bidi="ar-SA"/>
        </w:rPr>
        <w:t>推动综合政务服务自助终端一体机基层覆盖建设工作和“百项政务服务进网点”合作项目，持续推进政务服务事项办理向镇（街）、村（居）延伸，实现群众办事“不出镇”、“不出村”。</w:t>
      </w:r>
    </w:p>
    <w:p>
      <w:pPr>
        <w:ind w:firstLine="643" w:firstLineChars="200"/>
        <w:rPr>
          <w:rFonts w:hint="eastAsia" w:ascii="仿宋" w:hAnsi="仿宋" w:eastAsia="仿宋" w:cs="仿宋"/>
          <w:b w:val="0"/>
          <w:bCs w:val="0"/>
          <w:color w:val="000000"/>
          <w:spacing w:val="0"/>
          <w:w w:val="100"/>
          <w:position w:val="0"/>
          <w:sz w:val="32"/>
          <w:szCs w:val="32"/>
          <w:u w:val="none"/>
          <w:shd w:val="clear" w:color="auto" w:fill="auto"/>
          <w:lang w:val="en-US" w:eastAsia="zh-CN"/>
        </w:rPr>
      </w:pPr>
      <w:r>
        <w:rPr>
          <w:rFonts w:hint="eastAsia" w:ascii="仿宋" w:hAnsi="仿宋" w:eastAsia="仿宋" w:cs="仿宋"/>
          <w:b/>
          <w:bCs/>
          <w:kern w:val="2"/>
          <w:sz w:val="32"/>
          <w:szCs w:val="32"/>
          <w:lang w:val="en-US" w:eastAsia="zh-CN" w:bidi="ar-SA"/>
        </w:rPr>
        <w:t>优化党政协同办公模式。</w:t>
      </w:r>
      <w:r>
        <w:rPr>
          <w:rFonts w:hint="eastAsia" w:ascii="仿宋" w:hAnsi="仿宋" w:eastAsia="仿宋" w:cs="仿宋"/>
          <w:b w:val="0"/>
          <w:kern w:val="2"/>
          <w:sz w:val="32"/>
          <w:szCs w:val="32"/>
          <w:lang w:val="en-US" w:eastAsia="zh-CN" w:bidi="ar-SA"/>
        </w:rPr>
        <w:t>聚焦政府行政办公效能提升，</w:t>
      </w:r>
      <w:r>
        <w:rPr>
          <w:rFonts w:hint="eastAsia" w:ascii="仿宋" w:hAnsi="仿宋" w:eastAsia="仿宋" w:cs="仿宋"/>
          <w:sz w:val="32"/>
          <w:szCs w:val="32"/>
          <w:lang w:eastAsia="zh-CN"/>
        </w:rPr>
        <w:t>深化“一网协同”，</w:t>
      </w:r>
      <w:r>
        <w:rPr>
          <w:rFonts w:hint="eastAsia" w:ascii="仿宋" w:hAnsi="仿宋" w:eastAsia="仿宋" w:cs="仿宋"/>
          <w:b w:val="0"/>
          <w:bCs w:val="0"/>
          <w:color w:val="000000"/>
          <w:spacing w:val="0"/>
          <w:w w:val="100"/>
          <w:position w:val="0"/>
          <w:sz w:val="32"/>
          <w:szCs w:val="32"/>
          <w:u w:val="none"/>
          <w:shd w:val="clear" w:color="auto" w:fill="auto"/>
          <w:lang w:val="en-US" w:eastAsia="zh-CN"/>
        </w:rPr>
        <w:t>大力组织推广应用粤政易移动办公平台，</w:t>
      </w:r>
      <w:r>
        <w:rPr>
          <w:rFonts w:hint="eastAsia" w:ascii="仿宋" w:hAnsi="仿宋" w:eastAsia="仿宋" w:cs="仿宋"/>
          <w:b w:val="0"/>
          <w:kern w:val="2"/>
          <w:sz w:val="32"/>
          <w:szCs w:val="32"/>
          <w:lang w:val="en-US" w:eastAsia="zh-CN" w:bidi="ar-SA"/>
        </w:rPr>
        <w:t>推进政府机关内部协同办公能力提升，</w:t>
      </w:r>
      <w:r>
        <w:rPr>
          <w:rFonts w:hint="eastAsia" w:ascii="仿宋" w:hAnsi="仿宋" w:eastAsia="仿宋" w:cs="仿宋"/>
          <w:sz w:val="32"/>
          <w:szCs w:val="32"/>
          <w:lang w:eastAsia="zh-CN"/>
        </w:rPr>
        <w:t>促进“指尖”办文“零时延”，</w:t>
      </w:r>
      <w:r>
        <w:rPr>
          <w:rFonts w:hint="eastAsia" w:ascii="仿宋" w:hAnsi="仿宋" w:eastAsia="仿宋" w:cs="仿宋"/>
          <w:b w:val="0"/>
          <w:bCs w:val="0"/>
          <w:color w:val="000000"/>
          <w:spacing w:val="0"/>
          <w:w w:val="100"/>
          <w:position w:val="0"/>
          <w:sz w:val="32"/>
          <w:szCs w:val="32"/>
          <w:u w:val="none"/>
          <w:shd w:val="clear" w:color="auto" w:fill="auto"/>
          <w:lang w:val="en-US" w:eastAsia="zh-CN"/>
        </w:rPr>
        <w:t>促进全市跨部门、跨层级政务信息共享和业务协同。</w:t>
      </w:r>
    </w:p>
    <w:p>
      <w:pPr>
        <w:ind w:firstLine="643" w:firstLineChars="200"/>
        <w:rPr>
          <w:rFonts w:hint="eastAsia" w:ascii="仿宋" w:hAnsi="仿宋" w:eastAsia="仿宋" w:cs="仿宋"/>
          <w:b w:val="0"/>
          <w:bCs w:val="0"/>
          <w:color w:val="000000"/>
          <w:spacing w:val="0"/>
          <w:w w:val="100"/>
          <w:position w:val="0"/>
          <w:sz w:val="32"/>
          <w:szCs w:val="32"/>
          <w:u w:val="none"/>
          <w:shd w:val="clear" w:color="auto" w:fill="auto"/>
          <w:lang w:val="en-US" w:eastAsia="zh-CN"/>
        </w:rPr>
      </w:pPr>
      <w:r>
        <w:rPr>
          <w:rFonts w:hint="eastAsia" w:ascii="仿宋" w:hAnsi="仿宋" w:eastAsia="仿宋" w:cs="仿宋"/>
          <w:b/>
          <w:bCs/>
          <w:color w:val="000000"/>
          <w:spacing w:val="0"/>
          <w:w w:val="100"/>
          <w:position w:val="0"/>
          <w:sz w:val="32"/>
          <w:szCs w:val="32"/>
          <w:u w:val="none"/>
          <w:shd w:val="clear" w:color="auto" w:fill="auto"/>
          <w:lang w:val="en-US" w:eastAsia="zh-CN"/>
        </w:rPr>
        <w:t>创新社会治理格局。</w:t>
      </w:r>
      <w:r>
        <w:rPr>
          <w:rFonts w:hint="eastAsia" w:ascii="仿宋" w:hAnsi="仿宋" w:eastAsia="仿宋" w:cs="仿宋"/>
          <w:b w:val="0"/>
          <w:bCs w:val="0"/>
          <w:color w:val="000000"/>
          <w:spacing w:val="0"/>
          <w:w w:val="100"/>
          <w:position w:val="0"/>
          <w:sz w:val="32"/>
          <w:szCs w:val="32"/>
          <w:u w:val="none"/>
          <w:shd w:val="clear" w:color="auto" w:fill="auto"/>
          <w:lang w:val="en-US" w:eastAsia="zh-CN"/>
        </w:rPr>
        <w:t>以政务高效和惠企便民为导向，重点建设以“智能办税”、“智能统计分析全市经济发展信息”为主的经济调节数字化应用；以“全民健康医疗”、“互联网+救助”、“公共数字文化服务体系”为主的民生服务数字化应用；以“公共安全视频监控”、“数字城管”、“智慧气象”、“智慧交通”为主的城市精细化管理数字化应用等。初步建立政府负责、社会协同、公众参与的社会治理格局，推进政府治理体系和治理能力现代化。</w:t>
      </w:r>
    </w:p>
    <w:p>
      <w:pPr>
        <w:ind w:firstLine="643" w:firstLineChars="200"/>
        <w:rPr>
          <w:rFonts w:hint="eastAsia" w:ascii="仿宋" w:hAnsi="仿宋" w:eastAsia="仿宋" w:cs="仿宋"/>
          <w:b w:val="0"/>
          <w:bCs w:val="0"/>
          <w:color w:val="000000"/>
          <w:spacing w:val="0"/>
          <w:w w:val="100"/>
          <w:position w:val="0"/>
          <w:sz w:val="32"/>
          <w:szCs w:val="32"/>
          <w:u w:val="none"/>
          <w:shd w:val="clear" w:color="auto" w:fill="auto"/>
          <w:lang w:val="en-US" w:eastAsia="zh-CN"/>
        </w:rPr>
      </w:pPr>
      <w:r>
        <w:rPr>
          <w:rFonts w:hint="eastAsia" w:ascii="仿宋" w:hAnsi="仿宋" w:eastAsia="仿宋" w:cs="仿宋"/>
          <w:b/>
          <w:bCs/>
          <w:color w:val="000000"/>
          <w:spacing w:val="0"/>
          <w:w w:val="100"/>
          <w:position w:val="0"/>
          <w:sz w:val="32"/>
          <w:szCs w:val="32"/>
          <w:u w:val="none"/>
          <w:shd w:val="clear" w:color="auto" w:fill="auto"/>
          <w:lang w:val="en-US" w:eastAsia="zh-CN"/>
        </w:rPr>
        <w:t>完善安全防护体系。</w:t>
      </w:r>
      <w:r>
        <w:rPr>
          <w:rFonts w:hint="eastAsia" w:ascii="仿宋" w:hAnsi="仿宋" w:eastAsia="仿宋" w:cs="仿宋"/>
          <w:b w:val="0"/>
          <w:bCs w:val="0"/>
          <w:color w:val="000000"/>
          <w:spacing w:val="0"/>
          <w:w w:val="100"/>
          <w:position w:val="0"/>
          <w:sz w:val="32"/>
          <w:szCs w:val="32"/>
          <w:u w:val="none"/>
          <w:shd w:val="clear" w:color="auto" w:fill="auto"/>
          <w:lang w:val="en-US" w:eastAsia="zh-CN"/>
        </w:rPr>
        <w:t>构建网络信息安全保障体系，健全安全监督机制，实现常态化的安全监测、信息通报、安全检查及应急响应，保障各部门网络信息安全能力的不断提升。完善安全可靠技术与标准体系建设，为汕头市政务外网、政务云、业务系统、数据资源等提供有力保障。</w:t>
      </w:r>
    </w:p>
    <w:p>
      <w:pPr>
        <w:spacing w:line="360" w:lineRule="auto"/>
        <w:rPr>
          <w:rFonts w:hint="eastAsia" w:ascii="仿宋" w:hAnsi="仿宋" w:eastAsia="仿宋" w:cs="仿宋"/>
          <w:spacing w:val="-3"/>
          <w:sz w:val="28"/>
          <w:lang w:eastAsia="zh-CN"/>
        </w:rPr>
      </w:pPr>
    </w:p>
    <w:p>
      <w:pPr>
        <w:rPr>
          <w:rFonts w:hint="default" w:ascii="仿宋" w:hAnsi="仿宋" w:eastAsia="仿宋" w:cs="仿宋"/>
          <w:b/>
          <w:bCs/>
          <w:color w:val="000000"/>
          <w:spacing w:val="0"/>
          <w:w w:val="100"/>
          <w:position w:val="0"/>
          <w:sz w:val="32"/>
          <w:szCs w:val="32"/>
          <w:u w:val="none"/>
          <w:shd w:val="clear" w:color="auto" w:fill="auto"/>
          <w:lang w:val="en-US" w:eastAsia="zh-CN"/>
        </w:rPr>
      </w:pPr>
      <w:r>
        <w:rPr>
          <w:rFonts w:hint="eastAsia" w:ascii="仿宋" w:hAnsi="仿宋" w:eastAsia="仿宋" w:cs="仿宋"/>
          <w:b/>
          <w:bCs/>
          <w:color w:val="000000"/>
          <w:spacing w:val="0"/>
          <w:w w:val="100"/>
          <w:position w:val="0"/>
          <w:sz w:val="32"/>
          <w:szCs w:val="32"/>
          <w:u w:val="none"/>
          <w:shd w:val="clear" w:color="auto" w:fill="auto"/>
          <w:lang w:val="en-US" w:eastAsia="zh-CN"/>
        </w:rPr>
        <w:t>表 1 广东省数字政府“十四五”发展主要公共指标(汕头市)</w:t>
      </w:r>
    </w:p>
    <w:tbl>
      <w:tblPr>
        <w:tblStyle w:val="8"/>
        <w:tblpPr w:leftFromText="180" w:rightFromText="180" w:vertAnchor="text" w:horzAnchor="page" w:tblpX="1472" w:tblpY="459"/>
        <w:tblOverlap w:val="never"/>
        <w:tblW w:w="89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2"/>
        <w:gridCol w:w="1277"/>
        <w:gridCol w:w="4346"/>
        <w:gridCol w:w="1564"/>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702" w:type="dxa"/>
            <w:shd w:val="clear" w:color="auto" w:fill="D0CECE"/>
            <w:vAlign w:val="top"/>
          </w:tcPr>
          <w:p>
            <w:pPr>
              <w:pStyle w:val="10"/>
              <w:spacing w:before="0" w:line="360" w:lineRule="auto"/>
              <w:ind w:left="70"/>
              <w:jc w:val="left"/>
              <w:rPr>
                <w:rFonts w:hint="eastAsia" w:ascii="仿宋" w:hAnsi="仿宋" w:eastAsia="仿宋" w:cs="仿宋"/>
                <w:sz w:val="28"/>
              </w:rPr>
            </w:pPr>
            <w:r>
              <w:rPr>
                <w:rFonts w:hint="eastAsia" w:ascii="仿宋" w:hAnsi="仿宋" w:eastAsia="仿宋" w:cs="仿宋"/>
                <w:sz w:val="28"/>
              </w:rPr>
              <w:t>序号</w:t>
            </w:r>
          </w:p>
        </w:tc>
        <w:tc>
          <w:tcPr>
            <w:tcW w:w="1277" w:type="dxa"/>
            <w:shd w:val="clear" w:color="auto" w:fill="D0CECE"/>
            <w:vAlign w:val="top"/>
          </w:tcPr>
          <w:p>
            <w:pPr>
              <w:pStyle w:val="10"/>
              <w:spacing w:before="0" w:line="360" w:lineRule="auto"/>
              <w:ind w:left="357"/>
              <w:jc w:val="left"/>
              <w:rPr>
                <w:rFonts w:hint="eastAsia" w:ascii="仿宋" w:hAnsi="仿宋" w:eastAsia="仿宋" w:cs="仿宋"/>
                <w:sz w:val="28"/>
              </w:rPr>
            </w:pPr>
            <w:r>
              <w:rPr>
                <w:rFonts w:hint="eastAsia" w:ascii="仿宋" w:hAnsi="仿宋" w:eastAsia="仿宋" w:cs="仿宋"/>
                <w:sz w:val="28"/>
              </w:rPr>
              <w:t>类别</w:t>
            </w:r>
          </w:p>
        </w:tc>
        <w:tc>
          <w:tcPr>
            <w:tcW w:w="4346" w:type="dxa"/>
            <w:shd w:val="clear" w:color="auto" w:fill="D0CECE"/>
            <w:vAlign w:val="top"/>
          </w:tcPr>
          <w:p>
            <w:pPr>
              <w:pStyle w:val="10"/>
              <w:spacing w:before="0" w:line="360" w:lineRule="auto"/>
              <w:ind w:left="8"/>
              <w:rPr>
                <w:rFonts w:hint="eastAsia" w:ascii="仿宋" w:hAnsi="仿宋" w:eastAsia="仿宋" w:cs="仿宋"/>
                <w:sz w:val="28"/>
              </w:rPr>
            </w:pPr>
            <w:r>
              <w:rPr>
                <w:rFonts w:hint="eastAsia" w:ascii="仿宋" w:hAnsi="仿宋" w:eastAsia="仿宋" w:cs="仿宋"/>
                <w:sz w:val="28"/>
              </w:rPr>
              <w:t>主要指标</w:t>
            </w:r>
          </w:p>
        </w:tc>
        <w:tc>
          <w:tcPr>
            <w:tcW w:w="1564" w:type="dxa"/>
            <w:shd w:val="clear" w:color="auto" w:fill="D0CECE"/>
            <w:vAlign w:val="top"/>
          </w:tcPr>
          <w:p>
            <w:pPr>
              <w:pStyle w:val="10"/>
              <w:spacing w:before="0" w:line="360" w:lineRule="auto"/>
              <w:ind w:left="3" w:right="-15"/>
              <w:rPr>
                <w:rFonts w:hint="eastAsia" w:ascii="仿宋" w:hAnsi="仿宋" w:eastAsia="仿宋" w:cs="仿宋"/>
                <w:sz w:val="28"/>
              </w:rPr>
            </w:pPr>
            <w:r>
              <w:rPr>
                <w:rFonts w:hint="eastAsia" w:ascii="仿宋" w:hAnsi="仿宋" w:eastAsia="仿宋" w:cs="仿宋"/>
                <w:sz w:val="28"/>
                <w:lang w:eastAsia="zh-CN"/>
              </w:rPr>
              <w:t>汕头市</w:t>
            </w:r>
            <w:r>
              <w:rPr>
                <w:rFonts w:hint="eastAsia" w:ascii="仿宋" w:hAnsi="仿宋" w:eastAsia="仿宋" w:cs="仿宋"/>
                <w:sz w:val="28"/>
              </w:rPr>
              <w:t>现状值</w:t>
            </w:r>
          </w:p>
        </w:tc>
        <w:tc>
          <w:tcPr>
            <w:tcW w:w="1050" w:type="dxa"/>
            <w:shd w:val="clear" w:color="auto" w:fill="D0CECE"/>
            <w:vAlign w:val="top"/>
          </w:tcPr>
          <w:p>
            <w:pPr>
              <w:pStyle w:val="10"/>
              <w:spacing w:before="0" w:line="360" w:lineRule="auto"/>
              <w:ind w:left="23" w:right="21"/>
              <w:rPr>
                <w:rFonts w:hint="eastAsia" w:ascii="仿宋" w:hAnsi="仿宋" w:eastAsia="仿宋" w:cs="仿宋"/>
                <w:sz w:val="28"/>
              </w:rPr>
            </w:pPr>
            <w:r>
              <w:rPr>
                <w:rFonts w:hint="eastAsia" w:ascii="仿宋" w:hAnsi="仿宋" w:eastAsia="仿宋" w:cs="仿宋"/>
                <w:sz w:val="28"/>
                <w:lang w:eastAsia="zh-CN"/>
              </w:rPr>
              <w:t>省十四五期间</w:t>
            </w:r>
            <w:r>
              <w:rPr>
                <w:rFonts w:hint="eastAsia" w:ascii="仿宋" w:hAnsi="仿宋" w:eastAsia="仿宋" w:cs="仿宋"/>
                <w:sz w:val="28"/>
              </w:rPr>
              <w:t>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8" w:hRule="atLeast"/>
        </w:trPr>
        <w:tc>
          <w:tcPr>
            <w:tcW w:w="702" w:type="dxa"/>
            <w:vAlign w:val="top"/>
          </w:tcPr>
          <w:p>
            <w:pPr>
              <w:pStyle w:val="10"/>
              <w:spacing w:before="0" w:line="360" w:lineRule="auto"/>
              <w:ind w:left="228" w:leftChars="0"/>
              <w:jc w:val="left"/>
              <w:rPr>
                <w:rFonts w:hint="eastAsia" w:ascii="仿宋" w:hAnsi="仿宋" w:eastAsia="仿宋" w:cs="仿宋"/>
                <w:sz w:val="28"/>
              </w:rPr>
            </w:pPr>
            <w:r>
              <w:rPr>
                <w:rFonts w:hint="eastAsia" w:ascii="仿宋" w:hAnsi="仿宋" w:eastAsia="仿宋" w:cs="仿宋"/>
                <w:sz w:val="28"/>
              </w:rPr>
              <w:t>1</w:t>
            </w:r>
          </w:p>
        </w:tc>
        <w:tc>
          <w:tcPr>
            <w:tcW w:w="1277" w:type="dxa"/>
            <w:vMerge w:val="restart"/>
            <w:vAlign w:val="top"/>
          </w:tcPr>
          <w:p>
            <w:pPr>
              <w:pStyle w:val="10"/>
              <w:spacing w:before="0" w:line="360" w:lineRule="auto"/>
              <w:jc w:val="left"/>
              <w:rPr>
                <w:rFonts w:hint="eastAsia" w:ascii="仿宋" w:hAnsi="仿宋" w:eastAsia="仿宋" w:cs="仿宋"/>
                <w:sz w:val="28"/>
              </w:rPr>
            </w:pPr>
          </w:p>
          <w:p>
            <w:pPr>
              <w:pStyle w:val="10"/>
              <w:spacing w:before="0" w:line="360" w:lineRule="auto"/>
              <w:jc w:val="left"/>
              <w:rPr>
                <w:rFonts w:hint="eastAsia" w:ascii="仿宋" w:hAnsi="仿宋" w:eastAsia="仿宋" w:cs="仿宋"/>
                <w:sz w:val="28"/>
              </w:rPr>
            </w:pPr>
          </w:p>
          <w:p>
            <w:pPr>
              <w:pStyle w:val="10"/>
              <w:spacing w:before="0" w:line="360" w:lineRule="auto"/>
              <w:jc w:val="left"/>
              <w:rPr>
                <w:rFonts w:hint="eastAsia" w:ascii="仿宋" w:hAnsi="仿宋" w:eastAsia="仿宋" w:cs="仿宋"/>
                <w:sz w:val="28"/>
              </w:rPr>
            </w:pPr>
          </w:p>
          <w:p>
            <w:pPr>
              <w:pStyle w:val="10"/>
              <w:spacing w:before="0" w:line="360" w:lineRule="auto"/>
              <w:jc w:val="left"/>
              <w:rPr>
                <w:rFonts w:hint="eastAsia" w:ascii="仿宋" w:hAnsi="仿宋" w:eastAsia="仿宋" w:cs="仿宋"/>
                <w:sz w:val="28"/>
              </w:rPr>
            </w:pPr>
          </w:p>
          <w:p>
            <w:pPr>
              <w:pStyle w:val="10"/>
              <w:spacing w:before="0" w:line="360" w:lineRule="auto"/>
              <w:jc w:val="left"/>
              <w:rPr>
                <w:rFonts w:hint="eastAsia" w:ascii="仿宋" w:hAnsi="仿宋" w:eastAsia="仿宋" w:cs="仿宋"/>
                <w:sz w:val="28"/>
              </w:rPr>
            </w:pPr>
          </w:p>
          <w:p>
            <w:pPr>
              <w:pStyle w:val="10"/>
              <w:spacing w:before="0" w:line="360" w:lineRule="auto"/>
              <w:jc w:val="left"/>
              <w:rPr>
                <w:rFonts w:hint="eastAsia" w:ascii="仿宋" w:hAnsi="仿宋" w:eastAsia="仿宋" w:cs="仿宋"/>
                <w:sz w:val="28"/>
              </w:rPr>
            </w:pPr>
          </w:p>
          <w:p>
            <w:pPr>
              <w:pStyle w:val="10"/>
              <w:spacing w:before="0" w:line="360" w:lineRule="auto"/>
              <w:jc w:val="left"/>
              <w:rPr>
                <w:rFonts w:hint="eastAsia" w:ascii="仿宋" w:hAnsi="仿宋" w:eastAsia="仿宋" w:cs="仿宋"/>
                <w:sz w:val="38"/>
              </w:rPr>
            </w:pPr>
          </w:p>
          <w:p>
            <w:pPr>
              <w:pStyle w:val="10"/>
              <w:spacing w:before="0" w:line="360" w:lineRule="auto"/>
              <w:ind w:left="76" w:leftChars="0" w:right="66" w:rightChars="0" w:firstLine="140" w:firstLineChars="0"/>
              <w:jc w:val="left"/>
              <w:rPr>
                <w:rFonts w:hint="eastAsia" w:ascii="仿宋" w:hAnsi="仿宋" w:eastAsia="仿宋" w:cs="仿宋"/>
                <w:sz w:val="28"/>
              </w:rPr>
            </w:pPr>
            <w:r>
              <w:rPr>
                <w:rFonts w:hint="eastAsia" w:ascii="仿宋" w:hAnsi="仿宋" w:eastAsia="仿宋" w:cs="仿宋"/>
                <w:sz w:val="28"/>
              </w:rPr>
              <w:t>数字化履职能力</w:t>
            </w:r>
          </w:p>
        </w:tc>
        <w:tc>
          <w:tcPr>
            <w:tcW w:w="4346" w:type="dxa"/>
            <w:vAlign w:val="top"/>
          </w:tcPr>
          <w:p>
            <w:pPr>
              <w:pStyle w:val="10"/>
              <w:spacing w:before="0" w:line="360" w:lineRule="auto"/>
              <w:ind w:left="5" w:leftChars="0"/>
              <w:rPr>
                <w:rFonts w:hint="eastAsia" w:ascii="仿宋" w:hAnsi="仿宋" w:eastAsia="仿宋" w:cs="仿宋"/>
                <w:sz w:val="28"/>
                <w:lang w:eastAsia="zh-CN"/>
              </w:rPr>
            </w:pPr>
            <w:r>
              <w:rPr>
                <w:rFonts w:hint="eastAsia" w:ascii="仿宋" w:hAnsi="仿宋" w:eastAsia="仿宋" w:cs="仿宋"/>
                <w:sz w:val="28"/>
                <w:lang w:eastAsia="zh-CN"/>
              </w:rPr>
              <w:t>“零跑动”事项覆盖率（%）</w:t>
            </w:r>
          </w:p>
        </w:tc>
        <w:tc>
          <w:tcPr>
            <w:tcW w:w="1564" w:type="dxa"/>
            <w:vAlign w:val="top"/>
          </w:tcPr>
          <w:p>
            <w:pPr>
              <w:pStyle w:val="10"/>
              <w:spacing w:before="0" w:line="360" w:lineRule="auto"/>
              <w:ind w:left="88" w:leftChars="0" w:right="83" w:rightChars="0"/>
              <w:rPr>
                <w:rFonts w:hint="eastAsia" w:ascii="仿宋" w:hAnsi="仿宋" w:eastAsia="仿宋" w:cs="仿宋"/>
                <w:sz w:val="28"/>
                <w:lang w:eastAsia="zh-CN"/>
              </w:rPr>
            </w:pPr>
            <w:r>
              <w:rPr>
                <w:rFonts w:hint="eastAsia" w:ascii="仿宋" w:hAnsi="仿宋" w:eastAsia="仿宋" w:cs="仿宋"/>
                <w:sz w:val="28"/>
                <w:lang w:eastAsia="zh-CN"/>
              </w:rPr>
              <w:t>73</w:t>
            </w:r>
            <w:r>
              <w:rPr>
                <w:rFonts w:ascii="仿宋" w:hAnsi="仿宋" w:eastAsia="仿宋" w:cs="仿宋"/>
                <w:sz w:val="28"/>
                <w:lang w:eastAsia="zh-CN"/>
              </w:rPr>
              <w:t>.3</w:t>
            </w:r>
            <w:r>
              <w:rPr>
                <w:rFonts w:hint="eastAsia" w:ascii="仿宋" w:hAnsi="仿宋" w:eastAsia="仿宋" w:cs="仿宋"/>
                <w:sz w:val="28"/>
                <w:lang w:eastAsia="zh-CN"/>
              </w:rPr>
              <w:t>%</w:t>
            </w:r>
          </w:p>
        </w:tc>
        <w:tc>
          <w:tcPr>
            <w:tcW w:w="1050" w:type="dxa"/>
            <w:vAlign w:val="top"/>
          </w:tcPr>
          <w:p>
            <w:pPr>
              <w:pStyle w:val="10"/>
              <w:spacing w:before="0" w:line="360" w:lineRule="auto"/>
              <w:ind w:left="23" w:leftChars="0" w:right="19" w:rightChars="0"/>
              <w:rPr>
                <w:rFonts w:hint="eastAsia" w:ascii="仿宋" w:hAnsi="仿宋" w:eastAsia="仿宋" w:cs="仿宋"/>
                <w:sz w:val="28"/>
              </w:rPr>
            </w:pPr>
            <w:r>
              <w:rPr>
                <w:rFonts w:hint="eastAsia" w:ascii="仿宋" w:hAnsi="仿宋" w:eastAsia="仿宋" w:cs="仿宋"/>
                <w:sz w:val="28"/>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atLeast"/>
        </w:trPr>
        <w:tc>
          <w:tcPr>
            <w:tcW w:w="702" w:type="dxa"/>
            <w:vAlign w:val="top"/>
          </w:tcPr>
          <w:p>
            <w:pPr>
              <w:pStyle w:val="10"/>
              <w:spacing w:before="0" w:line="360" w:lineRule="auto"/>
              <w:ind w:left="229" w:leftChars="0"/>
              <w:jc w:val="left"/>
              <w:rPr>
                <w:rFonts w:hint="eastAsia" w:ascii="仿宋" w:hAnsi="仿宋" w:eastAsia="仿宋" w:cs="仿宋"/>
                <w:sz w:val="28"/>
              </w:rPr>
            </w:pPr>
            <w:r>
              <w:rPr>
                <w:rFonts w:hint="eastAsia" w:ascii="仿宋" w:hAnsi="仿宋" w:eastAsia="仿宋" w:cs="仿宋"/>
                <w:sz w:val="28"/>
              </w:rPr>
              <w:t>2</w:t>
            </w:r>
          </w:p>
        </w:tc>
        <w:tc>
          <w:tcPr>
            <w:tcW w:w="1277" w:type="dxa"/>
            <w:vMerge w:val="continue"/>
            <w:tcBorders>
              <w:top w:val="nil"/>
            </w:tcBorders>
            <w:vAlign w:val="top"/>
          </w:tcPr>
          <w:p>
            <w:pPr>
              <w:spacing w:line="360" w:lineRule="auto"/>
              <w:rPr>
                <w:rFonts w:hint="eastAsia" w:ascii="仿宋" w:hAnsi="仿宋" w:eastAsia="仿宋" w:cs="仿宋"/>
                <w:sz w:val="2"/>
                <w:szCs w:val="2"/>
              </w:rPr>
            </w:pPr>
          </w:p>
        </w:tc>
        <w:tc>
          <w:tcPr>
            <w:tcW w:w="4346" w:type="dxa"/>
            <w:vAlign w:val="top"/>
          </w:tcPr>
          <w:p>
            <w:pPr>
              <w:pStyle w:val="10"/>
              <w:spacing w:before="0" w:line="360" w:lineRule="auto"/>
              <w:ind w:left="5" w:leftChars="0"/>
              <w:rPr>
                <w:rFonts w:hint="eastAsia" w:ascii="仿宋" w:hAnsi="仿宋" w:eastAsia="仿宋" w:cs="仿宋"/>
                <w:sz w:val="28"/>
              </w:rPr>
            </w:pPr>
            <w:r>
              <w:rPr>
                <w:rFonts w:hint="eastAsia" w:ascii="仿宋" w:hAnsi="仿宋" w:eastAsia="仿宋" w:cs="仿宋"/>
                <w:sz w:val="28"/>
              </w:rPr>
              <w:t>一窗综合受理率（%）</w:t>
            </w:r>
          </w:p>
        </w:tc>
        <w:tc>
          <w:tcPr>
            <w:tcW w:w="1564" w:type="dxa"/>
            <w:vAlign w:val="top"/>
          </w:tcPr>
          <w:p>
            <w:pPr>
              <w:pStyle w:val="10"/>
              <w:spacing w:before="0" w:line="360" w:lineRule="auto"/>
              <w:ind w:left="88" w:leftChars="0" w:right="83" w:rightChars="0"/>
              <w:rPr>
                <w:rFonts w:hint="eastAsia" w:ascii="仿宋" w:hAnsi="仿宋" w:eastAsia="仿宋" w:cs="仿宋"/>
                <w:sz w:val="28"/>
              </w:rPr>
            </w:pPr>
            <w:r>
              <w:rPr>
                <w:rFonts w:hint="eastAsia" w:ascii="仿宋" w:hAnsi="仿宋" w:eastAsia="仿宋" w:cs="仿宋"/>
                <w:sz w:val="28"/>
                <w:lang w:eastAsia="zh-CN"/>
              </w:rPr>
              <w:t>96.</w:t>
            </w:r>
            <w:r>
              <w:rPr>
                <w:rFonts w:ascii="仿宋" w:hAnsi="仿宋" w:eastAsia="仿宋" w:cs="仿宋"/>
                <w:sz w:val="28"/>
                <w:lang w:eastAsia="zh-CN"/>
              </w:rPr>
              <w:t>41</w:t>
            </w:r>
          </w:p>
        </w:tc>
        <w:tc>
          <w:tcPr>
            <w:tcW w:w="1050" w:type="dxa"/>
            <w:vAlign w:val="top"/>
          </w:tcPr>
          <w:p>
            <w:pPr>
              <w:pStyle w:val="10"/>
              <w:spacing w:before="0" w:line="360" w:lineRule="auto"/>
              <w:ind w:left="22" w:leftChars="0" w:right="21" w:rightChars="0"/>
              <w:rPr>
                <w:rFonts w:hint="eastAsia" w:ascii="仿宋" w:hAnsi="仿宋" w:eastAsia="仿宋" w:cs="仿宋"/>
                <w:sz w:val="28"/>
              </w:rPr>
            </w:pPr>
            <w:r>
              <w:rPr>
                <w:rFonts w:hint="eastAsia" w:ascii="仿宋" w:hAnsi="仿宋" w:eastAsia="仿宋" w:cs="仿宋"/>
                <w:sz w:val="2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8" w:hRule="atLeast"/>
        </w:trPr>
        <w:tc>
          <w:tcPr>
            <w:tcW w:w="702" w:type="dxa"/>
            <w:vAlign w:val="top"/>
          </w:tcPr>
          <w:p>
            <w:pPr>
              <w:pStyle w:val="10"/>
              <w:spacing w:before="0" w:line="360" w:lineRule="auto"/>
              <w:ind w:left="229" w:leftChars="0"/>
              <w:jc w:val="left"/>
              <w:rPr>
                <w:rFonts w:hint="eastAsia" w:ascii="仿宋" w:hAnsi="仿宋" w:eastAsia="仿宋" w:cs="仿宋"/>
                <w:sz w:val="28"/>
              </w:rPr>
            </w:pPr>
            <w:r>
              <w:rPr>
                <w:rFonts w:hint="eastAsia" w:ascii="仿宋" w:hAnsi="仿宋" w:eastAsia="仿宋" w:cs="仿宋"/>
                <w:sz w:val="28"/>
              </w:rPr>
              <w:t>3</w:t>
            </w:r>
          </w:p>
        </w:tc>
        <w:tc>
          <w:tcPr>
            <w:tcW w:w="1277" w:type="dxa"/>
            <w:vMerge w:val="continue"/>
            <w:tcBorders>
              <w:top w:val="nil"/>
            </w:tcBorders>
            <w:vAlign w:val="top"/>
          </w:tcPr>
          <w:p>
            <w:pPr>
              <w:spacing w:line="360" w:lineRule="auto"/>
              <w:rPr>
                <w:rFonts w:hint="eastAsia" w:ascii="仿宋" w:hAnsi="仿宋" w:eastAsia="仿宋" w:cs="仿宋"/>
                <w:sz w:val="2"/>
                <w:szCs w:val="2"/>
              </w:rPr>
            </w:pPr>
          </w:p>
        </w:tc>
        <w:tc>
          <w:tcPr>
            <w:tcW w:w="4346" w:type="dxa"/>
            <w:vAlign w:val="top"/>
          </w:tcPr>
          <w:p>
            <w:pPr>
              <w:pStyle w:val="10"/>
              <w:spacing w:before="0" w:line="360" w:lineRule="auto"/>
              <w:ind w:left="9" w:leftChars="0"/>
              <w:rPr>
                <w:rFonts w:hint="eastAsia" w:ascii="仿宋" w:hAnsi="仿宋" w:eastAsia="仿宋" w:cs="仿宋"/>
                <w:sz w:val="28"/>
                <w:lang w:eastAsia="zh-CN"/>
              </w:rPr>
            </w:pPr>
            <w:r>
              <w:rPr>
                <w:rFonts w:hint="eastAsia" w:ascii="仿宋" w:hAnsi="仿宋" w:eastAsia="仿宋" w:cs="仿宋"/>
                <w:sz w:val="28"/>
                <w:lang w:eastAsia="zh-CN"/>
              </w:rPr>
              <w:t>“一件事”主题集成服务数量（件）</w:t>
            </w:r>
          </w:p>
        </w:tc>
        <w:tc>
          <w:tcPr>
            <w:tcW w:w="1564" w:type="dxa"/>
            <w:vAlign w:val="top"/>
          </w:tcPr>
          <w:p>
            <w:pPr>
              <w:pStyle w:val="10"/>
              <w:spacing w:before="0" w:line="360" w:lineRule="auto"/>
              <w:ind w:left="88" w:leftChars="0" w:right="83" w:rightChars="0"/>
              <w:rPr>
                <w:rFonts w:hint="eastAsia" w:ascii="仿宋" w:hAnsi="仿宋" w:eastAsia="仿宋" w:cs="仿宋"/>
                <w:sz w:val="28"/>
                <w:lang w:eastAsia="zh-CN"/>
              </w:rPr>
            </w:pPr>
            <w:r>
              <w:rPr>
                <w:rFonts w:hint="eastAsia" w:ascii="仿宋" w:hAnsi="仿宋" w:eastAsia="仿宋" w:cs="仿宋"/>
                <w:sz w:val="28"/>
                <w:lang w:eastAsia="zh-CN"/>
              </w:rPr>
              <w:t>3</w:t>
            </w:r>
            <w:r>
              <w:rPr>
                <w:rFonts w:ascii="仿宋" w:hAnsi="仿宋" w:eastAsia="仿宋" w:cs="仿宋"/>
                <w:sz w:val="28"/>
                <w:lang w:eastAsia="zh-CN"/>
              </w:rPr>
              <w:t>42</w:t>
            </w:r>
          </w:p>
        </w:tc>
        <w:tc>
          <w:tcPr>
            <w:tcW w:w="1050" w:type="dxa"/>
            <w:vAlign w:val="top"/>
          </w:tcPr>
          <w:p>
            <w:pPr>
              <w:pStyle w:val="10"/>
              <w:spacing w:before="0" w:line="360" w:lineRule="auto"/>
              <w:ind w:left="22" w:leftChars="0" w:right="21" w:rightChars="0"/>
              <w:rPr>
                <w:rFonts w:hint="eastAsia" w:ascii="仿宋" w:hAnsi="仿宋" w:eastAsia="仿宋" w:cs="仿宋"/>
                <w:sz w:val="28"/>
              </w:rPr>
            </w:pPr>
            <w:r>
              <w:rPr>
                <w:rFonts w:hint="eastAsia" w:ascii="仿宋" w:hAnsi="仿宋" w:eastAsia="仿宋" w:cs="仿宋"/>
                <w:sz w:val="28"/>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atLeast"/>
        </w:trPr>
        <w:tc>
          <w:tcPr>
            <w:tcW w:w="702" w:type="dxa"/>
            <w:vAlign w:val="top"/>
          </w:tcPr>
          <w:p>
            <w:pPr>
              <w:pStyle w:val="10"/>
              <w:spacing w:before="0" w:line="360" w:lineRule="auto"/>
              <w:ind w:left="229" w:leftChars="0"/>
              <w:jc w:val="left"/>
              <w:rPr>
                <w:rFonts w:hint="eastAsia" w:ascii="仿宋" w:hAnsi="仿宋" w:eastAsia="仿宋" w:cs="仿宋"/>
                <w:sz w:val="28"/>
              </w:rPr>
            </w:pPr>
            <w:r>
              <w:rPr>
                <w:rFonts w:hint="eastAsia" w:ascii="仿宋" w:hAnsi="仿宋" w:eastAsia="仿宋" w:cs="仿宋"/>
                <w:sz w:val="28"/>
              </w:rPr>
              <w:t>4</w:t>
            </w:r>
          </w:p>
        </w:tc>
        <w:tc>
          <w:tcPr>
            <w:tcW w:w="1277" w:type="dxa"/>
            <w:vMerge w:val="continue"/>
            <w:tcBorders>
              <w:top w:val="nil"/>
            </w:tcBorders>
            <w:vAlign w:val="top"/>
          </w:tcPr>
          <w:p>
            <w:pPr>
              <w:spacing w:line="360" w:lineRule="auto"/>
              <w:rPr>
                <w:rFonts w:hint="eastAsia" w:ascii="仿宋" w:hAnsi="仿宋" w:eastAsia="仿宋" w:cs="仿宋"/>
                <w:sz w:val="2"/>
                <w:szCs w:val="2"/>
              </w:rPr>
            </w:pPr>
          </w:p>
        </w:tc>
        <w:tc>
          <w:tcPr>
            <w:tcW w:w="4346" w:type="dxa"/>
            <w:vAlign w:val="top"/>
          </w:tcPr>
          <w:p>
            <w:pPr>
              <w:pStyle w:val="10"/>
              <w:spacing w:before="0" w:line="360" w:lineRule="auto"/>
              <w:ind w:left="6" w:leftChars="0"/>
              <w:rPr>
                <w:rFonts w:hint="eastAsia" w:ascii="仿宋" w:hAnsi="仿宋" w:eastAsia="仿宋" w:cs="仿宋"/>
                <w:sz w:val="28"/>
                <w:lang w:eastAsia="zh-CN"/>
              </w:rPr>
            </w:pPr>
            <w:r>
              <w:rPr>
                <w:rFonts w:hint="eastAsia" w:ascii="仿宋" w:hAnsi="仿宋" w:eastAsia="仿宋" w:cs="仿宋"/>
                <w:sz w:val="28"/>
                <w:lang w:eastAsia="zh-CN"/>
              </w:rPr>
              <w:t>政务服务一体机镇街覆盖率（%）</w:t>
            </w:r>
          </w:p>
        </w:tc>
        <w:tc>
          <w:tcPr>
            <w:tcW w:w="1564" w:type="dxa"/>
            <w:vAlign w:val="top"/>
          </w:tcPr>
          <w:p>
            <w:pPr>
              <w:pStyle w:val="10"/>
              <w:spacing w:before="0" w:line="360" w:lineRule="auto"/>
              <w:ind w:left="89" w:leftChars="0" w:right="83" w:rightChars="0"/>
              <w:rPr>
                <w:rFonts w:hint="eastAsia" w:ascii="仿宋" w:hAnsi="仿宋" w:eastAsia="仿宋" w:cs="仿宋"/>
                <w:sz w:val="28"/>
                <w:lang w:eastAsia="zh-CN"/>
              </w:rPr>
            </w:pPr>
            <w:r>
              <w:rPr>
                <w:rFonts w:hint="eastAsia" w:ascii="仿宋" w:hAnsi="仿宋" w:eastAsia="仿宋" w:cs="仿宋"/>
                <w:sz w:val="28"/>
                <w:lang w:val="en-US" w:eastAsia="zh-CN"/>
              </w:rPr>
              <w:t>0</w:t>
            </w:r>
          </w:p>
        </w:tc>
        <w:tc>
          <w:tcPr>
            <w:tcW w:w="1050" w:type="dxa"/>
            <w:vAlign w:val="top"/>
          </w:tcPr>
          <w:p>
            <w:pPr>
              <w:pStyle w:val="10"/>
              <w:spacing w:before="0" w:line="360" w:lineRule="auto"/>
              <w:ind w:left="23" w:leftChars="0" w:right="21" w:rightChars="0"/>
              <w:rPr>
                <w:rFonts w:hint="eastAsia" w:ascii="仿宋" w:hAnsi="仿宋" w:eastAsia="仿宋" w:cs="仿宋"/>
                <w:sz w:val="28"/>
              </w:rPr>
            </w:pPr>
            <w:r>
              <w:rPr>
                <w:rFonts w:hint="eastAsia" w:ascii="仿宋" w:hAnsi="仿宋" w:eastAsia="仿宋" w:cs="仿宋"/>
                <w:sz w:val="2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8" w:hRule="atLeast"/>
        </w:trPr>
        <w:tc>
          <w:tcPr>
            <w:tcW w:w="702" w:type="dxa"/>
            <w:vAlign w:val="top"/>
          </w:tcPr>
          <w:p>
            <w:pPr>
              <w:pStyle w:val="10"/>
              <w:spacing w:before="0" w:line="360" w:lineRule="auto"/>
              <w:ind w:left="229" w:leftChars="0"/>
              <w:jc w:val="left"/>
              <w:rPr>
                <w:rFonts w:hint="eastAsia" w:ascii="仿宋" w:hAnsi="仿宋" w:eastAsia="仿宋" w:cs="仿宋"/>
                <w:sz w:val="28"/>
              </w:rPr>
            </w:pPr>
            <w:r>
              <w:rPr>
                <w:rFonts w:hint="eastAsia" w:ascii="仿宋" w:hAnsi="仿宋" w:eastAsia="仿宋" w:cs="仿宋"/>
                <w:sz w:val="28"/>
              </w:rPr>
              <w:t>5</w:t>
            </w:r>
          </w:p>
        </w:tc>
        <w:tc>
          <w:tcPr>
            <w:tcW w:w="1277" w:type="dxa"/>
            <w:vMerge w:val="continue"/>
            <w:tcBorders>
              <w:top w:val="nil"/>
            </w:tcBorders>
            <w:vAlign w:val="top"/>
          </w:tcPr>
          <w:p>
            <w:pPr>
              <w:spacing w:line="360" w:lineRule="auto"/>
              <w:rPr>
                <w:rFonts w:hint="eastAsia" w:ascii="仿宋" w:hAnsi="仿宋" w:eastAsia="仿宋" w:cs="仿宋"/>
                <w:sz w:val="2"/>
                <w:szCs w:val="2"/>
              </w:rPr>
            </w:pPr>
          </w:p>
        </w:tc>
        <w:tc>
          <w:tcPr>
            <w:tcW w:w="4346" w:type="dxa"/>
            <w:vAlign w:val="top"/>
          </w:tcPr>
          <w:p>
            <w:pPr>
              <w:pStyle w:val="10"/>
              <w:spacing w:before="0" w:line="360" w:lineRule="auto"/>
              <w:ind w:left="6" w:leftChars="0"/>
              <w:rPr>
                <w:rFonts w:hint="eastAsia" w:ascii="仿宋" w:hAnsi="仿宋" w:eastAsia="仿宋" w:cs="仿宋"/>
                <w:sz w:val="28"/>
                <w:lang w:eastAsia="zh-CN"/>
              </w:rPr>
            </w:pPr>
            <w:r>
              <w:rPr>
                <w:rFonts w:hint="eastAsia" w:ascii="仿宋" w:hAnsi="仿宋" w:eastAsia="仿宋" w:cs="仿宋"/>
                <w:sz w:val="28"/>
                <w:lang w:eastAsia="zh-CN"/>
              </w:rPr>
              <w:t>高频服务事项“跨省通办”比例（%）</w:t>
            </w:r>
          </w:p>
        </w:tc>
        <w:tc>
          <w:tcPr>
            <w:tcW w:w="1564" w:type="dxa"/>
            <w:vAlign w:val="top"/>
          </w:tcPr>
          <w:p>
            <w:pPr>
              <w:pStyle w:val="10"/>
              <w:spacing w:before="0" w:line="360" w:lineRule="auto"/>
              <w:ind w:left="88" w:leftChars="0" w:right="83" w:rightChars="0"/>
              <w:rPr>
                <w:rFonts w:hint="default" w:ascii="仿宋" w:hAnsi="仿宋" w:eastAsia="仿宋" w:cs="仿宋"/>
                <w:sz w:val="28"/>
                <w:lang w:val="en-US" w:eastAsia="zh-CN"/>
              </w:rPr>
            </w:pPr>
            <w:r>
              <w:rPr>
                <w:rFonts w:hint="eastAsia" w:ascii="仿宋" w:hAnsi="仿宋" w:eastAsia="仿宋" w:cs="仿宋"/>
                <w:sz w:val="28"/>
                <w:lang w:val="en-US" w:eastAsia="zh-CN"/>
              </w:rPr>
              <w:t>57.7</w:t>
            </w:r>
          </w:p>
        </w:tc>
        <w:tc>
          <w:tcPr>
            <w:tcW w:w="1050" w:type="dxa"/>
            <w:vAlign w:val="top"/>
          </w:tcPr>
          <w:p>
            <w:pPr>
              <w:pStyle w:val="10"/>
              <w:spacing w:before="0" w:line="360" w:lineRule="auto"/>
              <w:ind w:left="22" w:leftChars="0" w:right="21" w:rightChars="0"/>
              <w:rPr>
                <w:rFonts w:hint="eastAsia" w:ascii="仿宋" w:hAnsi="仿宋" w:eastAsia="仿宋" w:cs="仿宋"/>
                <w:sz w:val="28"/>
              </w:rPr>
            </w:pPr>
            <w:r>
              <w:rPr>
                <w:rFonts w:hint="eastAsia" w:ascii="仿宋" w:hAnsi="仿宋" w:eastAsia="仿宋" w:cs="仿宋"/>
                <w:sz w:val="2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atLeast"/>
        </w:trPr>
        <w:tc>
          <w:tcPr>
            <w:tcW w:w="702" w:type="dxa"/>
            <w:vAlign w:val="top"/>
          </w:tcPr>
          <w:p>
            <w:pPr>
              <w:pStyle w:val="10"/>
              <w:spacing w:before="0" w:line="360" w:lineRule="auto"/>
              <w:ind w:left="229" w:leftChars="0"/>
              <w:jc w:val="left"/>
              <w:rPr>
                <w:rFonts w:hint="eastAsia" w:ascii="仿宋" w:hAnsi="仿宋" w:eastAsia="仿宋" w:cs="仿宋"/>
                <w:sz w:val="28"/>
              </w:rPr>
            </w:pPr>
            <w:r>
              <w:rPr>
                <w:rFonts w:hint="eastAsia" w:ascii="仿宋" w:hAnsi="仿宋" w:eastAsia="仿宋" w:cs="仿宋"/>
                <w:sz w:val="28"/>
              </w:rPr>
              <w:t>6</w:t>
            </w:r>
          </w:p>
        </w:tc>
        <w:tc>
          <w:tcPr>
            <w:tcW w:w="1277" w:type="dxa"/>
            <w:vMerge w:val="continue"/>
            <w:tcBorders>
              <w:top w:val="nil"/>
            </w:tcBorders>
            <w:vAlign w:val="top"/>
          </w:tcPr>
          <w:p>
            <w:pPr>
              <w:spacing w:line="360" w:lineRule="auto"/>
              <w:rPr>
                <w:rFonts w:hint="eastAsia" w:ascii="仿宋" w:hAnsi="仿宋" w:eastAsia="仿宋" w:cs="仿宋"/>
                <w:sz w:val="2"/>
                <w:szCs w:val="2"/>
              </w:rPr>
            </w:pPr>
          </w:p>
        </w:tc>
        <w:tc>
          <w:tcPr>
            <w:tcW w:w="4346" w:type="dxa"/>
            <w:vAlign w:val="top"/>
          </w:tcPr>
          <w:p>
            <w:pPr>
              <w:pStyle w:val="10"/>
              <w:spacing w:before="0" w:line="360" w:lineRule="auto"/>
              <w:ind w:left="8" w:leftChars="0"/>
              <w:rPr>
                <w:rFonts w:hint="eastAsia" w:ascii="仿宋" w:hAnsi="仿宋" w:eastAsia="仿宋" w:cs="仿宋"/>
                <w:sz w:val="28"/>
                <w:lang w:eastAsia="zh-CN"/>
              </w:rPr>
            </w:pPr>
            <w:r>
              <w:rPr>
                <w:rFonts w:hint="eastAsia" w:ascii="仿宋" w:hAnsi="仿宋" w:eastAsia="仿宋" w:cs="仿宋"/>
                <w:sz w:val="28"/>
                <w:lang w:eastAsia="zh-CN"/>
              </w:rPr>
              <w:t>政务服务“好差评”（分）</w:t>
            </w:r>
          </w:p>
        </w:tc>
        <w:tc>
          <w:tcPr>
            <w:tcW w:w="1564" w:type="dxa"/>
            <w:vAlign w:val="top"/>
          </w:tcPr>
          <w:p>
            <w:pPr>
              <w:pStyle w:val="10"/>
              <w:spacing w:before="0" w:line="360" w:lineRule="auto"/>
              <w:ind w:left="87" w:leftChars="0" w:right="83" w:rightChars="0"/>
              <w:rPr>
                <w:rFonts w:hint="eastAsia" w:ascii="仿宋" w:hAnsi="仿宋" w:eastAsia="仿宋" w:cs="仿宋"/>
                <w:sz w:val="28"/>
                <w:lang w:eastAsia="zh-CN"/>
              </w:rPr>
            </w:pPr>
            <w:r>
              <w:rPr>
                <w:rFonts w:hint="eastAsia" w:ascii="仿宋" w:hAnsi="仿宋" w:eastAsia="仿宋" w:cs="仿宋"/>
                <w:sz w:val="28"/>
                <w:lang w:eastAsia="zh-CN"/>
              </w:rPr>
              <w:t>8</w:t>
            </w:r>
            <w:r>
              <w:rPr>
                <w:rFonts w:ascii="仿宋" w:hAnsi="仿宋" w:eastAsia="仿宋" w:cs="仿宋"/>
                <w:sz w:val="28"/>
                <w:lang w:eastAsia="zh-CN"/>
              </w:rPr>
              <w:t>.0</w:t>
            </w:r>
          </w:p>
        </w:tc>
        <w:tc>
          <w:tcPr>
            <w:tcW w:w="1050" w:type="dxa"/>
            <w:vAlign w:val="top"/>
          </w:tcPr>
          <w:p>
            <w:pPr>
              <w:pStyle w:val="10"/>
              <w:spacing w:before="0" w:line="360" w:lineRule="auto"/>
              <w:ind w:left="23" w:leftChars="0" w:right="19" w:rightChars="0"/>
              <w:rPr>
                <w:rFonts w:hint="eastAsia" w:ascii="仿宋" w:hAnsi="仿宋" w:eastAsia="仿宋" w:cs="仿宋"/>
                <w:sz w:val="28"/>
              </w:rPr>
            </w:pPr>
            <w:r>
              <w:rPr>
                <w:rFonts w:hint="eastAsia" w:ascii="仿宋" w:hAnsi="仿宋" w:eastAsia="仿宋" w:cs="仿宋"/>
                <w:sz w:val="28"/>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8" w:hRule="atLeast"/>
        </w:trPr>
        <w:tc>
          <w:tcPr>
            <w:tcW w:w="702" w:type="dxa"/>
            <w:vAlign w:val="top"/>
          </w:tcPr>
          <w:p>
            <w:pPr>
              <w:pStyle w:val="10"/>
              <w:spacing w:before="0" w:line="360" w:lineRule="auto"/>
              <w:ind w:left="228" w:leftChars="0"/>
              <w:jc w:val="left"/>
              <w:rPr>
                <w:rFonts w:hint="eastAsia" w:ascii="仿宋" w:hAnsi="仿宋" w:eastAsia="仿宋" w:cs="仿宋"/>
                <w:sz w:val="28"/>
              </w:rPr>
            </w:pPr>
            <w:r>
              <w:rPr>
                <w:rFonts w:hint="eastAsia" w:ascii="仿宋" w:hAnsi="仿宋" w:eastAsia="仿宋" w:cs="仿宋"/>
                <w:sz w:val="28"/>
              </w:rPr>
              <w:t>7</w:t>
            </w:r>
          </w:p>
        </w:tc>
        <w:tc>
          <w:tcPr>
            <w:tcW w:w="1277" w:type="dxa"/>
            <w:vMerge w:val="continue"/>
            <w:tcBorders>
              <w:top w:val="nil"/>
            </w:tcBorders>
            <w:vAlign w:val="top"/>
          </w:tcPr>
          <w:p>
            <w:pPr>
              <w:spacing w:line="360" w:lineRule="auto"/>
              <w:rPr>
                <w:rFonts w:hint="eastAsia" w:ascii="仿宋" w:hAnsi="仿宋" w:eastAsia="仿宋" w:cs="仿宋"/>
                <w:sz w:val="2"/>
                <w:szCs w:val="2"/>
              </w:rPr>
            </w:pPr>
          </w:p>
        </w:tc>
        <w:tc>
          <w:tcPr>
            <w:tcW w:w="4346" w:type="dxa"/>
            <w:vAlign w:val="top"/>
          </w:tcPr>
          <w:p>
            <w:pPr>
              <w:pStyle w:val="10"/>
              <w:spacing w:before="0" w:line="360" w:lineRule="auto"/>
              <w:ind w:left="9" w:leftChars="0"/>
              <w:rPr>
                <w:rFonts w:hint="eastAsia" w:ascii="仿宋" w:hAnsi="仿宋" w:eastAsia="仿宋" w:cs="仿宋"/>
                <w:sz w:val="28"/>
                <w:lang w:eastAsia="zh-CN"/>
              </w:rPr>
            </w:pPr>
            <w:r>
              <w:rPr>
                <w:rFonts w:hint="eastAsia" w:ascii="仿宋" w:hAnsi="仿宋" w:eastAsia="仿宋" w:cs="仿宋"/>
                <w:sz w:val="28"/>
                <w:lang w:eastAsia="zh-CN"/>
              </w:rPr>
              <w:t>“粤省事”日均活跃用户数（万名）</w:t>
            </w:r>
          </w:p>
        </w:tc>
        <w:tc>
          <w:tcPr>
            <w:tcW w:w="1564" w:type="dxa"/>
            <w:vAlign w:val="top"/>
          </w:tcPr>
          <w:p>
            <w:pPr>
              <w:pStyle w:val="10"/>
              <w:spacing w:before="0" w:line="360" w:lineRule="auto"/>
              <w:ind w:left="88" w:leftChars="0" w:right="83" w:rightChars="0"/>
              <w:rPr>
                <w:rFonts w:hint="eastAsia" w:ascii="仿宋" w:hAnsi="仿宋" w:eastAsia="仿宋" w:cs="仿宋"/>
                <w:sz w:val="28"/>
                <w:lang w:eastAsia="zh-CN"/>
              </w:rPr>
            </w:pPr>
            <w:r>
              <w:rPr>
                <w:rFonts w:hint="eastAsia" w:ascii="仿宋" w:hAnsi="仿宋" w:eastAsia="仿宋" w:cs="仿宋"/>
                <w:sz w:val="28"/>
                <w:lang w:eastAsia="zh-CN"/>
              </w:rPr>
              <w:t>3</w:t>
            </w:r>
            <w:r>
              <w:rPr>
                <w:rFonts w:ascii="仿宋" w:hAnsi="仿宋" w:eastAsia="仿宋" w:cs="仿宋"/>
                <w:sz w:val="28"/>
                <w:lang w:eastAsia="zh-CN"/>
              </w:rPr>
              <w:t>4.45</w:t>
            </w:r>
          </w:p>
        </w:tc>
        <w:tc>
          <w:tcPr>
            <w:tcW w:w="1050" w:type="dxa"/>
            <w:vAlign w:val="top"/>
          </w:tcPr>
          <w:p>
            <w:pPr>
              <w:pStyle w:val="10"/>
              <w:spacing w:before="0" w:line="360" w:lineRule="auto"/>
              <w:ind w:left="22" w:leftChars="0" w:right="21" w:rightChars="0"/>
              <w:rPr>
                <w:rFonts w:hint="eastAsia" w:ascii="仿宋" w:hAnsi="仿宋" w:eastAsia="仿宋" w:cs="仿宋"/>
                <w:sz w:val="28"/>
              </w:rPr>
            </w:pPr>
            <w:r>
              <w:rPr>
                <w:rFonts w:hint="eastAsia" w:ascii="仿宋" w:hAnsi="仿宋" w:eastAsia="仿宋" w:cs="仿宋"/>
                <w:sz w:val="28"/>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atLeast"/>
        </w:trPr>
        <w:tc>
          <w:tcPr>
            <w:tcW w:w="702" w:type="dxa"/>
            <w:vAlign w:val="top"/>
          </w:tcPr>
          <w:p>
            <w:pPr>
              <w:pStyle w:val="10"/>
              <w:spacing w:before="0" w:line="360" w:lineRule="auto"/>
              <w:ind w:left="228" w:leftChars="0"/>
              <w:jc w:val="left"/>
              <w:rPr>
                <w:rFonts w:hint="eastAsia" w:ascii="仿宋" w:hAnsi="仿宋" w:eastAsia="仿宋" w:cs="仿宋"/>
                <w:sz w:val="28"/>
              </w:rPr>
            </w:pPr>
            <w:r>
              <w:rPr>
                <w:rFonts w:hint="eastAsia" w:ascii="仿宋" w:hAnsi="仿宋" w:eastAsia="仿宋" w:cs="仿宋"/>
                <w:sz w:val="28"/>
              </w:rPr>
              <w:t>8</w:t>
            </w:r>
          </w:p>
        </w:tc>
        <w:tc>
          <w:tcPr>
            <w:tcW w:w="1277" w:type="dxa"/>
            <w:vMerge w:val="continue"/>
            <w:tcBorders>
              <w:top w:val="nil"/>
            </w:tcBorders>
            <w:vAlign w:val="top"/>
          </w:tcPr>
          <w:p>
            <w:pPr>
              <w:spacing w:line="360" w:lineRule="auto"/>
              <w:rPr>
                <w:rFonts w:hint="eastAsia" w:ascii="仿宋" w:hAnsi="仿宋" w:eastAsia="仿宋" w:cs="仿宋"/>
                <w:sz w:val="2"/>
                <w:szCs w:val="2"/>
              </w:rPr>
            </w:pPr>
          </w:p>
        </w:tc>
        <w:tc>
          <w:tcPr>
            <w:tcW w:w="4346" w:type="dxa"/>
            <w:vAlign w:val="top"/>
          </w:tcPr>
          <w:p>
            <w:pPr>
              <w:pStyle w:val="10"/>
              <w:spacing w:before="0" w:line="360" w:lineRule="auto"/>
              <w:ind w:left="9" w:leftChars="0"/>
              <w:rPr>
                <w:rFonts w:hint="eastAsia" w:ascii="仿宋" w:hAnsi="仿宋" w:eastAsia="仿宋" w:cs="仿宋"/>
                <w:sz w:val="28"/>
                <w:lang w:eastAsia="zh-CN"/>
              </w:rPr>
            </w:pPr>
            <w:r>
              <w:rPr>
                <w:rFonts w:hint="eastAsia" w:ascii="仿宋" w:hAnsi="仿宋" w:eastAsia="仿宋" w:cs="仿宋"/>
                <w:sz w:val="28"/>
                <w:lang w:eastAsia="zh-CN"/>
              </w:rPr>
              <w:t>“粤商通”日均活跃用户数（万名）</w:t>
            </w:r>
          </w:p>
        </w:tc>
        <w:tc>
          <w:tcPr>
            <w:tcW w:w="1564" w:type="dxa"/>
            <w:vAlign w:val="top"/>
          </w:tcPr>
          <w:p>
            <w:pPr>
              <w:pStyle w:val="10"/>
              <w:spacing w:before="0" w:line="360" w:lineRule="auto"/>
              <w:ind w:left="5" w:leftChars="0"/>
              <w:rPr>
                <w:rFonts w:hint="eastAsia" w:ascii="仿宋" w:hAnsi="仿宋" w:eastAsia="仿宋" w:cs="仿宋"/>
                <w:sz w:val="28"/>
              </w:rPr>
            </w:pPr>
            <w:r>
              <w:rPr>
                <w:rFonts w:hint="eastAsia" w:ascii="仿宋" w:hAnsi="仿宋" w:eastAsia="仿宋" w:cs="仿宋"/>
                <w:sz w:val="28"/>
                <w:lang w:eastAsia="zh-CN"/>
              </w:rPr>
              <w:t>0.</w:t>
            </w:r>
            <w:r>
              <w:rPr>
                <w:rFonts w:ascii="仿宋" w:hAnsi="仿宋" w:eastAsia="仿宋" w:cs="仿宋"/>
                <w:sz w:val="28"/>
                <w:lang w:eastAsia="zh-CN"/>
              </w:rPr>
              <w:t>165</w:t>
            </w:r>
          </w:p>
        </w:tc>
        <w:tc>
          <w:tcPr>
            <w:tcW w:w="1050" w:type="dxa"/>
            <w:vAlign w:val="top"/>
          </w:tcPr>
          <w:p>
            <w:pPr>
              <w:pStyle w:val="10"/>
              <w:spacing w:before="0" w:line="360" w:lineRule="auto"/>
              <w:ind w:left="23" w:leftChars="0" w:right="21" w:rightChars="0"/>
              <w:rPr>
                <w:rFonts w:hint="eastAsia" w:ascii="仿宋" w:hAnsi="仿宋" w:eastAsia="仿宋" w:cs="仿宋"/>
                <w:sz w:val="28"/>
              </w:rPr>
            </w:pPr>
            <w:r>
              <w:rPr>
                <w:rFonts w:hint="eastAsia" w:ascii="仿宋" w:hAnsi="仿宋" w:eastAsia="仿宋" w:cs="仿宋"/>
                <w:sz w:val="28"/>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8" w:hRule="atLeast"/>
        </w:trPr>
        <w:tc>
          <w:tcPr>
            <w:tcW w:w="702" w:type="dxa"/>
            <w:vAlign w:val="top"/>
          </w:tcPr>
          <w:p>
            <w:pPr>
              <w:pStyle w:val="10"/>
              <w:spacing w:before="0" w:line="360" w:lineRule="auto"/>
              <w:ind w:left="228" w:leftChars="0"/>
              <w:jc w:val="left"/>
              <w:rPr>
                <w:rFonts w:hint="eastAsia" w:ascii="仿宋" w:hAnsi="仿宋" w:eastAsia="仿宋" w:cs="仿宋"/>
                <w:sz w:val="28"/>
              </w:rPr>
            </w:pPr>
            <w:r>
              <w:rPr>
                <w:rFonts w:hint="eastAsia" w:ascii="仿宋" w:hAnsi="仿宋" w:eastAsia="仿宋" w:cs="仿宋"/>
                <w:sz w:val="28"/>
              </w:rPr>
              <w:t>9</w:t>
            </w:r>
          </w:p>
        </w:tc>
        <w:tc>
          <w:tcPr>
            <w:tcW w:w="1277" w:type="dxa"/>
            <w:vMerge w:val="continue"/>
            <w:tcBorders>
              <w:top w:val="nil"/>
            </w:tcBorders>
            <w:vAlign w:val="top"/>
          </w:tcPr>
          <w:p>
            <w:pPr>
              <w:spacing w:line="360" w:lineRule="auto"/>
              <w:rPr>
                <w:rFonts w:hint="eastAsia" w:ascii="仿宋" w:hAnsi="仿宋" w:eastAsia="仿宋" w:cs="仿宋"/>
                <w:sz w:val="2"/>
                <w:szCs w:val="2"/>
              </w:rPr>
            </w:pPr>
          </w:p>
        </w:tc>
        <w:tc>
          <w:tcPr>
            <w:tcW w:w="4346" w:type="dxa"/>
            <w:vAlign w:val="top"/>
          </w:tcPr>
          <w:p>
            <w:pPr>
              <w:pStyle w:val="10"/>
              <w:spacing w:before="0" w:line="360" w:lineRule="auto"/>
              <w:ind w:left="9" w:leftChars="0"/>
              <w:rPr>
                <w:rFonts w:hint="default" w:ascii="仿宋" w:hAnsi="仿宋" w:eastAsia="仿宋" w:cs="仿宋"/>
                <w:sz w:val="28"/>
                <w:lang w:val="en" w:eastAsia="zh-CN"/>
              </w:rPr>
            </w:pPr>
            <w:r>
              <w:rPr>
                <w:rFonts w:hint="eastAsia" w:ascii="仿宋" w:hAnsi="仿宋" w:eastAsia="仿宋" w:cs="仿宋"/>
                <w:sz w:val="28"/>
                <w:lang w:eastAsia="zh-CN"/>
              </w:rPr>
              <w:t>“粤政易”日均活跃度（%）</w:t>
            </w:r>
          </w:p>
        </w:tc>
        <w:tc>
          <w:tcPr>
            <w:tcW w:w="1564" w:type="dxa"/>
            <w:vAlign w:val="top"/>
          </w:tcPr>
          <w:p>
            <w:pPr>
              <w:pStyle w:val="10"/>
              <w:spacing w:before="0" w:line="360" w:lineRule="auto"/>
              <w:ind w:left="88" w:leftChars="0" w:right="83" w:rightChars="0"/>
              <w:rPr>
                <w:rFonts w:hint="default" w:ascii="仿宋" w:hAnsi="仿宋" w:eastAsia="仿宋" w:cs="仿宋"/>
                <w:sz w:val="28"/>
                <w:lang w:val="en-US" w:eastAsia="zh-CN"/>
              </w:rPr>
            </w:pPr>
            <w:r>
              <w:rPr>
                <w:rFonts w:hint="eastAsia" w:ascii="仿宋" w:hAnsi="仿宋" w:eastAsia="仿宋" w:cs="仿宋"/>
                <w:sz w:val="28"/>
                <w:lang w:val="en-US" w:eastAsia="zh-CN"/>
              </w:rPr>
              <w:t>38.86</w:t>
            </w:r>
          </w:p>
        </w:tc>
        <w:tc>
          <w:tcPr>
            <w:tcW w:w="1050" w:type="dxa"/>
            <w:vAlign w:val="top"/>
          </w:tcPr>
          <w:p>
            <w:pPr>
              <w:pStyle w:val="10"/>
              <w:spacing w:before="0" w:line="360" w:lineRule="auto"/>
              <w:ind w:left="23" w:leftChars="0" w:right="20" w:rightChars="0"/>
              <w:rPr>
                <w:rFonts w:hint="default" w:ascii="仿宋" w:hAnsi="仿宋" w:eastAsia="仿宋" w:cs="仿宋"/>
                <w:sz w:val="28"/>
                <w:lang w:val="en-US" w:eastAsia="zh-CN"/>
              </w:rPr>
            </w:pPr>
            <w:r>
              <w:rPr>
                <w:rFonts w:hint="eastAsia" w:ascii="仿宋" w:hAnsi="仿宋" w:eastAsia="仿宋" w:cs="仿宋"/>
                <w:sz w:val="28"/>
                <w:lang w:val="en-US"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atLeast"/>
        </w:trPr>
        <w:tc>
          <w:tcPr>
            <w:tcW w:w="702" w:type="dxa"/>
            <w:vAlign w:val="top"/>
          </w:tcPr>
          <w:p>
            <w:pPr>
              <w:pStyle w:val="10"/>
              <w:spacing w:before="0" w:line="360" w:lineRule="auto"/>
              <w:ind w:left="132" w:leftChars="0"/>
              <w:jc w:val="left"/>
              <w:rPr>
                <w:rFonts w:hint="eastAsia" w:ascii="仿宋" w:hAnsi="仿宋" w:eastAsia="仿宋" w:cs="仿宋"/>
                <w:sz w:val="28"/>
              </w:rPr>
            </w:pPr>
            <w:r>
              <w:rPr>
                <w:rFonts w:hint="eastAsia" w:ascii="仿宋" w:hAnsi="仿宋" w:eastAsia="仿宋" w:cs="仿宋"/>
                <w:sz w:val="28"/>
              </w:rPr>
              <w:t>10</w:t>
            </w:r>
          </w:p>
        </w:tc>
        <w:tc>
          <w:tcPr>
            <w:tcW w:w="1277" w:type="dxa"/>
            <w:vMerge w:val="continue"/>
            <w:tcBorders>
              <w:top w:val="nil"/>
            </w:tcBorders>
            <w:vAlign w:val="top"/>
          </w:tcPr>
          <w:p>
            <w:pPr>
              <w:spacing w:line="360" w:lineRule="auto"/>
              <w:rPr>
                <w:rFonts w:hint="eastAsia" w:ascii="仿宋" w:hAnsi="仿宋" w:eastAsia="仿宋" w:cs="仿宋"/>
                <w:sz w:val="2"/>
                <w:szCs w:val="2"/>
              </w:rPr>
            </w:pPr>
          </w:p>
        </w:tc>
        <w:tc>
          <w:tcPr>
            <w:tcW w:w="4346" w:type="dxa"/>
            <w:vAlign w:val="top"/>
          </w:tcPr>
          <w:p>
            <w:pPr>
              <w:pStyle w:val="10"/>
              <w:spacing w:before="0" w:line="360" w:lineRule="auto"/>
              <w:ind w:left="6" w:leftChars="0"/>
              <w:rPr>
                <w:rFonts w:hint="eastAsia" w:ascii="仿宋" w:hAnsi="仿宋" w:eastAsia="仿宋" w:cs="仿宋"/>
                <w:sz w:val="28"/>
                <w:lang w:eastAsia="zh-CN"/>
              </w:rPr>
            </w:pPr>
            <w:r>
              <w:rPr>
                <w:rFonts w:hint="eastAsia" w:ascii="仿宋" w:hAnsi="仿宋" w:eastAsia="仿宋" w:cs="仿宋"/>
                <w:sz w:val="28"/>
                <w:lang w:eastAsia="zh-CN"/>
              </w:rPr>
              <w:t>“一网统管”行业覆盖率（%）</w:t>
            </w:r>
          </w:p>
        </w:tc>
        <w:tc>
          <w:tcPr>
            <w:tcW w:w="1564" w:type="dxa"/>
            <w:vAlign w:val="top"/>
          </w:tcPr>
          <w:p>
            <w:pPr>
              <w:pStyle w:val="10"/>
              <w:spacing w:before="0" w:line="360" w:lineRule="auto"/>
              <w:ind w:left="4" w:leftChars="0"/>
              <w:rPr>
                <w:rFonts w:hint="eastAsia" w:ascii="仿宋" w:hAnsi="仿宋" w:eastAsia="仿宋" w:cs="仿宋"/>
                <w:sz w:val="28"/>
                <w:lang w:eastAsia="zh-CN"/>
              </w:rPr>
            </w:pPr>
            <w:r>
              <w:rPr>
                <w:rFonts w:hint="eastAsia" w:ascii="仿宋" w:hAnsi="仿宋" w:eastAsia="仿宋" w:cs="仿宋"/>
                <w:sz w:val="28"/>
                <w:lang w:val="en-US" w:eastAsia="zh-CN"/>
              </w:rPr>
              <w:t>0</w:t>
            </w:r>
          </w:p>
        </w:tc>
        <w:tc>
          <w:tcPr>
            <w:tcW w:w="1050" w:type="dxa"/>
            <w:vAlign w:val="top"/>
          </w:tcPr>
          <w:p>
            <w:pPr>
              <w:pStyle w:val="10"/>
              <w:spacing w:before="0" w:line="360" w:lineRule="auto"/>
              <w:ind w:left="22" w:leftChars="0" w:right="21" w:rightChars="0"/>
              <w:rPr>
                <w:rFonts w:hint="eastAsia" w:ascii="仿宋" w:hAnsi="仿宋" w:eastAsia="仿宋" w:cs="仿宋"/>
                <w:sz w:val="28"/>
              </w:rPr>
            </w:pPr>
            <w:r>
              <w:rPr>
                <w:rFonts w:hint="eastAsia" w:ascii="仿宋" w:hAnsi="仿宋" w:eastAsia="仿宋" w:cs="仿宋"/>
                <w:sz w:val="2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8" w:hRule="atLeast"/>
        </w:trPr>
        <w:tc>
          <w:tcPr>
            <w:tcW w:w="702" w:type="dxa"/>
            <w:vAlign w:val="top"/>
          </w:tcPr>
          <w:p>
            <w:pPr>
              <w:pStyle w:val="10"/>
              <w:spacing w:before="0" w:line="360" w:lineRule="auto"/>
              <w:ind w:left="132" w:leftChars="0"/>
              <w:jc w:val="left"/>
              <w:rPr>
                <w:rFonts w:hint="eastAsia" w:ascii="仿宋" w:hAnsi="仿宋" w:eastAsia="仿宋" w:cs="仿宋"/>
                <w:sz w:val="28"/>
              </w:rPr>
            </w:pPr>
            <w:r>
              <w:rPr>
                <w:rFonts w:hint="eastAsia" w:ascii="仿宋" w:hAnsi="仿宋" w:eastAsia="仿宋" w:cs="仿宋"/>
                <w:sz w:val="28"/>
              </w:rPr>
              <w:t>11</w:t>
            </w:r>
          </w:p>
        </w:tc>
        <w:tc>
          <w:tcPr>
            <w:tcW w:w="1277" w:type="dxa"/>
            <w:vMerge w:val="restart"/>
            <w:vAlign w:val="top"/>
          </w:tcPr>
          <w:p>
            <w:pPr>
              <w:pStyle w:val="10"/>
              <w:spacing w:before="0" w:line="360" w:lineRule="auto"/>
              <w:jc w:val="left"/>
              <w:rPr>
                <w:rFonts w:hint="eastAsia" w:ascii="仿宋" w:hAnsi="仿宋" w:eastAsia="仿宋" w:cs="仿宋"/>
                <w:sz w:val="28"/>
              </w:rPr>
            </w:pPr>
          </w:p>
          <w:p>
            <w:pPr>
              <w:pStyle w:val="10"/>
              <w:spacing w:before="0" w:line="360" w:lineRule="auto"/>
              <w:jc w:val="left"/>
              <w:rPr>
                <w:rFonts w:hint="eastAsia" w:ascii="仿宋" w:hAnsi="仿宋" w:eastAsia="仿宋" w:cs="仿宋"/>
                <w:sz w:val="35"/>
              </w:rPr>
            </w:pPr>
          </w:p>
          <w:p>
            <w:pPr>
              <w:pStyle w:val="10"/>
              <w:spacing w:before="0" w:line="360" w:lineRule="auto"/>
              <w:ind w:left="76" w:leftChars="0" w:right="66" w:rightChars="0" w:firstLine="140" w:firstLineChars="0"/>
              <w:jc w:val="left"/>
              <w:rPr>
                <w:rFonts w:hint="eastAsia" w:ascii="仿宋" w:hAnsi="仿宋" w:eastAsia="仿宋" w:cs="仿宋"/>
                <w:sz w:val="28"/>
              </w:rPr>
            </w:pPr>
            <w:r>
              <w:rPr>
                <w:rFonts w:hint="eastAsia" w:ascii="仿宋" w:hAnsi="仿宋" w:eastAsia="仿宋" w:cs="仿宋"/>
                <w:sz w:val="28"/>
              </w:rPr>
              <w:t>数字化驱动能力</w:t>
            </w:r>
          </w:p>
        </w:tc>
        <w:tc>
          <w:tcPr>
            <w:tcW w:w="4346" w:type="dxa"/>
            <w:vAlign w:val="top"/>
          </w:tcPr>
          <w:p>
            <w:pPr>
              <w:pStyle w:val="10"/>
              <w:spacing w:before="0" w:line="360" w:lineRule="auto"/>
              <w:ind w:left="6" w:leftChars="0"/>
              <w:rPr>
                <w:rFonts w:hint="eastAsia" w:ascii="仿宋" w:hAnsi="仿宋" w:eastAsia="仿宋" w:cs="仿宋"/>
                <w:sz w:val="28"/>
                <w:lang w:eastAsia="zh-CN"/>
              </w:rPr>
            </w:pPr>
            <w:r>
              <w:rPr>
                <w:rFonts w:hint="eastAsia" w:ascii="仿宋" w:hAnsi="仿宋" w:eastAsia="仿宋" w:cs="仿宋"/>
                <w:sz w:val="28"/>
                <w:lang w:eastAsia="zh-CN"/>
              </w:rPr>
              <w:t>应共享的数据需求满足率（%）</w:t>
            </w:r>
          </w:p>
        </w:tc>
        <w:tc>
          <w:tcPr>
            <w:tcW w:w="1564" w:type="dxa"/>
            <w:vAlign w:val="top"/>
          </w:tcPr>
          <w:p>
            <w:pPr>
              <w:pStyle w:val="10"/>
              <w:spacing w:before="0" w:line="360" w:lineRule="auto"/>
              <w:ind w:left="88" w:leftChars="0" w:right="83" w:rightChars="0"/>
              <w:rPr>
                <w:rFonts w:hint="eastAsia" w:ascii="仿宋" w:hAnsi="仿宋" w:eastAsia="仿宋" w:cs="仿宋"/>
                <w:sz w:val="28"/>
                <w:lang w:eastAsia="zh-CN"/>
              </w:rPr>
            </w:pPr>
            <w:r>
              <w:rPr>
                <w:rFonts w:hint="eastAsia" w:ascii="仿宋" w:hAnsi="仿宋" w:eastAsia="仿宋" w:cs="仿宋"/>
                <w:sz w:val="28"/>
                <w:lang w:eastAsia="zh-CN"/>
              </w:rPr>
              <w:t>100%</w:t>
            </w:r>
          </w:p>
        </w:tc>
        <w:tc>
          <w:tcPr>
            <w:tcW w:w="1050" w:type="dxa"/>
            <w:vAlign w:val="top"/>
          </w:tcPr>
          <w:p>
            <w:pPr>
              <w:pStyle w:val="10"/>
              <w:spacing w:before="0" w:line="360" w:lineRule="auto"/>
              <w:ind w:left="23" w:leftChars="0" w:right="19" w:rightChars="0"/>
              <w:rPr>
                <w:rFonts w:hint="eastAsia" w:ascii="仿宋" w:hAnsi="仿宋" w:eastAsia="仿宋" w:cs="仿宋"/>
                <w:sz w:val="28"/>
              </w:rPr>
            </w:pPr>
            <w:r>
              <w:rPr>
                <w:rFonts w:hint="eastAsia" w:ascii="仿宋" w:hAnsi="仿宋" w:eastAsia="仿宋" w:cs="仿宋"/>
                <w:sz w:val="28"/>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atLeast"/>
        </w:trPr>
        <w:tc>
          <w:tcPr>
            <w:tcW w:w="702" w:type="dxa"/>
            <w:vAlign w:val="top"/>
          </w:tcPr>
          <w:p>
            <w:pPr>
              <w:pStyle w:val="10"/>
              <w:spacing w:before="0" w:line="360" w:lineRule="auto"/>
              <w:ind w:left="132" w:leftChars="0"/>
              <w:jc w:val="left"/>
              <w:rPr>
                <w:rFonts w:hint="eastAsia" w:ascii="仿宋" w:hAnsi="仿宋" w:eastAsia="仿宋" w:cs="仿宋"/>
                <w:sz w:val="28"/>
              </w:rPr>
            </w:pPr>
            <w:r>
              <w:rPr>
                <w:rFonts w:hint="eastAsia" w:ascii="仿宋" w:hAnsi="仿宋" w:eastAsia="仿宋" w:cs="仿宋"/>
                <w:sz w:val="28"/>
              </w:rPr>
              <w:t>12</w:t>
            </w:r>
          </w:p>
        </w:tc>
        <w:tc>
          <w:tcPr>
            <w:tcW w:w="1277" w:type="dxa"/>
            <w:vMerge w:val="continue"/>
            <w:tcBorders>
              <w:top w:val="nil"/>
            </w:tcBorders>
            <w:vAlign w:val="top"/>
          </w:tcPr>
          <w:p>
            <w:pPr>
              <w:spacing w:line="360" w:lineRule="auto"/>
              <w:rPr>
                <w:rFonts w:hint="eastAsia" w:ascii="仿宋" w:hAnsi="仿宋" w:eastAsia="仿宋" w:cs="仿宋"/>
                <w:sz w:val="2"/>
                <w:szCs w:val="2"/>
              </w:rPr>
            </w:pPr>
          </w:p>
        </w:tc>
        <w:tc>
          <w:tcPr>
            <w:tcW w:w="4346" w:type="dxa"/>
            <w:vAlign w:val="top"/>
          </w:tcPr>
          <w:p>
            <w:pPr>
              <w:pStyle w:val="10"/>
              <w:spacing w:before="0" w:line="360" w:lineRule="auto"/>
              <w:ind w:left="12" w:leftChars="0"/>
              <w:rPr>
                <w:rFonts w:hint="eastAsia" w:ascii="仿宋" w:hAnsi="仿宋" w:eastAsia="仿宋" w:cs="仿宋"/>
                <w:sz w:val="28"/>
                <w:lang w:eastAsia="zh-CN"/>
              </w:rPr>
            </w:pPr>
            <w:r>
              <w:rPr>
                <w:rFonts w:hint="eastAsia" w:ascii="仿宋" w:hAnsi="仿宋" w:eastAsia="仿宋" w:cs="仿宋"/>
                <w:sz w:val="28"/>
                <w:lang w:eastAsia="zh-CN"/>
              </w:rPr>
              <w:t>公共数据资源社会开放数据集（个）</w:t>
            </w:r>
          </w:p>
        </w:tc>
        <w:tc>
          <w:tcPr>
            <w:tcW w:w="1564" w:type="dxa"/>
            <w:vAlign w:val="top"/>
          </w:tcPr>
          <w:p>
            <w:pPr>
              <w:pStyle w:val="10"/>
              <w:spacing w:before="0" w:line="360" w:lineRule="auto"/>
              <w:ind w:left="86" w:leftChars="0" w:right="83" w:rightChars="0"/>
              <w:rPr>
                <w:rFonts w:hint="eastAsia" w:ascii="仿宋" w:hAnsi="仿宋" w:eastAsia="仿宋" w:cs="仿宋"/>
                <w:sz w:val="28"/>
                <w:lang w:eastAsia="zh-CN"/>
              </w:rPr>
            </w:pPr>
            <w:r>
              <w:rPr>
                <w:rFonts w:hint="eastAsia" w:ascii="仿宋" w:hAnsi="仿宋" w:eastAsia="仿宋" w:cs="仿宋"/>
                <w:sz w:val="28"/>
                <w:lang w:eastAsia="zh-CN"/>
              </w:rPr>
              <w:t>154</w:t>
            </w:r>
          </w:p>
        </w:tc>
        <w:tc>
          <w:tcPr>
            <w:tcW w:w="1050" w:type="dxa"/>
            <w:vAlign w:val="top"/>
          </w:tcPr>
          <w:p>
            <w:pPr>
              <w:pStyle w:val="10"/>
              <w:spacing w:before="0" w:line="360" w:lineRule="auto"/>
              <w:ind w:left="23" w:leftChars="0" w:right="21" w:rightChars="0"/>
              <w:rPr>
                <w:rFonts w:hint="eastAsia" w:ascii="仿宋" w:hAnsi="仿宋" w:eastAsia="仿宋" w:cs="仿宋"/>
                <w:sz w:val="28"/>
              </w:rPr>
            </w:pPr>
            <w:r>
              <w:rPr>
                <w:rFonts w:hint="eastAsia" w:ascii="仿宋" w:hAnsi="仿宋" w:eastAsia="仿宋" w:cs="仿宋"/>
                <w:sz w:val="28"/>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8" w:hRule="atLeast"/>
        </w:trPr>
        <w:tc>
          <w:tcPr>
            <w:tcW w:w="702" w:type="dxa"/>
            <w:vAlign w:val="top"/>
          </w:tcPr>
          <w:p>
            <w:pPr>
              <w:pStyle w:val="10"/>
              <w:spacing w:before="0" w:line="360" w:lineRule="auto"/>
              <w:ind w:left="132" w:leftChars="0"/>
              <w:jc w:val="left"/>
              <w:rPr>
                <w:rFonts w:hint="eastAsia" w:ascii="仿宋" w:hAnsi="仿宋" w:eastAsia="仿宋" w:cs="仿宋"/>
                <w:sz w:val="28"/>
              </w:rPr>
            </w:pPr>
            <w:r>
              <w:rPr>
                <w:rFonts w:hint="eastAsia" w:ascii="仿宋" w:hAnsi="仿宋" w:eastAsia="仿宋" w:cs="仿宋"/>
                <w:sz w:val="28"/>
              </w:rPr>
              <w:t>13</w:t>
            </w:r>
          </w:p>
        </w:tc>
        <w:tc>
          <w:tcPr>
            <w:tcW w:w="1277" w:type="dxa"/>
            <w:vMerge w:val="continue"/>
            <w:tcBorders>
              <w:top w:val="nil"/>
            </w:tcBorders>
            <w:vAlign w:val="top"/>
          </w:tcPr>
          <w:p>
            <w:pPr>
              <w:spacing w:line="360" w:lineRule="auto"/>
              <w:rPr>
                <w:rFonts w:hint="eastAsia" w:ascii="仿宋" w:hAnsi="仿宋" w:eastAsia="仿宋" w:cs="仿宋"/>
                <w:sz w:val="2"/>
                <w:szCs w:val="2"/>
              </w:rPr>
            </w:pPr>
          </w:p>
        </w:tc>
        <w:tc>
          <w:tcPr>
            <w:tcW w:w="4346" w:type="dxa"/>
            <w:vAlign w:val="top"/>
          </w:tcPr>
          <w:p>
            <w:pPr>
              <w:pStyle w:val="10"/>
              <w:spacing w:before="0" w:line="360" w:lineRule="auto"/>
              <w:ind w:left="10" w:leftChars="0"/>
              <w:rPr>
                <w:rFonts w:hint="eastAsia" w:ascii="仿宋" w:hAnsi="仿宋" w:eastAsia="仿宋" w:cs="仿宋"/>
                <w:sz w:val="28"/>
                <w:lang w:eastAsia="zh-CN"/>
              </w:rPr>
            </w:pPr>
            <w:r>
              <w:rPr>
                <w:rFonts w:hint="eastAsia" w:ascii="仿宋" w:hAnsi="仿宋" w:eastAsia="仿宋" w:cs="仿宋"/>
                <w:sz w:val="28"/>
                <w:lang w:eastAsia="zh-CN"/>
              </w:rPr>
              <w:t>视频终端接入大数据中心数量（万路）</w:t>
            </w:r>
          </w:p>
        </w:tc>
        <w:tc>
          <w:tcPr>
            <w:tcW w:w="1564" w:type="dxa"/>
            <w:vAlign w:val="top"/>
          </w:tcPr>
          <w:p>
            <w:pPr>
              <w:pStyle w:val="10"/>
              <w:spacing w:before="0" w:line="360" w:lineRule="auto"/>
              <w:ind w:left="4" w:leftChars="0"/>
              <w:rPr>
                <w:rFonts w:hint="eastAsia" w:ascii="仿宋" w:hAnsi="仿宋" w:eastAsia="仿宋" w:cs="仿宋"/>
                <w:sz w:val="28"/>
                <w:lang w:eastAsia="zh-CN"/>
              </w:rPr>
            </w:pPr>
            <w:r>
              <w:rPr>
                <w:rFonts w:hint="eastAsia" w:ascii="仿宋" w:hAnsi="仿宋" w:eastAsia="仿宋" w:cs="仿宋"/>
                <w:sz w:val="28"/>
                <w:lang w:val="en-US" w:eastAsia="zh-CN"/>
              </w:rPr>
              <w:t>0</w:t>
            </w:r>
          </w:p>
        </w:tc>
        <w:tc>
          <w:tcPr>
            <w:tcW w:w="1050" w:type="dxa"/>
            <w:vAlign w:val="top"/>
          </w:tcPr>
          <w:p>
            <w:pPr>
              <w:pStyle w:val="10"/>
              <w:spacing w:before="0" w:line="360" w:lineRule="auto"/>
              <w:ind w:left="22" w:leftChars="0" w:right="21" w:rightChars="0"/>
              <w:rPr>
                <w:rFonts w:hint="eastAsia" w:ascii="仿宋" w:hAnsi="仿宋" w:eastAsia="仿宋" w:cs="仿宋"/>
                <w:sz w:val="28"/>
              </w:rPr>
            </w:pPr>
            <w:r>
              <w:rPr>
                <w:rFonts w:hint="eastAsia" w:ascii="仿宋" w:hAnsi="仿宋" w:eastAsia="仿宋" w:cs="仿宋"/>
                <w:sz w:val="2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8" w:hRule="atLeast"/>
        </w:trPr>
        <w:tc>
          <w:tcPr>
            <w:tcW w:w="702" w:type="dxa"/>
            <w:vAlign w:val="top"/>
          </w:tcPr>
          <w:p>
            <w:pPr>
              <w:pStyle w:val="10"/>
              <w:spacing w:before="0" w:line="360" w:lineRule="auto"/>
              <w:ind w:left="132" w:leftChars="0"/>
              <w:jc w:val="left"/>
              <w:rPr>
                <w:rFonts w:hint="eastAsia" w:ascii="仿宋" w:hAnsi="仿宋" w:eastAsia="仿宋" w:cs="仿宋"/>
                <w:sz w:val="28"/>
              </w:rPr>
            </w:pPr>
            <w:r>
              <w:rPr>
                <w:rFonts w:hint="eastAsia" w:ascii="仿宋" w:hAnsi="仿宋" w:eastAsia="仿宋" w:cs="仿宋"/>
                <w:sz w:val="28"/>
              </w:rPr>
              <w:t>14</w:t>
            </w:r>
          </w:p>
        </w:tc>
        <w:tc>
          <w:tcPr>
            <w:tcW w:w="1277" w:type="dxa"/>
            <w:vMerge w:val="continue"/>
            <w:tcBorders>
              <w:top w:val="nil"/>
            </w:tcBorders>
            <w:vAlign w:val="top"/>
          </w:tcPr>
          <w:p>
            <w:pPr>
              <w:spacing w:line="360" w:lineRule="auto"/>
              <w:rPr>
                <w:rFonts w:hint="eastAsia" w:ascii="仿宋" w:hAnsi="仿宋" w:eastAsia="仿宋" w:cs="仿宋"/>
                <w:sz w:val="2"/>
                <w:szCs w:val="2"/>
              </w:rPr>
            </w:pPr>
          </w:p>
        </w:tc>
        <w:tc>
          <w:tcPr>
            <w:tcW w:w="4346" w:type="dxa"/>
            <w:vAlign w:val="top"/>
          </w:tcPr>
          <w:p>
            <w:pPr>
              <w:pStyle w:val="10"/>
              <w:spacing w:before="0" w:line="360" w:lineRule="auto"/>
              <w:ind w:left="10" w:leftChars="0"/>
              <w:rPr>
                <w:rFonts w:hint="eastAsia" w:ascii="仿宋" w:hAnsi="仿宋" w:eastAsia="仿宋" w:cs="仿宋"/>
                <w:sz w:val="28"/>
                <w:lang w:eastAsia="zh-CN"/>
              </w:rPr>
            </w:pPr>
            <w:r>
              <w:rPr>
                <w:rFonts w:hint="eastAsia" w:ascii="仿宋" w:hAnsi="仿宋" w:eastAsia="仿宋" w:cs="仿宋"/>
                <w:sz w:val="28"/>
                <w:lang w:eastAsia="zh-CN"/>
              </w:rPr>
              <w:t>感知终端接入大数据中心数量（万路）</w:t>
            </w:r>
          </w:p>
        </w:tc>
        <w:tc>
          <w:tcPr>
            <w:tcW w:w="1564" w:type="dxa"/>
            <w:vAlign w:val="top"/>
          </w:tcPr>
          <w:p>
            <w:pPr>
              <w:pStyle w:val="10"/>
              <w:spacing w:before="0" w:line="360" w:lineRule="auto"/>
              <w:ind w:left="4" w:leftChars="0"/>
              <w:rPr>
                <w:rFonts w:hint="eastAsia" w:ascii="仿宋" w:hAnsi="仿宋" w:eastAsia="仿宋" w:cs="仿宋"/>
                <w:sz w:val="28"/>
                <w:lang w:eastAsia="zh-CN"/>
              </w:rPr>
            </w:pPr>
            <w:r>
              <w:rPr>
                <w:rFonts w:hint="eastAsia" w:ascii="仿宋" w:hAnsi="仿宋" w:eastAsia="仿宋" w:cs="仿宋"/>
                <w:sz w:val="28"/>
                <w:lang w:val="en-US" w:eastAsia="zh-CN"/>
              </w:rPr>
              <w:t>0</w:t>
            </w:r>
          </w:p>
        </w:tc>
        <w:tc>
          <w:tcPr>
            <w:tcW w:w="1050" w:type="dxa"/>
            <w:vAlign w:val="top"/>
          </w:tcPr>
          <w:p>
            <w:pPr>
              <w:pStyle w:val="10"/>
              <w:spacing w:before="0" w:line="360" w:lineRule="auto"/>
              <w:ind w:left="23" w:leftChars="0" w:right="19" w:rightChars="0"/>
              <w:rPr>
                <w:rFonts w:hint="eastAsia" w:ascii="仿宋" w:hAnsi="仿宋" w:eastAsia="仿宋" w:cs="仿宋"/>
                <w:sz w:val="28"/>
              </w:rPr>
            </w:pPr>
            <w:r>
              <w:rPr>
                <w:rFonts w:hint="eastAsia" w:ascii="仿宋" w:hAnsi="仿宋" w:eastAsia="仿宋" w:cs="仿宋"/>
                <w:sz w:val="28"/>
              </w:rPr>
              <w:t>30</w:t>
            </w:r>
          </w:p>
        </w:tc>
      </w:tr>
    </w:tbl>
    <w:tbl>
      <w:tblPr>
        <w:tblStyle w:val="8"/>
        <w:tblpPr w:leftFromText="180" w:rightFromText="180" w:vertAnchor="text" w:horzAnchor="page" w:tblpX="1477" w:tblpY="222"/>
        <w:tblOverlap w:val="never"/>
        <w:tblW w:w="89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305"/>
        <w:gridCol w:w="4335"/>
        <w:gridCol w:w="1560"/>
        <w:gridCol w:w="10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8" w:hRule="atLeast"/>
        </w:trPr>
        <w:tc>
          <w:tcPr>
            <w:tcW w:w="67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133" w:leftChars="0" w:right="0" w:rightChars="0"/>
              <w:jc w:val="left"/>
              <w:textAlignment w:val="auto"/>
              <w:rPr>
                <w:rFonts w:hint="eastAsia" w:ascii="仿宋" w:hAnsi="仿宋" w:eastAsia="仿宋" w:cs="仿宋"/>
                <w:sz w:val="28"/>
                <w:szCs w:val="22"/>
                <w:lang w:val="en-US" w:eastAsia="en-US" w:bidi="ar-SA"/>
              </w:rPr>
            </w:pPr>
            <w:r>
              <w:rPr>
                <w:rFonts w:hint="eastAsia" w:ascii="仿宋" w:hAnsi="仿宋" w:eastAsia="仿宋" w:cs="仿宋"/>
                <w:sz w:val="28"/>
              </w:rPr>
              <w:t>15</w:t>
            </w:r>
          </w:p>
        </w:tc>
        <w:tc>
          <w:tcPr>
            <w:tcW w:w="1305" w:type="dxa"/>
            <w:vMerge w:val="restart"/>
            <w:tcBorders>
              <w:top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hint="eastAsia" w:ascii="仿宋" w:hAnsi="仿宋" w:eastAsia="仿宋" w:cs="仿宋"/>
                <w:sz w:val="2"/>
                <w:szCs w:val="2"/>
              </w:rPr>
            </w:pPr>
          </w:p>
        </w:tc>
        <w:tc>
          <w:tcPr>
            <w:tcW w:w="433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10" w:leftChars="0" w:right="0" w:rightChars="0"/>
              <w:textAlignment w:val="auto"/>
              <w:rPr>
                <w:rFonts w:hint="eastAsia" w:ascii="仿宋" w:hAnsi="仿宋" w:eastAsia="仿宋" w:cs="仿宋"/>
                <w:sz w:val="28"/>
                <w:szCs w:val="22"/>
                <w:lang w:val="en-US" w:eastAsia="en-US" w:bidi="ar-SA"/>
              </w:rPr>
            </w:pPr>
            <w:r>
              <w:rPr>
                <w:rFonts w:hint="eastAsia" w:ascii="仿宋" w:hAnsi="仿宋" w:eastAsia="仿宋" w:cs="仿宋"/>
                <w:sz w:val="28"/>
              </w:rPr>
              <w:t>政务云资源算力规模（万核）</w:t>
            </w:r>
          </w:p>
        </w:tc>
        <w:tc>
          <w:tcPr>
            <w:tcW w:w="1560" w:type="dxa"/>
            <w:vAlign w:val="top"/>
          </w:tcPr>
          <w:p>
            <w:pPr>
              <w:pStyle w:val="10"/>
              <w:spacing w:before="0" w:line="360" w:lineRule="auto"/>
              <w:ind w:left="88" w:leftChars="0" w:right="83" w:rightChars="0"/>
              <w:rPr>
                <w:rFonts w:hint="eastAsia" w:ascii="仿宋" w:hAnsi="仿宋" w:eastAsia="仿宋" w:cs="仿宋"/>
                <w:sz w:val="28"/>
                <w:szCs w:val="22"/>
                <w:lang w:val="en-US" w:eastAsia="en-US" w:bidi="ar-SA"/>
              </w:rPr>
            </w:pPr>
            <w:r>
              <w:rPr>
                <w:rFonts w:ascii="仿宋" w:hAnsi="仿宋" w:eastAsia="仿宋" w:cs="仿宋"/>
                <w:sz w:val="28"/>
                <w:lang w:eastAsia="zh-CN"/>
              </w:rPr>
              <w:t>49</w:t>
            </w:r>
          </w:p>
        </w:tc>
        <w:tc>
          <w:tcPr>
            <w:tcW w:w="103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23" w:leftChars="0" w:right="19" w:rightChars="0"/>
              <w:jc w:val="center"/>
              <w:textAlignment w:val="auto"/>
              <w:rPr>
                <w:rFonts w:hint="eastAsia" w:ascii="仿宋" w:hAnsi="仿宋" w:eastAsia="仿宋" w:cs="仿宋"/>
                <w:sz w:val="28"/>
                <w:szCs w:val="22"/>
                <w:lang w:val="en-US" w:eastAsia="en-US" w:bidi="ar-SA"/>
              </w:rPr>
            </w:pPr>
            <w:r>
              <w:rPr>
                <w:rFonts w:hint="eastAsia" w:ascii="仿宋" w:hAnsi="仿宋" w:eastAsia="仿宋" w:cs="仿宋"/>
                <w:sz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8" w:hRule="atLeast"/>
        </w:trPr>
        <w:tc>
          <w:tcPr>
            <w:tcW w:w="67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133" w:leftChars="0" w:right="0" w:rightChars="0"/>
              <w:jc w:val="left"/>
              <w:textAlignment w:val="auto"/>
              <w:rPr>
                <w:rFonts w:hint="eastAsia" w:ascii="仿宋" w:hAnsi="仿宋" w:eastAsia="仿宋" w:cs="仿宋"/>
                <w:sz w:val="28"/>
                <w:szCs w:val="22"/>
                <w:lang w:val="en-US" w:eastAsia="en-US" w:bidi="ar-SA"/>
              </w:rPr>
            </w:pPr>
            <w:r>
              <w:rPr>
                <w:rFonts w:hint="eastAsia" w:ascii="仿宋" w:hAnsi="仿宋" w:eastAsia="仿宋" w:cs="仿宋"/>
                <w:sz w:val="28"/>
              </w:rPr>
              <w:t>16</w:t>
            </w:r>
          </w:p>
        </w:tc>
        <w:tc>
          <w:tcPr>
            <w:tcW w:w="1305"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hint="eastAsia" w:ascii="仿宋" w:hAnsi="仿宋" w:eastAsia="仿宋" w:cs="仿宋"/>
                <w:sz w:val="2"/>
                <w:szCs w:val="2"/>
              </w:rPr>
            </w:pPr>
          </w:p>
        </w:tc>
        <w:tc>
          <w:tcPr>
            <w:tcW w:w="433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5" w:leftChars="0" w:right="0" w:rightChars="0"/>
              <w:textAlignment w:val="auto"/>
              <w:rPr>
                <w:rFonts w:hint="eastAsia" w:ascii="仿宋" w:hAnsi="仿宋" w:eastAsia="仿宋" w:cs="仿宋"/>
                <w:sz w:val="28"/>
                <w:szCs w:val="22"/>
                <w:lang w:val="en-US" w:eastAsia="en-US" w:bidi="ar-SA"/>
              </w:rPr>
            </w:pPr>
            <w:r>
              <w:rPr>
                <w:rFonts w:hint="eastAsia" w:ascii="仿宋" w:hAnsi="仿宋" w:eastAsia="仿宋" w:cs="仿宋"/>
                <w:sz w:val="28"/>
              </w:rPr>
              <w:t>政务外网接入率（%）</w:t>
            </w:r>
          </w:p>
        </w:tc>
        <w:tc>
          <w:tcPr>
            <w:tcW w:w="1560"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88" w:leftChars="0" w:right="83" w:rightChars="0"/>
              <w:jc w:val="center"/>
              <w:textAlignment w:val="auto"/>
              <w:rPr>
                <w:rFonts w:hint="default" w:ascii="仿宋" w:hAnsi="仿宋" w:eastAsia="仿宋" w:cs="仿宋"/>
                <w:sz w:val="28"/>
                <w:szCs w:val="22"/>
                <w:lang w:val="en-US" w:eastAsia="zh-CN" w:bidi="ar-SA"/>
              </w:rPr>
            </w:pPr>
            <w:r>
              <w:rPr>
                <w:rFonts w:hint="eastAsia" w:ascii="仿宋" w:hAnsi="仿宋" w:eastAsia="仿宋" w:cs="仿宋"/>
                <w:sz w:val="28"/>
                <w:szCs w:val="22"/>
                <w:lang w:val="en-US" w:eastAsia="zh-CN" w:bidi="ar-SA"/>
              </w:rPr>
              <w:t>100</w:t>
            </w:r>
          </w:p>
        </w:tc>
        <w:tc>
          <w:tcPr>
            <w:tcW w:w="103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23" w:leftChars="0" w:right="19" w:rightChars="0"/>
              <w:jc w:val="center"/>
              <w:textAlignment w:val="auto"/>
              <w:rPr>
                <w:rFonts w:hint="eastAsia" w:ascii="仿宋" w:hAnsi="仿宋" w:eastAsia="仿宋" w:cs="仿宋"/>
                <w:sz w:val="28"/>
                <w:szCs w:val="22"/>
                <w:lang w:val="en-US" w:eastAsia="en-US" w:bidi="ar-SA"/>
              </w:rPr>
            </w:pPr>
            <w:r>
              <w:rPr>
                <w:rFonts w:hint="eastAsia" w:ascii="仿宋" w:hAnsi="仿宋" w:eastAsia="仿宋" w:cs="仿宋"/>
                <w:sz w:val="28"/>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8" w:hRule="atLeast"/>
        </w:trPr>
        <w:tc>
          <w:tcPr>
            <w:tcW w:w="67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133" w:leftChars="0" w:right="0" w:rightChars="0"/>
              <w:jc w:val="left"/>
              <w:textAlignment w:val="auto"/>
              <w:rPr>
                <w:rFonts w:hint="eastAsia" w:ascii="仿宋" w:hAnsi="仿宋" w:eastAsia="仿宋" w:cs="仿宋"/>
                <w:sz w:val="28"/>
                <w:szCs w:val="22"/>
                <w:lang w:val="en-US" w:eastAsia="en-US" w:bidi="ar-SA"/>
              </w:rPr>
            </w:pPr>
            <w:r>
              <w:rPr>
                <w:rFonts w:hint="eastAsia" w:ascii="仿宋" w:hAnsi="仿宋" w:eastAsia="仿宋" w:cs="仿宋"/>
                <w:sz w:val="28"/>
              </w:rPr>
              <w:t>17</w:t>
            </w:r>
          </w:p>
        </w:tc>
        <w:tc>
          <w:tcPr>
            <w:tcW w:w="1305"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hint="eastAsia" w:ascii="仿宋" w:hAnsi="仿宋" w:eastAsia="仿宋" w:cs="仿宋"/>
                <w:sz w:val="2"/>
                <w:szCs w:val="2"/>
              </w:rPr>
            </w:pPr>
          </w:p>
        </w:tc>
        <w:tc>
          <w:tcPr>
            <w:tcW w:w="433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5" w:leftChars="0" w:right="0" w:rightChars="0"/>
              <w:textAlignment w:val="auto"/>
              <w:rPr>
                <w:rFonts w:hint="eastAsia" w:ascii="仿宋" w:hAnsi="仿宋" w:eastAsia="仿宋" w:cs="仿宋"/>
                <w:sz w:val="28"/>
                <w:szCs w:val="22"/>
                <w:lang w:val="en-US" w:eastAsia="en-US" w:bidi="ar-SA"/>
              </w:rPr>
            </w:pPr>
            <w:r>
              <w:rPr>
                <w:rFonts w:hint="eastAsia" w:ascii="仿宋" w:hAnsi="仿宋" w:eastAsia="仿宋" w:cs="仿宋"/>
                <w:sz w:val="28"/>
              </w:rPr>
              <w:t>电子证照用证率（%）</w:t>
            </w:r>
          </w:p>
        </w:tc>
        <w:tc>
          <w:tcPr>
            <w:tcW w:w="1560" w:type="dxa"/>
            <w:vAlign w:val="top"/>
          </w:tcPr>
          <w:p>
            <w:pPr>
              <w:pStyle w:val="10"/>
              <w:spacing w:before="0" w:line="360" w:lineRule="auto"/>
              <w:ind w:left="88" w:leftChars="0" w:right="83" w:rightChars="0"/>
              <w:rPr>
                <w:rFonts w:hint="eastAsia" w:ascii="仿宋" w:hAnsi="仿宋" w:eastAsia="仿宋" w:cs="仿宋"/>
                <w:sz w:val="28"/>
                <w:szCs w:val="22"/>
                <w:lang w:val="en-US" w:eastAsia="en-US" w:bidi="ar-SA"/>
              </w:rPr>
            </w:pPr>
            <w:r>
              <w:rPr>
                <w:rFonts w:hint="eastAsia" w:ascii="仿宋" w:hAnsi="仿宋" w:eastAsia="仿宋" w:cs="仿宋"/>
                <w:sz w:val="28"/>
                <w:lang w:eastAsia="zh-CN"/>
              </w:rPr>
              <w:t>8</w:t>
            </w:r>
          </w:p>
        </w:tc>
        <w:tc>
          <w:tcPr>
            <w:tcW w:w="103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23" w:leftChars="0" w:right="19" w:rightChars="0"/>
              <w:jc w:val="center"/>
              <w:textAlignment w:val="auto"/>
              <w:rPr>
                <w:rFonts w:hint="eastAsia" w:ascii="仿宋" w:hAnsi="仿宋" w:eastAsia="仿宋" w:cs="仿宋"/>
                <w:sz w:val="28"/>
                <w:szCs w:val="22"/>
                <w:lang w:val="en-US" w:eastAsia="en-US" w:bidi="ar-SA"/>
              </w:rPr>
            </w:pPr>
            <w:r>
              <w:rPr>
                <w:rFonts w:hint="eastAsia" w:ascii="仿宋" w:hAnsi="仿宋" w:eastAsia="仿宋" w:cs="仿宋"/>
                <w:sz w:val="28"/>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8" w:hRule="atLeast"/>
        </w:trPr>
        <w:tc>
          <w:tcPr>
            <w:tcW w:w="67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133" w:leftChars="0" w:right="0" w:rightChars="0"/>
              <w:jc w:val="left"/>
              <w:textAlignment w:val="auto"/>
              <w:rPr>
                <w:rFonts w:hint="eastAsia" w:ascii="仿宋" w:hAnsi="仿宋" w:eastAsia="仿宋" w:cs="仿宋"/>
                <w:sz w:val="28"/>
                <w:szCs w:val="22"/>
                <w:lang w:val="en-US" w:eastAsia="en-US" w:bidi="ar-SA"/>
              </w:rPr>
            </w:pPr>
            <w:r>
              <w:rPr>
                <w:rFonts w:hint="eastAsia" w:ascii="仿宋" w:hAnsi="仿宋" w:eastAsia="仿宋" w:cs="仿宋"/>
                <w:sz w:val="28"/>
              </w:rPr>
              <w:t>18</w:t>
            </w:r>
          </w:p>
        </w:tc>
        <w:tc>
          <w:tcPr>
            <w:tcW w:w="1305"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hint="eastAsia" w:ascii="仿宋" w:hAnsi="仿宋" w:eastAsia="仿宋" w:cs="仿宋"/>
                <w:sz w:val="2"/>
                <w:szCs w:val="2"/>
              </w:rPr>
            </w:pPr>
          </w:p>
        </w:tc>
        <w:tc>
          <w:tcPr>
            <w:tcW w:w="433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6" w:leftChars="0" w:right="0" w:rightChars="0"/>
              <w:textAlignment w:val="auto"/>
              <w:rPr>
                <w:rFonts w:hint="eastAsia" w:ascii="仿宋" w:hAnsi="仿宋" w:eastAsia="仿宋" w:cs="仿宋"/>
                <w:sz w:val="28"/>
                <w:szCs w:val="22"/>
                <w:lang w:val="en-US" w:eastAsia="en-US" w:bidi="ar-SA"/>
              </w:rPr>
            </w:pPr>
            <w:r>
              <w:rPr>
                <w:rFonts w:hint="eastAsia" w:ascii="仿宋" w:hAnsi="仿宋" w:eastAsia="仿宋" w:cs="仿宋"/>
                <w:sz w:val="28"/>
              </w:rPr>
              <w:t>政府部门电子印章覆盖率（%）</w:t>
            </w:r>
          </w:p>
        </w:tc>
        <w:tc>
          <w:tcPr>
            <w:tcW w:w="1560" w:type="dxa"/>
            <w:vAlign w:val="top"/>
          </w:tcPr>
          <w:p>
            <w:pPr>
              <w:pStyle w:val="10"/>
              <w:spacing w:before="0" w:line="360" w:lineRule="auto"/>
              <w:ind w:left="88" w:leftChars="0" w:right="83" w:rightChars="0"/>
              <w:rPr>
                <w:rFonts w:hint="eastAsia" w:ascii="仿宋" w:hAnsi="仿宋" w:eastAsia="仿宋" w:cs="仿宋"/>
                <w:sz w:val="28"/>
                <w:szCs w:val="22"/>
                <w:lang w:val="en-US" w:eastAsia="en-US" w:bidi="ar-SA"/>
              </w:rPr>
            </w:pPr>
            <w:r>
              <w:rPr>
                <w:rFonts w:hint="eastAsia" w:ascii="仿宋" w:hAnsi="仿宋" w:eastAsia="仿宋" w:cs="仿宋"/>
                <w:sz w:val="28"/>
                <w:lang w:eastAsia="zh-CN"/>
              </w:rPr>
              <w:t>1</w:t>
            </w:r>
            <w:r>
              <w:rPr>
                <w:rFonts w:ascii="仿宋" w:hAnsi="仿宋" w:eastAsia="仿宋" w:cs="仿宋"/>
                <w:sz w:val="28"/>
                <w:lang w:eastAsia="zh-CN"/>
              </w:rPr>
              <w:t>00</w:t>
            </w:r>
          </w:p>
        </w:tc>
        <w:tc>
          <w:tcPr>
            <w:tcW w:w="103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23" w:leftChars="0" w:right="19" w:rightChars="0"/>
              <w:jc w:val="center"/>
              <w:textAlignment w:val="auto"/>
              <w:rPr>
                <w:rFonts w:hint="eastAsia" w:ascii="仿宋" w:hAnsi="仿宋" w:eastAsia="仿宋" w:cs="仿宋"/>
                <w:sz w:val="28"/>
                <w:szCs w:val="22"/>
                <w:lang w:val="en-US" w:eastAsia="en-US" w:bidi="ar-SA"/>
              </w:rPr>
            </w:pPr>
            <w:r>
              <w:rPr>
                <w:rFonts w:hint="eastAsia" w:ascii="仿宋" w:hAnsi="仿宋" w:eastAsia="仿宋" w:cs="仿宋"/>
                <w:sz w:val="28"/>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8" w:hRule="atLeast"/>
        </w:trPr>
        <w:tc>
          <w:tcPr>
            <w:tcW w:w="67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132" w:leftChars="0" w:right="0" w:rightChars="0"/>
              <w:jc w:val="left"/>
              <w:textAlignment w:val="auto"/>
              <w:rPr>
                <w:rFonts w:hint="eastAsia" w:ascii="仿宋" w:hAnsi="仿宋" w:eastAsia="仿宋" w:cs="仿宋"/>
                <w:sz w:val="28"/>
                <w:szCs w:val="22"/>
                <w:lang w:val="en-US" w:eastAsia="en-US" w:bidi="ar-SA"/>
              </w:rPr>
            </w:pPr>
            <w:r>
              <w:rPr>
                <w:rFonts w:hint="eastAsia" w:ascii="仿宋" w:hAnsi="仿宋" w:eastAsia="仿宋" w:cs="仿宋"/>
                <w:sz w:val="28"/>
              </w:rPr>
              <w:t>19</w:t>
            </w:r>
          </w:p>
        </w:tc>
        <w:tc>
          <w:tcPr>
            <w:tcW w:w="1305"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hint="eastAsia" w:ascii="仿宋" w:hAnsi="仿宋" w:eastAsia="仿宋" w:cs="仿宋"/>
                <w:sz w:val="2"/>
                <w:szCs w:val="2"/>
              </w:rPr>
            </w:pPr>
          </w:p>
        </w:tc>
        <w:tc>
          <w:tcPr>
            <w:tcW w:w="433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11" w:leftChars="0" w:right="0" w:rightChars="0"/>
              <w:textAlignment w:val="auto"/>
              <w:rPr>
                <w:rFonts w:hint="eastAsia" w:ascii="仿宋" w:hAnsi="仿宋" w:eastAsia="仿宋" w:cs="仿宋"/>
                <w:sz w:val="28"/>
                <w:szCs w:val="22"/>
                <w:lang w:val="en-US" w:eastAsia="en-US" w:bidi="ar-SA"/>
              </w:rPr>
            </w:pPr>
            <w:r>
              <w:rPr>
                <w:rFonts w:hint="eastAsia" w:ascii="仿宋" w:hAnsi="仿宋" w:eastAsia="仿宋" w:cs="仿宋"/>
                <w:sz w:val="28"/>
              </w:rPr>
              <w:t>“粤政图”平台地图产品数（个）</w:t>
            </w:r>
          </w:p>
        </w:tc>
        <w:tc>
          <w:tcPr>
            <w:tcW w:w="1560"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87" w:leftChars="0" w:right="83" w:rightChars="0"/>
              <w:jc w:val="center"/>
              <w:textAlignment w:val="auto"/>
              <w:rPr>
                <w:rFonts w:hint="eastAsia" w:ascii="仿宋" w:hAnsi="仿宋" w:eastAsia="仿宋" w:cs="仿宋"/>
                <w:sz w:val="28"/>
                <w:szCs w:val="22"/>
                <w:lang w:val="en-US" w:eastAsia="en-US" w:bidi="ar-SA"/>
              </w:rPr>
            </w:pPr>
            <w:r>
              <w:rPr>
                <w:rFonts w:hint="eastAsia" w:ascii="仿宋" w:hAnsi="仿宋" w:eastAsia="仿宋" w:cs="仿宋"/>
                <w:sz w:val="28"/>
                <w:lang w:val="en-US" w:eastAsia="zh-CN"/>
              </w:rPr>
              <w:t>0</w:t>
            </w:r>
          </w:p>
        </w:tc>
        <w:tc>
          <w:tcPr>
            <w:tcW w:w="103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22" w:leftChars="0" w:right="21" w:rightChars="0"/>
              <w:jc w:val="center"/>
              <w:textAlignment w:val="auto"/>
              <w:rPr>
                <w:rFonts w:hint="eastAsia" w:ascii="仿宋" w:hAnsi="仿宋" w:eastAsia="仿宋" w:cs="仿宋"/>
                <w:sz w:val="28"/>
                <w:szCs w:val="22"/>
                <w:lang w:val="en-US" w:eastAsia="en-US" w:bidi="ar-SA"/>
              </w:rPr>
            </w:pPr>
            <w:r>
              <w:rPr>
                <w:rFonts w:hint="eastAsia" w:ascii="仿宋" w:hAnsi="仿宋" w:eastAsia="仿宋" w:cs="仿宋"/>
                <w:sz w:val="28"/>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8" w:hRule="atLeast"/>
        </w:trPr>
        <w:tc>
          <w:tcPr>
            <w:tcW w:w="67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132" w:leftChars="0" w:right="0" w:rightChars="0"/>
              <w:jc w:val="left"/>
              <w:textAlignment w:val="auto"/>
              <w:rPr>
                <w:rFonts w:hint="eastAsia" w:ascii="仿宋" w:hAnsi="仿宋" w:eastAsia="仿宋" w:cs="仿宋"/>
                <w:sz w:val="28"/>
                <w:szCs w:val="22"/>
                <w:lang w:val="en-US" w:eastAsia="en-US" w:bidi="ar-SA"/>
              </w:rPr>
            </w:pPr>
            <w:r>
              <w:rPr>
                <w:rFonts w:hint="eastAsia" w:ascii="仿宋" w:hAnsi="仿宋" w:eastAsia="仿宋" w:cs="仿宋"/>
                <w:sz w:val="28"/>
              </w:rPr>
              <w:t>20</w:t>
            </w:r>
          </w:p>
        </w:tc>
        <w:tc>
          <w:tcPr>
            <w:tcW w:w="1305"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hint="eastAsia" w:ascii="仿宋" w:hAnsi="仿宋" w:eastAsia="仿宋" w:cs="仿宋"/>
                <w:sz w:val="2"/>
                <w:szCs w:val="2"/>
              </w:rPr>
            </w:pPr>
          </w:p>
        </w:tc>
        <w:tc>
          <w:tcPr>
            <w:tcW w:w="433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11"/>
              <w:textAlignment w:val="auto"/>
              <w:rPr>
                <w:rFonts w:hint="eastAsia" w:ascii="仿宋" w:hAnsi="仿宋" w:eastAsia="仿宋" w:cs="仿宋"/>
                <w:sz w:val="28"/>
              </w:rPr>
            </w:pPr>
            <w:r>
              <w:rPr>
                <w:rFonts w:hint="eastAsia" w:ascii="仿宋" w:hAnsi="仿宋" w:eastAsia="仿宋" w:cs="仿宋"/>
                <w:sz w:val="28"/>
              </w:rPr>
              <w:t>一体化政务服务平台可网办事项</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6" w:leftChars="0" w:right="0" w:rightChars="0"/>
              <w:textAlignment w:val="auto"/>
              <w:rPr>
                <w:rFonts w:hint="eastAsia" w:ascii="仿宋" w:hAnsi="仿宋" w:eastAsia="仿宋" w:cs="仿宋"/>
                <w:sz w:val="28"/>
                <w:szCs w:val="22"/>
                <w:lang w:val="en-US" w:eastAsia="en-US" w:bidi="ar-SA"/>
              </w:rPr>
            </w:pPr>
            <w:r>
              <w:rPr>
                <w:rFonts w:hint="eastAsia" w:ascii="仿宋" w:hAnsi="仿宋" w:eastAsia="仿宋" w:cs="仿宋"/>
                <w:sz w:val="28"/>
              </w:rPr>
              <w:t>单点登录率（%）</w:t>
            </w:r>
          </w:p>
        </w:tc>
        <w:tc>
          <w:tcPr>
            <w:tcW w:w="1560"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88" w:leftChars="0" w:right="83" w:rightChars="0"/>
              <w:jc w:val="center"/>
              <w:textAlignment w:val="auto"/>
              <w:rPr>
                <w:rFonts w:hint="eastAsia" w:ascii="仿宋" w:hAnsi="仿宋" w:eastAsia="仿宋" w:cs="仿宋"/>
                <w:sz w:val="28"/>
                <w:szCs w:val="22"/>
                <w:lang w:val="en-US" w:eastAsia="en-US" w:bidi="ar-SA"/>
              </w:rPr>
            </w:pPr>
            <w:r>
              <w:rPr>
                <w:rFonts w:hint="eastAsia" w:ascii="仿宋" w:hAnsi="仿宋" w:eastAsia="仿宋" w:cs="仿宋"/>
                <w:sz w:val="28"/>
                <w:lang w:eastAsia="zh-CN"/>
              </w:rPr>
              <w:t>9</w:t>
            </w:r>
            <w:r>
              <w:rPr>
                <w:rFonts w:ascii="仿宋" w:hAnsi="仿宋" w:eastAsia="仿宋" w:cs="仿宋"/>
                <w:sz w:val="28"/>
                <w:lang w:eastAsia="zh-CN"/>
              </w:rPr>
              <w:t>7.57</w:t>
            </w:r>
          </w:p>
        </w:tc>
        <w:tc>
          <w:tcPr>
            <w:tcW w:w="103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23" w:leftChars="0" w:right="19" w:rightChars="0"/>
              <w:jc w:val="center"/>
              <w:textAlignment w:val="auto"/>
              <w:rPr>
                <w:rFonts w:hint="eastAsia" w:ascii="仿宋" w:hAnsi="仿宋" w:eastAsia="仿宋" w:cs="仿宋"/>
                <w:sz w:val="28"/>
                <w:szCs w:val="22"/>
                <w:lang w:val="en-US" w:eastAsia="en-US" w:bidi="ar-SA"/>
              </w:rPr>
            </w:pPr>
            <w:r>
              <w:rPr>
                <w:rFonts w:hint="eastAsia" w:ascii="仿宋" w:hAnsi="仿宋" w:eastAsia="仿宋" w:cs="仿宋"/>
                <w:sz w:val="28"/>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8" w:hRule="atLeast"/>
        </w:trPr>
        <w:tc>
          <w:tcPr>
            <w:tcW w:w="67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132" w:leftChars="0" w:right="0" w:rightChars="0"/>
              <w:jc w:val="left"/>
              <w:textAlignment w:val="auto"/>
              <w:rPr>
                <w:rFonts w:hint="eastAsia" w:ascii="仿宋" w:hAnsi="仿宋" w:eastAsia="仿宋" w:cs="仿宋"/>
                <w:sz w:val="28"/>
                <w:szCs w:val="22"/>
                <w:lang w:val="en-US" w:eastAsia="en-US" w:bidi="ar-SA"/>
              </w:rPr>
            </w:pPr>
            <w:r>
              <w:rPr>
                <w:rFonts w:hint="eastAsia" w:ascii="仿宋" w:hAnsi="仿宋" w:eastAsia="仿宋" w:cs="仿宋"/>
                <w:sz w:val="28"/>
              </w:rPr>
              <w:t>21</w:t>
            </w:r>
          </w:p>
        </w:tc>
        <w:tc>
          <w:tcPr>
            <w:tcW w:w="1305"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hint="eastAsia" w:ascii="仿宋" w:hAnsi="仿宋" w:eastAsia="仿宋" w:cs="仿宋"/>
                <w:sz w:val="2"/>
                <w:szCs w:val="2"/>
              </w:rPr>
            </w:pPr>
          </w:p>
        </w:tc>
        <w:tc>
          <w:tcPr>
            <w:tcW w:w="433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jc w:val="both"/>
              <w:textAlignment w:val="auto"/>
              <w:rPr>
                <w:rFonts w:hint="eastAsia" w:ascii="仿宋" w:hAnsi="仿宋" w:eastAsia="仿宋" w:cs="仿宋"/>
                <w:sz w:val="28"/>
                <w:szCs w:val="22"/>
                <w:lang w:val="en-US" w:eastAsia="en-US" w:bidi="ar-SA"/>
              </w:rPr>
            </w:pPr>
            <w:r>
              <w:rPr>
                <w:rFonts w:hint="eastAsia" w:ascii="仿宋" w:hAnsi="仿宋" w:eastAsia="仿宋" w:cs="仿宋"/>
                <w:sz w:val="28"/>
              </w:rPr>
              <w:t>参与和主导制定数字政府相关国家、行业、地方标准数量（项）</w:t>
            </w:r>
          </w:p>
        </w:tc>
        <w:tc>
          <w:tcPr>
            <w:tcW w:w="1560"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4" w:leftChars="0" w:right="0" w:rightChars="0"/>
              <w:jc w:val="center"/>
              <w:textAlignment w:val="auto"/>
              <w:rPr>
                <w:rFonts w:hint="eastAsia" w:ascii="仿宋" w:hAnsi="仿宋" w:eastAsia="仿宋" w:cs="仿宋"/>
                <w:sz w:val="28"/>
                <w:szCs w:val="22"/>
                <w:lang w:val="en-US" w:eastAsia="zh-CN" w:bidi="ar-SA"/>
              </w:rPr>
            </w:pPr>
            <w:r>
              <w:rPr>
                <w:rFonts w:hint="eastAsia" w:ascii="仿宋" w:hAnsi="仿宋" w:eastAsia="仿宋" w:cs="仿宋"/>
                <w:sz w:val="28"/>
                <w:szCs w:val="22"/>
                <w:lang w:val="en-US" w:eastAsia="zh-CN" w:bidi="ar-SA"/>
              </w:rPr>
              <w:t>0</w:t>
            </w:r>
          </w:p>
        </w:tc>
        <w:tc>
          <w:tcPr>
            <w:tcW w:w="1035" w:type="dxa"/>
            <w:vAlign w:val="top"/>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23" w:leftChars="0" w:right="19" w:rightChars="0"/>
              <w:jc w:val="center"/>
              <w:textAlignment w:val="auto"/>
              <w:rPr>
                <w:rFonts w:hint="eastAsia" w:ascii="仿宋" w:hAnsi="仿宋" w:eastAsia="仿宋" w:cs="仿宋"/>
                <w:sz w:val="28"/>
                <w:szCs w:val="22"/>
                <w:lang w:val="en-US" w:eastAsia="en-US" w:bidi="ar-SA"/>
              </w:rPr>
            </w:pPr>
            <w:r>
              <w:rPr>
                <w:rFonts w:hint="eastAsia" w:ascii="仿宋" w:hAnsi="仿宋" w:eastAsia="仿宋" w:cs="仿宋"/>
                <w:sz w:val="28"/>
              </w:rPr>
              <w:t>10</w:t>
            </w:r>
          </w:p>
        </w:tc>
      </w:tr>
    </w:tbl>
    <w:p>
      <w:pPr>
        <w:rPr>
          <w:rFonts w:hint="eastAsia" w:ascii="仿宋" w:hAnsi="仿宋" w:eastAsia="仿宋" w:cs="仿宋"/>
          <w:b w:val="0"/>
          <w:bCs w:val="0"/>
          <w:color w:val="000000"/>
          <w:spacing w:val="0"/>
          <w:w w:val="100"/>
          <w:position w:val="0"/>
          <w:sz w:val="24"/>
          <w:szCs w:val="24"/>
          <w:u w:val="none"/>
          <w:shd w:val="clear" w:color="auto" w:fill="auto"/>
          <w:lang w:val="en-US" w:eastAsia="zh-CN"/>
        </w:rPr>
      </w:pPr>
      <w:r>
        <w:rPr>
          <w:rFonts w:hint="eastAsia" w:ascii="仿宋" w:hAnsi="仿宋" w:eastAsia="仿宋" w:cs="仿宋"/>
          <w:b w:val="0"/>
          <w:bCs w:val="0"/>
          <w:color w:val="000000"/>
          <w:spacing w:val="0"/>
          <w:w w:val="100"/>
          <w:position w:val="0"/>
          <w:sz w:val="24"/>
          <w:szCs w:val="24"/>
          <w:u w:val="none"/>
          <w:shd w:val="clear" w:color="auto" w:fill="auto"/>
          <w:lang w:val="en-US" w:eastAsia="zh-CN"/>
        </w:rPr>
        <w:t>备注：本规划列举的是数字政府主要公共指标，行业指标分别在各行业相关专项规划中明确，指标计算方法见附件1。</w:t>
      </w:r>
    </w:p>
    <w:p>
      <w:pPr>
        <w:numPr>
          <w:ilvl w:val="0"/>
          <w:numId w:val="0"/>
        </w:numPr>
        <w:jc w:val="center"/>
        <w:rPr>
          <w:rFonts w:hint="eastAsia" w:ascii="黑体" w:hAnsi="黑体" w:eastAsia="黑体" w:cs="黑体"/>
          <w:b w:val="0"/>
          <w:kern w:val="2"/>
          <w:sz w:val="32"/>
          <w:szCs w:val="32"/>
          <w:lang w:val="en-US" w:eastAsia="zh-CN" w:bidi="ar-SA"/>
        </w:rPr>
      </w:pPr>
    </w:p>
    <w:p>
      <w:pPr>
        <w:numPr>
          <w:ilvl w:val="0"/>
          <w:numId w:val="3"/>
        </w:numPr>
        <w:ind w:firstLine="640" w:firstLineChars="0"/>
        <w:jc w:val="center"/>
        <w:outlineLvl w:val="0"/>
        <w:rPr>
          <w:rFonts w:hint="eastAsia" w:ascii="黑体" w:hAnsi="黑体" w:eastAsia="黑体" w:cs="黑体"/>
          <w:b w:val="0"/>
          <w:kern w:val="2"/>
          <w:sz w:val="32"/>
          <w:szCs w:val="32"/>
          <w:lang w:val="en-US" w:eastAsia="zh-CN" w:bidi="ar-SA"/>
        </w:rPr>
      </w:pPr>
      <w:bookmarkStart w:id="19" w:name="_Toc16270"/>
      <w:bookmarkStart w:id="20" w:name="_Toc6983"/>
      <w:r>
        <w:rPr>
          <w:rFonts w:hint="eastAsia" w:ascii="黑体" w:hAnsi="黑体" w:eastAsia="黑体" w:cs="黑体"/>
          <w:b w:val="0"/>
          <w:kern w:val="2"/>
          <w:sz w:val="32"/>
          <w:szCs w:val="32"/>
          <w:lang w:val="en-US" w:eastAsia="zh-CN" w:bidi="ar-SA"/>
        </w:rPr>
        <w:t>总体架构</w:t>
      </w:r>
      <w:bookmarkEnd w:id="19"/>
      <w:bookmarkEnd w:id="20"/>
    </w:p>
    <w:p>
      <w:pPr>
        <w:widowControl w:val="0"/>
        <w:numPr>
          <w:ilvl w:val="0"/>
          <w:numId w:val="0"/>
        </w:numPr>
        <w:jc w:val="center"/>
        <w:rPr>
          <w:rFonts w:hint="eastAsia" w:ascii="黑体" w:hAnsi="黑体" w:eastAsia="黑体" w:cs="黑体"/>
          <w:b w:val="0"/>
          <w:kern w:val="2"/>
          <w:sz w:val="32"/>
          <w:szCs w:val="32"/>
          <w:lang w:val="en-US" w:eastAsia="zh-CN" w:bidi="ar-SA"/>
        </w:rPr>
      </w:pPr>
    </w:p>
    <w:p>
      <w:pPr>
        <w:widowControl w:val="0"/>
        <w:numPr>
          <w:ilvl w:val="0"/>
          <w:numId w:val="4"/>
        </w:numPr>
        <w:jc w:val="center"/>
        <w:outlineLvl w:val="1"/>
        <w:rPr>
          <w:rFonts w:hint="eastAsia" w:ascii="黑体" w:hAnsi="黑体" w:eastAsia="黑体" w:cs="黑体"/>
          <w:b w:val="0"/>
          <w:kern w:val="2"/>
          <w:sz w:val="32"/>
          <w:szCs w:val="32"/>
          <w:lang w:val="en-US" w:eastAsia="zh-CN" w:bidi="ar-SA"/>
        </w:rPr>
      </w:pPr>
      <w:bookmarkStart w:id="21" w:name="_Toc923"/>
      <w:bookmarkStart w:id="22" w:name="_Toc24658"/>
      <w:r>
        <w:rPr>
          <w:rFonts w:hint="eastAsia" w:ascii="黑体" w:hAnsi="黑体" w:eastAsia="黑体" w:cs="黑体"/>
          <w:b w:val="0"/>
          <w:kern w:val="2"/>
          <w:sz w:val="32"/>
          <w:szCs w:val="32"/>
          <w:lang w:val="en-US" w:eastAsia="zh-CN" w:bidi="ar-SA"/>
        </w:rPr>
        <w:t>管理架构</w:t>
      </w:r>
      <w:bookmarkEnd w:id="21"/>
      <w:bookmarkEnd w:id="22"/>
    </w:p>
    <w:p>
      <w:pPr>
        <w:widowControl w:val="0"/>
        <w:numPr>
          <w:ilvl w:val="0"/>
          <w:numId w:val="0"/>
        </w:numPr>
        <w:jc w:val="center"/>
        <w:rPr>
          <w:rFonts w:hint="eastAsia" w:ascii="黑体" w:hAnsi="黑体" w:eastAsia="黑体" w:cs="黑体"/>
          <w:b w:val="0"/>
          <w:kern w:val="2"/>
          <w:sz w:val="32"/>
          <w:szCs w:val="32"/>
          <w:lang w:val="en-US" w:eastAsia="zh-CN" w:bidi="ar-SA"/>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按照“政企合作、管运分离”的总体原则，不断完善</w:t>
      </w:r>
      <w:r>
        <w:rPr>
          <w:rFonts w:hint="eastAsia" w:ascii="仿宋_GB2312" w:eastAsia="仿宋_GB2312"/>
          <w:sz w:val="32"/>
          <w:szCs w:val="32"/>
          <w:lang w:eastAsia="zh-CN"/>
        </w:rPr>
        <w:t>我市</w:t>
      </w:r>
      <w:r>
        <w:rPr>
          <w:rFonts w:hint="eastAsia" w:ascii="仿宋_GB2312" w:eastAsia="仿宋_GB2312"/>
          <w:sz w:val="32"/>
          <w:szCs w:val="32"/>
        </w:rPr>
        <w:t>“统筹管理、专业运营、智库支撑”的数字政府改革建设管理模式。</w:t>
      </w:r>
    </w:p>
    <w:p>
      <w:pPr>
        <w:spacing w:line="560" w:lineRule="exact"/>
        <w:ind w:firstLine="640" w:firstLineChars="200"/>
        <w:rPr>
          <w:rFonts w:ascii="仿宋_GB2312" w:eastAsia="仿宋_GB2312"/>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统筹管理。</w:t>
      </w:r>
      <w:r>
        <w:rPr>
          <w:rFonts w:hint="eastAsia" w:ascii="仿宋_GB2312" w:eastAsia="仿宋_GB2312"/>
          <w:sz w:val="32"/>
          <w:szCs w:val="32"/>
        </w:rPr>
        <w:t>统筹市、县（市、区）、镇（街）、村的“数字政府”管理机制，形成改革建设工作责任清单，将“数字政府”改革建设推进工作纳入各级政府绩效考核体系。</w:t>
      </w:r>
    </w:p>
    <w:p>
      <w:pPr>
        <w:spacing w:line="560" w:lineRule="exact"/>
        <w:ind w:firstLine="640" w:firstLineChars="200"/>
        <w:rPr>
          <w:rFonts w:ascii="仿宋_GB2312" w:eastAsia="仿宋_GB2312"/>
          <w:sz w:val="32"/>
          <w:szCs w:val="32"/>
        </w:rPr>
      </w:pPr>
      <w:r>
        <w:rPr>
          <w:rFonts w:hint="eastAsia" w:ascii="黑体" w:hAnsi="黑体" w:eastAsia="黑体" w:cs="黑体"/>
          <w:b w:val="0"/>
          <w:bCs w:val="0"/>
          <w:sz w:val="32"/>
          <w:szCs w:val="32"/>
          <w:lang w:eastAsia="zh-CN"/>
        </w:rPr>
        <w:t>二、专业运营。</w:t>
      </w:r>
      <w:r>
        <w:rPr>
          <w:rFonts w:hint="eastAsia" w:ascii="仿宋_GB2312" w:eastAsia="仿宋_GB2312"/>
          <w:sz w:val="32"/>
          <w:szCs w:val="32"/>
        </w:rPr>
        <w:t>采用“管运分离”的模式，完善</w:t>
      </w:r>
      <w:r>
        <w:rPr>
          <w:rFonts w:hint="eastAsia" w:ascii="仿宋_GB2312" w:eastAsia="仿宋_GB2312"/>
          <w:sz w:val="32"/>
          <w:szCs w:val="32"/>
          <w:lang w:eastAsia="zh-CN"/>
        </w:rPr>
        <w:t>汕头</w:t>
      </w:r>
      <w:r>
        <w:rPr>
          <w:rFonts w:hint="eastAsia" w:ascii="仿宋_GB2312" w:eastAsia="仿宋_GB2312"/>
          <w:sz w:val="32"/>
          <w:szCs w:val="32"/>
        </w:rPr>
        <w:t>市“数字政府”建设运营中心，为</w:t>
      </w:r>
      <w:r>
        <w:rPr>
          <w:rFonts w:hint="eastAsia" w:ascii="仿宋_GB2312" w:eastAsia="仿宋_GB2312"/>
          <w:sz w:val="32"/>
          <w:szCs w:val="32"/>
          <w:lang w:eastAsia="zh-CN"/>
        </w:rPr>
        <w:t>汕头</w:t>
      </w:r>
      <w:r>
        <w:rPr>
          <w:rFonts w:hint="eastAsia" w:ascii="仿宋_GB2312" w:eastAsia="仿宋_GB2312"/>
          <w:sz w:val="32"/>
          <w:szCs w:val="32"/>
        </w:rPr>
        <w:t>市“数字政府”改革建设提供运营服务和技术支撑</w:t>
      </w:r>
      <w:r>
        <w:rPr>
          <w:rFonts w:hint="eastAsia" w:ascii="仿宋_GB2312" w:eastAsia="仿宋_GB2312"/>
          <w:sz w:val="32"/>
          <w:szCs w:val="32"/>
          <w:lang w:eastAsia="zh-CN"/>
        </w:rPr>
        <w:t>。</w:t>
      </w:r>
      <w:r>
        <w:rPr>
          <w:rFonts w:hint="eastAsia" w:ascii="仿宋_GB2312" w:eastAsia="仿宋_GB2312"/>
          <w:sz w:val="32"/>
          <w:szCs w:val="32"/>
        </w:rPr>
        <w:t>加强政企合作，推动有实力的信息技术服务企业</w:t>
      </w:r>
      <w:r>
        <w:rPr>
          <w:rFonts w:hint="eastAsia" w:ascii="仿宋_GB2312" w:eastAsia="仿宋_GB2312"/>
          <w:sz w:val="32"/>
          <w:szCs w:val="32"/>
          <w:lang w:eastAsia="zh-CN"/>
        </w:rPr>
        <w:t>参与数字政府建设运营</w:t>
      </w:r>
      <w:r>
        <w:rPr>
          <w:rFonts w:hint="eastAsia" w:ascii="仿宋_GB2312" w:eastAsia="仿宋_GB2312"/>
          <w:sz w:val="32"/>
          <w:szCs w:val="32"/>
        </w:rPr>
        <w:t>，提升本地的政务信息化建设、运营、服务能力。在“管运分离”模式下，理顺购买服务的模式，建立配套的项目立项、采购、服务、验收、评价等项目全过程管理机制。</w:t>
      </w:r>
    </w:p>
    <w:p>
      <w:pPr>
        <w:spacing w:line="560" w:lineRule="exact"/>
        <w:ind w:firstLine="640" w:firstLineChars="200"/>
        <w:rPr>
          <w:rFonts w:hint="eastAsia" w:ascii="仿宋_GB2312" w:eastAsia="仿宋_GB2312"/>
          <w:sz w:val="32"/>
          <w:szCs w:val="32"/>
        </w:rPr>
      </w:pPr>
      <w:r>
        <w:rPr>
          <w:rFonts w:hint="eastAsia" w:ascii="黑体" w:hAnsi="黑体" w:eastAsia="黑体" w:cs="黑体"/>
          <w:b w:val="0"/>
          <w:bCs w:val="0"/>
          <w:sz w:val="32"/>
          <w:szCs w:val="32"/>
          <w:lang w:eastAsia="zh-CN"/>
        </w:rPr>
        <w:t>三、智库支持。</w:t>
      </w:r>
      <w:r>
        <w:rPr>
          <w:rFonts w:hint="eastAsia" w:ascii="仿宋_GB2312" w:eastAsia="仿宋_GB2312"/>
          <w:sz w:val="32"/>
          <w:szCs w:val="32"/>
          <w:lang w:eastAsia="zh-CN"/>
        </w:rPr>
        <w:t>发挥汕头</w:t>
      </w:r>
      <w:r>
        <w:rPr>
          <w:rFonts w:hint="eastAsia" w:ascii="仿宋_GB2312" w:eastAsia="仿宋_GB2312"/>
          <w:sz w:val="32"/>
          <w:szCs w:val="32"/>
        </w:rPr>
        <w:t>市</w:t>
      </w:r>
      <w:r>
        <w:rPr>
          <w:rFonts w:hint="eastAsia" w:ascii="仿宋_GB2312" w:eastAsia="仿宋_GB2312"/>
          <w:sz w:val="32"/>
          <w:szCs w:val="32"/>
          <w:lang w:eastAsia="zh-CN"/>
        </w:rPr>
        <w:t>数字政府改革建设</w:t>
      </w:r>
      <w:r>
        <w:rPr>
          <w:rFonts w:hint="eastAsia" w:ascii="仿宋_GB2312" w:eastAsia="仿宋_GB2312"/>
          <w:sz w:val="32"/>
          <w:szCs w:val="32"/>
        </w:rPr>
        <w:t>专家委</w:t>
      </w:r>
      <w:r>
        <w:rPr>
          <w:rFonts w:hint="eastAsia" w:ascii="仿宋_GB2312" w:eastAsia="仿宋_GB2312"/>
          <w:sz w:val="32"/>
          <w:szCs w:val="32"/>
          <w:lang w:eastAsia="zh-CN"/>
        </w:rPr>
        <w:t>员会的作用，</w:t>
      </w:r>
      <w:r>
        <w:rPr>
          <w:rFonts w:hint="eastAsia" w:ascii="仿宋_GB2312" w:eastAsia="仿宋_GB2312"/>
          <w:sz w:val="32"/>
          <w:szCs w:val="32"/>
        </w:rPr>
        <w:t>完善</w:t>
      </w:r>
      <w:r>
        <w:rPr>
          <w:rFonts w:hint="eastAsia" w:ascii="仿宋_GB2312" w:eastAsia="仿宋_GB2312"/>
          <w:sz w:val="32"/>
          <w:szCs w:val="32"/>
          <w:lang w:eastAsia="zh-CN"/>
        </w:rPr>
        <w:t>电子政务</w:t>
      </w:r>
      <w:r>
        <w:rPr>
          <w:rFonts w:hint="eastAsia" w:ascii="仿宋_GB2312" w:eastAsia="仿宋_GB2312"/>
          <w:sz w:val="32"/>
          <w:szCs w:val="32"/>
        </w:rPr>
        <w:t>专家库，</w:t>
      </w:r>
      <w:r>
        <w:rPr>
          <w:rFonts w:hint="eastAsia" w:ascii="仿宋_GB2312" w:eastAsia="仿宋_GB2312"/>
          <w:sz w:val="32"/>
          <w:szCs w:val="32"/>
          <w:lang w:eastAsia="zh-CN"/>
        </w:rPr>
        <w:t>指导信息化项目建设，提高数字政府改革建设的决策科学化水平。</w:t>
      </w:r>
      <w:r>
        <w:rPr>
          <w:rFonts w:hint="eastAsia" w:ascii="仿宋_GB2312" w:eastAsia="仿宋_GB2312"/>
          <w:sz w:val="32"/>
          <w:szCs w:val="32"/>
        </w:rPr>
        <w:t>借助专家、研究院所和第三方咨询机构等智库力量，提高全市数字政府改革的规划、设计和建设管理水平。</w:t>
      </w:r>
    </w:p>
    <w:p>
      <w:pPr>
        <w:spacing w:line="560" w:lineRule="exact"/>
        <w:ind w:firstLine="640" w:firstLineChars="200"/>
        <w:rPr>
          <w:rFonts w:hint="eastAsia" w:ascii="仿宋_GB2312" w:eastAsia="仿宋_GB2312"/>
          <w:sz w:val="32"/>
          <w:szCs w:val="32"/>
        </w:rPr>
      </w:pPr>
    </w:p>
    <w:p>
      <w:pPr>
        <w:numPr>
          <w:ilvl w:val="0"/>
          <w:numId w:val="4"/>
        </w:numPr>
        <w:spacing w:line="560" w:lineRule="exact"/>
        <w:ind w:firstLine="640" w:firstLineChars="200"/>
        <w:jc w:val="center"/>
        <w:outlineLvl w:val="1"/>
        <w:rPr>
          <w:rFonts w:hint="eastAsia" w:ascii="黑体" w:hAnsi="黑体" w:eastAsia="黑体" w:cs="黑体"/>
          <w:sz w:val="32"/>
          <w:szCs w:val="32"/>
          <w:lang w:val="en-US" w:eastAsia="zh-CN"/>
        </w:rPr>
      </w:pPr>
      <w:bookmarkStart w:id="23" w:name="_Toc4427"/>
      <w:bookmarkStart w:id="24" w:name="_Toc16567"/>
      <w:r>
        <w:rPr>
          <w:rFonts w:hint="eastAsia" w:ascii="黑体" w:hAnsi="黑体" w:eastAsia="黑体" w:cs="黑体"/>
          <w:sz w:val="32"/>
          <w:szCs w:val="32"/>
          <w:lang w:val="en-US" w:eastAsia="zh-CN"/>
        </w:rPr>
        <w:t>业务架构</w:t>
      </w:r>
      <w:bookmarkEnd w:id="23"/>
      <w:bookmarkEnd w:id="24"/>
    </w:p>
    <w:p>
      <w:pPr>
        <w:widowControl w:val="0"/>
        <w:numPr>
          <w:ilvl w:val="0"/>
          <w:numId w:val="0"/>
        </w:numPr>
        <w:spacing w:line="560" w:lineRule="exact"/>
        <w:jc w:val="center"/>
        <w:rPr>
          <w:rFonts w:hint="eastAsia" w:ascii="黑体" w:hAnsi="黑体" w:eastAsia="黑体" w:cs="黑体"/>
          <w:sz w:val="32"/>
          <w:szCs w:val="32"/>
          <w:lang w:val="en-US" w:eastAsia="zh-CN"/>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围绕政府的“服务、治理、协同”三大业务域，构建“整体协同、平台驱动”的业务架构。聚焦核心业务、加大协同力度，积极对接省</w:t>
      </w:r>
      <w:r>
        <w:rPr>
          <w:rFonts w:ascii="仿宋_GB2312" w:eastAsia="仿宋_GB2312"/>
          <w:sz w:val="32"/>
          <w:szCs w:val="32"/>
        </w:rPr>
        <w:t>级统一</w:t>
      </w:r>
      <w:r>
        <w:rPr>
          <w:rFonts w:hint="eastAsia" w:ascii="仿宋_GB2312" w:eastAsia="仿宋_GB2312"/>
          <w:sz w:val="32"/>
          <w:szCs w:val="32"/>
          <w:lang w:eastAsia="zh-CN"/>
        </w:rPr>
        <w:t>的</w:t>
      </w:r>
      <w:r>
        <w:rPr>
          <w:rFonts w:ascii="仿宋_GB2312" w:eastAsia="仿宋_GB2312"/>
          <w:sz w:val="32"/>
          <w:szCs w:val="32"/>
        </w:rPr>
        <w:t>系统平台，开展本地化应用</w:t>
      </w:r>
      <w:r>
        <w:rPr>
          <w:rFonts w:hint="eastAsia" w:ascii="仿宋_GB2312" w:eastAsia="仿宋_GB2312"/>
          <w:sz w:val="32"/>
          <w:szCs w:val="32"/>
        </w:rPr>
        <w:t>，不断利用数字化技术，推动业务创新和业务变革，最终实现业务流程再造、机制体制改革、政府职能转变的目的。</w:t>
      </w:r>
    </w:p>
    <w:p>
      <w:pPr>
        <w:spacing w:line="560" w:lineRule="exact"/>
        <w:ind w:firstLine="640" w:firstLineChars="200"/>
        <w:rPr>
          <w:rFonts w:ascii="仿宋_GB2312" w:eastAsia="仿宋_GB2312"/>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完善本地数字政府服务体系。</w:t>
      </w:r>
      <w:r>
        <w:rPr>
          <w:rFonts w:hint="eastAsia" w:ascii="仿宋_GB2312" w:eastAsia="仿宋_GB2312"/>
          <w:b w:val="0"/>
          <w:bCs w:val="0"/>
          <w:sz w:val="32"/>
          <w:szCs w:val="32"/>
        </w:rPr>
        <w:t>积极</w:t>
      </w:r>
      <w:r>
        <w:rPr>
          <w:rFonts w:ascii="仿宋_GB2312" w:eastAsia="仿宋_GB2312"/>
          <w:b w:val="0"/>
          <w:bCs w:val="0"/>
          <w:sz w:val="32"/>
          <w:szCs w:val="32"/>
        </w:rPr>
        <w:t>衔接</w:t>
      </w:r>
      <w:r>
        <w:rPr>
          <w:rFonts w:hint="eastAsia" w:ascii="仿宋_GB2312" w:eastAsia="仿宋_GB2312"/>
          <w:b w:val="0"/>
          <w:bCs w:val="0"/>
          <w:sz w:val="32"/>
          <w:szCs w:val="32"/>
        </w:rPr>
        <w:t>省</w:t>
      </w:r>
      <w:r>
        <w:rPr>
          <w:rFonts w:ascii="仿宋_GB2312" w:eastAsia="仿宋_GB2312"/>
          <w:b w:val="0"/>
          <w:bCs w:val="0"/>
          <w:sz w:val="32"/>
          <w:szCs w:val="32"/>
        </w:rPr>
        <w:t>系统平台，</w:t>
      </w:r>
      <w:r>
        <w:rPr>
          <w:rFonts w:hint="eastAsia" w:ascii="仿宋_GB2312" w:eastAsia="仿宋_GB2312"/>
          <w:b w:val="0"/>
          <w:bCs w:val="0"/>
          <w:sz w:val="32"/>
          <w:szCs w:val="32"/>
        </w:rPr>
        <w:t>融合线上与线下办事渠道，开展</w:t>
      </w:r>
      <w:r>
        <w:rPr>
          <w:rFonts w:ascii="仿宋_GB2312" w:eastAsia="仿宋_GB2312"/>
          <w:b w:val="0"/>
          <w:bCs w:val="0"/>
          <w:sz w:val="32"/>
          <w:szCs w:val="32"/>
        </w:rPr>
        <w:t>省级统一</w:t>
      </w:r>
      <w:r>
        <w:rPr>
          <w:rFonts w:hint="eastAsia" w:ascii="仿宋_GB2312" w:eastAsia="仿宋_GB2312"/>
          <w:b w:val="0"/>
          <w:bCs w:val="0"/>
          <w:sz w:val="32"/>
          <w:szCs w:val="32"/>
        </w:rPr>
        <w:t>“互联网</w:t>
      </w:r>
      <w:r>
        <w:rPr>
          <w:rFonts w:ascii="仿宋_GB2312" w:eastAsia="仿宋_GB2312"/>
          <w:b w:val="0"/>
          <w:bCs w:val="0"/>
          <w:sz w:val="32"/>
          <w:szCs w:val="32"/>
        </w:rPr>
        <w:t>+政务</w:t>
      </w:r>
      <w:r>
        <w:rPr>
          <w:rFonts w:hint="eastAsia" w:ascii="仿宋_GB2312" w:eastAsia="仿宋_GB2312"/>
          <w:b w:val="0"/>
          <w:bCs w:val="0"/>
          <w:sz w:val="32"/>
          <w:szCs w:val="32"/>
        </w:rPr>
        <w:t>”的本地应用</w:t>
      </w:r>
      <w:r>
        <w:rPr>
          <w:rFonts w:ascii="仿宋_GB2312" w:eastAsia="仿宋_GB2312"/>
          <w:b w:val="0"/>
          <w:bCs w:val="0"/>
          <w:sz w:val="32"/>
          <w:szCs w:val="32"/>
        </w:rPr>
        <w:t>，</w:t>
      </w:r>
      <w:r>
        <w:rPr>
          <w:rFonts w:hint="eastAsia" w:ascii="仿宋_GB2312" w:eastAsia="仿宋_GB2312"/>
          <w:b w:val="0"/>
          <w:bCs w:val="0"/>
          <w:sz w:val="32"/>
          <w:szCs w:val="32"/>
        </w:rPr>
        <w:t>依托</w:t>
      </w:r>
      <w:r>
        <w:rPr>
          <w:rFonts w:ascii="仿宋_GB2312" w:eastAsia="仿宋_GB2312"/>
          <w:b w:val="0"/>
          <w:bCs w:val="0"/>
          <w:sz w:val="32"/>
          <w:szCs w:val="32"/>
        </w:rPr>
        <w:t>全省统一政务云平台，积极拓展本地特色应用，</w:t>
      </w:r>
      <w:r>
        <w:rPr>
          <w:rFonts w:hint="eastAsia" w:ascii="仿宋_GB2312" w:eastAsia="仿宋_GB2312"/>
          <w:b w:val="0"/>
          <w:bCs w:val="0"/>
          <w:sz w:val="32"/>
          <w:szCs w:val="32"/>
        </w:rPr>
        <w:t>构筑</w:t>
      </w:r>
      <w:r>
        <w:rPr>
          <w:rFonts w:ascii="仿宋_GB2312" w:eastAsia="仿宋_GB2312"/>
          <w:b w:val="0"/>
          <w:bCs w:val="0"/>
          <w:sz w:val="32"/>
          <w:szCs w:val="32"/>
        </w:rPr>
        <w:t>完备的</w:t>
      </w:r>
      <w:r>
        <w:rPr>
          <w:rFonts w:hint="eastAsia" w:ascii="仿宋_GB2312" w:eastAsia="仿宋_GB2312"/>
          <w:b w:val="0"/>
          <w:bCs w:val="0"/>
          <w:sz w:val="32"/>
          <w:szCs w:val="32"/>
        </w:rPr>
        <w:t>“省级统一</w:t>
      </w:r>
      <w:r>
        <w:rPr>
          <w:rFonts w:ascii="仿宋_GB2312" w:eastAsia="仿宋_GB2312"/>
          <w:b w:val="0"/>
          <w:bCs w:val="0"/>
          <w:sz w:val="32"/>
          <w:szCs w:val="32"/>
        </w:rPr>
        <w:t>应用+本地特色应用</w:t>
      </w:r>
      <w:r>
        <w:rPr>
          <w:rFonts w:hint="eastAsia" w:ascii="仿宋_GB2312" w:eastAsia="仿宋_GB2312"/>
          <w:b w:val="0"/>
          <w:bCs w:val="0"/>
          <w:sz w:val="32"/>
          <w:szCs w:val="32"/>
        </w:rPr>
        <w:t>”的政务服务体系，不断提升群众、企业获得感。</w:t>
      </w:r>
      <w:r>
        <w:rPr>
          <w:rFonts w:hint="eastAsia" w:ascii="仿宋_GB2312" w:eastAsia="仿宋_GB2312"/>
          <w:b w:val="0"/>
          <w:bCs w:val="0"/>
          <w:sz w:val="32"/>
          <w:szCs w:val="32"/>
          <w:lang w:eastAsia="zh-CN"/>
        </w:rPr>
        <w:t>在优化</w:t>
      </w:r>
      <w:r>
        <w:rPr>
          <w:rFonts w:hint="eastAsia" w:ascii="仿宋_GB2312" w:eastAsia="仿宋_GB2312"/>
          <w:b w:val="0"/>
          <w:bCs w:val="0"/>
          <w:sz w:val="32"/>
          <w:szCs w:val="32"/>
        </w:rPr>
        <w:t>营商</w:t>
      </w:r>
      <w:r>
        <w:rPr>
          <w:rFonts w:ascii="仿宋_GB2312" w:eastAsia="仿宋_GB2312"/>
          <w:b w:val="0"/>
          <w:bCs w:val="0"/>
          <w:sz w:val="32"/>
          <w:szCs w:val="32"/>
        </w:rPr>
        <w:t>环境</w:t>
      </w:r>
      <w:r>
        <w:rPr>
          <w:rFonts w:hint="eastAsia" w:ascii="仿宋_GB2312" w:eastAsia="仿宋_GB2312"/>
          <w:b w:val="0"/>
          <w:bCs w:val="0"/>
          <w:sz w:val="32"/>
          <w:szCs w:val="32"/>
          <w:lang w:eastAsia="zh-CN"/>
        </w:rPr>
        <w:t>方面</w:t>
      </w:r>
      <w:r>
        <w:rPr>
          <w:rFonts w:ascii="仿宋_GB2312" w:eastAsia="仿宋_GB2312"/>
          <w:b w:val="0"/>
          <w:bCs w:val="0"/>
          <w:sz w:val="32"/>
          <w:szCs w:val="32"/>
        </w:rPr>
        <w:t>，</w:t>
      </w:r>
      <w:r>
        <w:rPr>
          <w:rFonts w:hint="eastAsia" w:ascii="仿宋_GB2312" w:eastAsia="仿宋_GB2312"/>
          <w:b w:val="0"/>
          <w:bCs w:val="0"/>
          <w:sz w:val="32"/>
          <w:szCs w:val="32"/>
        </w:rPr>
        <w:t>围绕企业全生命周期，积极衔接全省“粤</w:t>
      </w:r>
      <w:r>
        <w:rPr>
          <w:rFonts w:ascii="仿宋_GB2312" w:eastAsia="仿宋_GB2312"/>
          <w:b w:val="0"/>
          <w:bCs w:val="0"/>
          <w:sz w:val="32"/>
          <w:szCs w:val="32"/>
        </w:rPr>
        <w:t>系列</w:t>
      </w:r>
      <w:r>
        <w:rPr>
          <w:rFonts w:hint="eastAsia" w:ascii="仿宋_GB2312" w:eastAsia="仿宋_GB2312"/>
          <w:b w:val="0"/>
          <w:bCs w:val="0"/>
          <w:sz w:val="32"/>
          <w:szCs w:val="32"/>
        </w:rPr>
        <w:t>”应用</w:t>
      </w:r>
      <w:r>
        <w:rPr>
          <w:rFonts w:ascii="仿宋_GB2312" w:eastAsia="仿宋_GB2312"/>
          <w:b w:val="0"/>
          <w:bCs w:val="0"/>
          <w:sz w:val="32"/>
          <w:szCs w:val="32"/>
        </w:rPr>
        <w:t>平台服务，</w:t>
      </w:r>
      <w:r>
        <w:rPr>
          <w:rFonts w:hint="eastAsia" w:ascii="仿宋_GB2312" w:eastAsia="仿宋_GB2312"/>
          <w:b w:val="0"/>
          <w:bCs w:val="0"/>
          <w:sz w:val="32"/>
          <w:szCs w:val="32"/>
        </w:rPr>
        <w:t>为全市企业提供一站式、智能化、精准化的服务，增强发展环境的吸引力和竞争力，推动营商环境改革区域领先。</w:t>
      </w:r>
      <w:r>
        <w:rPr>
          <w:rFonts w:hint="eastAsia" w:ascii="仿宋_GB2312" w:eastAsia="仿宋_GB2312"/>
          <w:b w:val="0"/>
          <w:bCs w:val="0"/>
          <w:sz w:val="32"/>
          <w:szCs w:val="32"/>
          <w:lang w:eastAsia="zh-CN"/>
        </w:rPr>
        <w:t>在提升</w:t>
      </w:r>
      <w:r>
        <w:rPr>
          <w:rFonts w:hint="eastAsia" w:ascii="仿宋_GB2312" w:eastAsia="仿宋_GB2312"/>
          <w:b w:val="0"/>
          <w:bCs w:val="0"/>
          <w:sz w:val="32"/>
          <w:szCs w:val="32"/>
        </w:rPr>
        <w:t>民生服务</w:t>
      </w:r>
      <w:r>
        <w:rPr>
          <w:rFonts w:hint="eastAsia" w:ascii="仿宋_GB2312" w:eastAsia="仿宋_GB2312"/>
          <w:b w:val="0"/>
          <w:bCs w:val="0"/>
          <w:sz w:val="32"/>
          <w:szCs w:val="32"/>
          <w:lang w:eastAsia="zh-CN"/>
        </w:rPr>
        <w:t>方面</w:t>
      </w:r>
      <w:r>
        <w:rPr>
          <w:rFonts w:hint="eastAsia" w:ascii="仿宋_GB2312" w:eastAsia="仿宋_GB2312"/>
          <w:b w:val="0"/>
          <w:bCs w:val="0"/>
          <w:sz w:val="32"/>
          <w:szCs w:val="32"/>
        </w:rPr>
        <w:t>，依托</w:t>
      </w:r>
      <w:r>
        <w:rPr>
          <w:rFonts w:ascii="仿宋_GB2312" w:eastAsia="仿宋_GB2312"/>
          <w:b w:val="0"/>
          <w:bCs w:val="0"/>
          <w:sz w:val="32"/>
          <w:szCs w:val="32"/>
        </w:rPr>
        <w:t>全省</w:t>
      </w:r>
      <w:r>
        <w:rPr>
          <w:rFonts w:ascii="仿宋_GB2312" w:eastAsia="仿宋_GB2312"/>
          <w:sz w:val="32"/>
          <w:szCs w:val="32"/>
        </w:rPr>
        <w:t>统一</w:t>
      </w:r>
      <w:r>
        <w:rPr>
          <w:rFonts w:hint="eastAsia" w:ascii="仿宋_GB2312" w:eastAsia="仿宋_GB2312"/>
          <w:sz w:val="32"/>
          <w:szCs w:val="32"/>
        </w:rPr>
        <w:t>系统</w:t>
      </w:r>
      <w:r>
        <w:rPr>
          <w:rFonts w:ascii="仿宋_GB2312" w:eastAsia="仿宋_GB2312"/>
          <w:sz w:val="32"/>
          <w:szCs w:val="32"/>
        </w:rPr>
        <w:t>平台，</w:t>
      </w:r>
      <w:r>
        <w:rPr>
          <w:rFonts w:hint="eastAsia" w:ascii="仿宋_GB2312" w:eastAsia="仿宋_GB2312"/>
          <w:sz w:val="32"/>
          <w:szCs w:val="32"/>
        </w:rPr>
        <w:t>持续推进</w:t>
      </w:r>
      <w:r>
        <w:rPr>
          <w:rFonts w:ascii="仿宋_GB2312" w:eastAsia="仿宋_GB2312"/>
          <w:sz w:val="32"/>
          <w:szCs w:val="32"/>
        </w:rPr>
        <w:t>全市</w:t>
      </w:r>
      <w:r>
        <w:rPr>
          <w:rFonts w:hint="eastAsia" w:ascii="仿宋_GB2312" w:eastAsia="仿宋_GB2312"/>
          <w:sz w:val="32"/>
          <w:szCs w:val="32"/>
        </w:rPr>
        <w:t>教育、民政、人社、住建、交通、文旅、体育、医疗、医保、退役军人等信息化民生工程建设，推进全市公共</w:t>
      </w:r>
      <w:r>
        <w:rPr>
          <w:rFonts w:ascii="仿宋_GB2312" w:eastAsia="仿宋_GB2312"/>
          <w:sz w:val="32"/>
          <w:szCs w:val="32"/>
        </w:rPr>
        <w:t>服务</w:t>
      </w:r>
      <w:r>
        <w:rPr>
          <w:rFonts w:hint="eastAsia" w:ascii="仿宋_GB2312" w:eastAsia="仿宋_GB2312"/>
          <w:sz w:val="32"/>
          <w:szCs w:val="32"/>
        </w:rPr>
        <w:t>在线化、城乡均等化、普惠化、便捷化。</w:t>
      </w:r>
    </w:p>
    <w:p>
      <w:pPr>
        <w:spacing w:line="560" w:lineRule="exact"/>
        <w:ind w:firstLine="640" w:firstLineChars="200"/>
        <w:rPr>
          <w:rFonts w:ascii="仿宋_GB2312" w:eastAsia="仿宋_GB2312"/>
          <w:sz w:val="32"/>
          <w:szCs w:val="32"/>
        </w:rPr>
      </w:pPr>
      <w:r>
        <w:rPr>
          <w:rFonts w:hint="eastAsia" w:ascii="黑体" w:hAnsi="黑体" w:eastAsia="黑体" w:cs="黑体"/>
          <w:b w:val="0"/>
          <w:bCs w:val="0"/>
          <w:sz w:val="32"/>
          <w:szCs w:val="32"/>
          <w:lang w:eastAsia="zh-CN"/>
        </w:rPr>
        <w:t>二、健全本地数字政府治理体系。</w:t>
      </w:r>
      <w:r>
        <w:rPr>
          <w:rFonts w:hint="eastAsia" w:ascii="仿宋_GB2312" w:eastAsia="仿宋_GB2312"/>
          <w:b w:val="0"/>
          <w:bCs w:val="0"/>
          <w:sz w:val="32"/>
          <w:szCs w:val="32"/>
        </w:rPr>
        <w:t>加强城市治理，整合强化基层社会治理业务，推动形成全周期、全科式综合治理格局，提高全市社会治理的信息化、智能化、精细化水平。</w:t>
      </w:r>
      <w:r>
        <w:rPr>
          <w:rFonts w:hint="eastAsia" w:ascii="仿宋_GB2312" w:eastAsia="仿宋_GB2312"/>
          <w:b w:val="0"/>
          <w:bCs w:val="0"/>
          <w:sz w:val="32"/>
          <w:szCs w:val="32"/>
          <w:lang w:eastAsia="zh-CN"/>
        </w:rPr>
        <w:t>推进</w:t>
      </w:r>
      <w:r>
        <w:rPr>
          <w:rFonts w:hint="eastAsia" w:ascii="仿宋_GB2312" w:eastAsia="仿宋_GB2312"/>
          <w:b w:val="0"/>
          <w:bCs w:val="0"/>
          <w:sz w:val="32"/>
          <w:szCs w:val="32"/>
        </w:rPr>
        <w:t>乡村治理，以实现精细农业、精美农村、精勤农民为总体目标，提升农业农村生产智能化、经营网络化、管理高效化、服务便捷化水平，推进乡村治理能力现代化。</w:t>
      </w:r>
      <w:r>
        <w:rPr>
          <w:rFonts w:hint="eastAsia" w:ascii="仿宋_GB2312" w:eastAsia="仿宋_GB2312"/>
          <w:b w:val="0"/>
          <w:bCs w:val="0"/>
          <w:sz w:val="32"/>
          <w:szCs w:val="32"/>
          <w:lang w:eastAsia="zh-CN"/>
        </w:rPr>
        <w:t>推进</w:t>
      </w:r>
      <w:r>
        <w:rPr>
          <w:rFonts w:hint="eastAsia" w:ascii="仿宋_GB2312" w:eastAsia="仿宋_GB2312"/>
          <w:b w:val="0"/>
          <w:bCs w:val="0"/>
          <w:sz w:val="32"/>
          <w:szCs w:val="32"/>
        </w:rPr>
        <w:t>市场治理，加强市场环境治理，提高执法效能，建立跨部门、跨层级、跨地区联动响应和失信约束机制，形成政府公正监管、企业诚信自律、社会公众监督共治良好氛围。</w:t>
      </w:r>
      <w:r>
        <w:rPr>
          <w:rFonts w:hint="eastAsia" w:ascii="仿宋_GB2312" w:eastAsia="仿宋_GB2312"/>
          <w:b w:val="0"/>
          <w:bCs w:val="0"/>
          <w:sz w:val="32"/>
          <w:szCs w:val="32"/>
          <w:lang w:eastAsia="zh-CN"/>
        </w:rPr>
        <w:t>加强</w:t>
      </w:r>
      <w:r>
        <w:rPr>
          <w:rFonts w:hint="eastAsia" w:ascii="仿宋_GB2312" w:eastAsia="仿宋_GB2312"/>
          <w:b w:val="0"/>
          <w:bCs w:val="0"/>
          <w:sz w:val="32"/>
          <w:szCs w:val="32"/>
        </w:rPr>
        <w:t>生态治理，</w:t>
      </w:r>
      <w:r>
        <w:rPr>
          <w:rFonts w:hint="eastAsia" w:ascii="仿宋_GB2312" w:eastAsia="仿宋_GB2312"/>
          <w:sz w:val="32"/>
          <w:szCs w:val="32"/>
        </w:rPr>
        <w:t>推进自然资源、生态环境、林业资源、水利工程以及气象等领域的管理和服务走向科学化、精细化，提升对各类生态风险的防范和治理能力。</w:t>
      </w:r>
      <w:r>
        <w:rPr>
          <w:rFonts w:hint="eastAsia" w:ascii="仿宋_GB2312" w:eastAsia="仿宋_GB2312"/>
          <w:sz w:val="32"/>
          <w:szCs w:val="32"/>
          <w:lang w:eastAsia="zh-CN"/>
        </w:rPr>
        <w:t>加强市域治理，依据省“一网统管”基础平台（粤治慧），实现经济调节、市场监管、社会管理、公共服务、生态环境保护等领域行业的</w:t>
      </w:r>
      <w:r>
        <w:rPr>
          <w:rFonts w:hint="eastAsia" w:ascii="仿宋_GB2312" w:eastAsia="仿宋_GB2312"/>
          <w:sz w:val="32"/>
          <w:szCs w:val="32"/>
          <w:lang w:val="en-US" w:eastAsia="zh-CN"/>
        </w:rPr>
        <w:t>全覆盖，推动政府决策的科学精准，城市管理更加精细智能。</w:t>
      </w:r>
    </w:p>
    <w:p>
      <w:pPr>
        <w:spacing w:line="560" w:lineRule="exact"/>
        <w:ind w:firstLine="640" w:firstLineChars="200"/>
        <w:rPr>
          <w:rFonts w:hint="eastAsia" w:ascii="仿宋_GB2312" w:eastAsia="仿宋_GB2312"/>
          <w:sz w:val="32"/>
          <w:szCs w:val="32"/>
        </w:rPr>
      </w:pPr>
      <w:r>
        <w:rPr>
          <w:rFonts w:hint="eastAsia" w:ascii="黑体" w:hAnsi="黑体" w:eastAsia="黑体" w:cs="黑体"/>
          <w:b w:val="0"/>
          <w:bCs w:val="0"/>
          <w:sz w:val="32"/>
          <w:szCs w:val="32"/>
          <w:lang w:eastAsia="zh-CN"/>
        </w:rPr>
        <w:t>三、优化本地数字政府协同机制。</w:t>
      </w:r>
      <w:r>
        <w:rPr>
          <w:rFonts w:hint="eastAsia" w:ascii="仿宋_GB2312" w:eastAsia="仿宋_GB2312"/>
          <w:b w:val="0"/>
          <w:bCs/>
          <w:sz w:val="32"/>
          <w:szCs w:val="32"/>
        </w:rPr>
        <w:t>提升政府发展</w:t>
      </w:r>
      <w:r>
        <w:rPr>
          <w:rFonts w:ascii="仿宋_GB2312" w:eastAsia="仿宋_GB2312"/>
          <w:b w:val="0"/>
          <w:bCs/>
          <w:sz w:val="32"/>
          <w:szCs w:val="32"/>
        </w:rPr>
        <w:t>决策与行业</w:t>
      </w:r>
      <w:r>
        <w:rPr>
          <w:rFonts w:hint="eastAsia" w:ascii="仿宋_GB2312" w:eastAsia="仿宋_GB2312"/>
          <w:b w:val="0"/>
          <w:bCs/>
          <w:sz w:val="32"/>
          <w:szCs w:val="32"/>
        </w:rPr>
        <w:t>管理等业务数字化水平，着力强化以数据为核心的管理模式创新，提升各级政府综合行政管理能力。</w:t>
      </w:r>
      <w:r>
        <w:rPr>
          <w:rFonts w:hint="eastAsia" w:ascii="仿宋_GB2312" w:eastAsia="仿宋_GB2312"/>
          <w:b w:val="0"/>
          <w:bCs/>
          <w:sz w:val="32"/>
          <w:szCs w:val="32"/>
          <w:lang w:eastAsia="zh-CN"/>
        </w:rPr>
        <w:t>在推进</w:t>
      </w:r>
      <w:r>
        <w:rPr>
          <w:rFonts w:hint="eastAsia" w:ascii="仿宋_GB2312" w:eastAsia="仿宋_GB2312"/>
          <w:b w:val="0"/>
          <w:bCs/>
          <w:sz w:val="32"/>
          <w:szCs w:val="32"/>
        </w:rPr>
        <w:t>协同联动</w:t>
      </w:r>
      <w:r>
        <w:rPr>
          <w:rFonts w:hint="eastAsia" w:ascii="仿宋_GB2312" w:eastAsia="仿宋_GB2312"/>
          <w:b w:val="0"/>
          <w:bCs/>
          <w:sz w:val="32"/>
          <w:szCs w:val="32"/>
          <w:lang w:eastAsia="zh-CN"/>
        </w:rPr>
        <w:t>方面</w:t>
      </w:r>
      <w:r>
        <w:rPr>
          <w:rFonts w:hint="eastAsia" w:ascii="仿宋_GB2312" w:eastAsia="仿宋_GB2312"/>
          <w:b w:val="0"/>
          <w:bCs/>
          <w:sz w:val="32"/>
          <w:szCs w:val="32"/>
        </w:rPr>
        <w:t>，构建跨层级、跨地域、跨部门“枢纽”协同能力，实现决策指挥协同、办公协同、审批协同和监管协同，适应新形势下政府治理体系和治理能力现代化的要求。</w:t>
      </w:r>
      <w:r>
        <w:rPr>
          <w:rFonts w:hint="eastAsia" w:ascii="仿宋_GB2312" w:eastAsia="仿宋_GB2312"/>
          <w:b w:val="0"/>
          <w:bCs/>
          <w:sz w:val="32"/>
          <w:szCs w:val="32"/>
          <w:lang w:eastAsia="zh-CN"/>
        </w:rPr>
        <w:t>在提高</w:t>
      </w:r>
      <w:r>
        <w:rPr>
          <w:rFonts w:hint="eastAsia" w:ascii="仿宋_GB2312" w:eastAsia="仿宋_GB2312"/>
          <w:b w:val="0"/>
          <w:bCs/>
          <w:sz w:val="32"/>
          <w:szCs w:val="32"/>
        </w:rPr>
        <w:t>工作效能</w:t>
      </w:r>
      <w:r>
        <w:rPr>
          <w:rFonts w:hint="eastAsia" w:ascii="仿宋_GB2312" w:eastAsia="仿宋_GB2312"/>
          <w:b w:val="0"/>
          <w:bCs/>
          <w:sz w:val="32"/>
          <w:szCs w:val="32"/>
          <w:lang w:eastAsia="zh-CN"/>
        </w:rPr>
        <w:t>方面</w:t>
      </w:r>
      <w:r>
        <w:rPr>
          <w:rFonts w:hint="eastAsia" w:ascii="仿宋_GB2312" w:eastAsia="仿宋_GB2312"/>
          <w:b w:val="0"/>
          <w:bCs/>
          <w:sz w:val="32"/>
          <w:szCs w:val="32"/>
        </w:rPr>
        <w:t>，推进政府机关内部数字化进程，减少部门间办事的跑动次数，提高移动办公能力，为基层公务人员减负增效。</w:t>
      </w:r>
      <w:r>
        <w:rPr>
          <w:rFonts w:hint="eastAsia" w:ascii="仿宋_GB2312" w:eastAsia="仿宋_GB2312"/>
          <w:b w:val="0"/>
          <w:bCs/>
          <w:sz w:val="32"/>
          <w:szCs w:val="32"/>
          <w:lang w:eastAsia="zh-CN"/>
        </w:rPr>
        <w:t>在推动</w:t>
      </w:r>
      <w:r>
        <w:rPr>
          <w:rFonts w:hint="eastAsia" w:ascii="仿宋_GB2312" w:eastAsia="仿宋_GB2312"/>
          <w:b w:val="0"/>
          <w:bCs/>
          <w:sz w:val="32"/>
          <w:szCs w:val="32"/>
        </w:rPr>
        <w:t>党群和民主</w:t>
      </w:r>
      <w:r>
        <w:rPr>
          <w:rFonts w:hint="eastAsia" w:ascii="仿宋_GB2312" w:eastAsia="仿宋_GB2312"/>
          <w:sz w:val="32"/>
          <w:szCs w:val="32"/>
        </w:rPr>
        <w:t>法治</w:t>
      </w:r>
      <w:r>
        <w:rPr>
          <w:rFonts w:hint="eastAsia" w:ascii="仿宋_GB2312" w:eastAsia="仿宋_GB2312"/>
          <w:sz w:val="32"/>
          <w:szCs w:val="32"/>
          <w:lang w:eastAsia="zh-CN"/>
        </w:rPr>
        <w:t>信息化建设方面</w:t>
      </w:r>
      <w:r>
        <w:rPr>
          <w:rFonts w:hint="eastAsia" w:ascii="仿宋_GB2312" w:eastAsia="仿宋_GB2312"/>
          <w:sz w:val="32"/>
          <w:szCs w:val="32"/>
        </w:rPr>
        <w:t>，基于数字政府</w:t>
      </w:r>
      <w:r>
        <w:rPr>
          <w:rFonts w:hint="eastAsia" w:ascii="仿宋_GB2312" w:eastAsia="仿宋_GB2312"/>
          <w:sz w:val="32"/>
          <w:szCs w:val="32"/>
          <w:lang w:eastAsia="zh-CN"/>
        </w:rPr>
        <w:t>一体化</w:t>
      </w:r>
      <w:r>
        <w:rPr>
          <w:rFonts w:hint="eastAsia" w:ascii="仿宋_GB2312" w:eastAsia="仿宋_GB2312"/>
          <w:sz w:val="32"/>
          <w:szCs w:val="32"/>
        </w:rPr>
        <w:t>平台的</w:t>
      </w:r>
      <w:r>
        <w:rPr>
          <w:rFonts w:hint="eastAsia" w:ascii="仿宋_GB2312" w:eastAsia="仿宋_GB2312"/>
          <w:sz w:val="32"/>
          <w:szCs w:val="32"/>
          <w:lang w:eastAsia="zh-CN"/>
        </w:rPr>
        <w:t>支撑</w:t>
      </w:r>
      <w:r>
        <w:rPr>
          <w:rFonts w:hint="eastAsia" w:ascii="仿宋_GB2312" w:eastAsia="仿宋_GB2312"/>
          <w:sz w:val="32"/>
          <w:szCs w:val="32"/>
        </w:rPr>
        <w:t>能力，支持市</w:t>
      </w:r>
      <w:r>
        <w:rPr>
          <w:rFonts w:hint="eastAsia" w:ascii="仿宋_GB2312" w:eastAsia="仿宋_GB2312"/>
          <w:sz w:val="32"/>
          <w:szCs w:val="32"/>
          <w:lang w:eastAsia="zh-CN"/>
        </w:rPr>
        <w:t>、区、</w:t>
      </w:r>
      <w:r>
        <w:rPr>
          <w:rFonts w:ascii="仿宋_GB2312" w:eastAsia="仿宋_GB2312"/>
          <w:sz w:val="32"/>
          <w:szCs w:val="32"/>
        </w:rPr>
        <w:t>镇</w:t>
      </w:r>
      <w:r>
        <w:rPr>
          <w:rFonts w:hint="eastAsia" w:ascii="仿宋_GB2312" w:eastAsia="仿宋_GB2312"/>
          <w:sz w:val="32"/>
          <w:szCs w:val="32"/>
          <w:lang w:eastAsia="zh-CN"/>
        </w:rPr>
        <w:t>街</w:t>
      </w:r>
      <w:r>
        <w:rPr>
          <w:rFonts w:hint="eastAsia" w:ascii="仿宋_GB2312" w:eastAsia="仿宋_GB2312"/>
          <w:sz w:val="32"/>
          <w:szCs w:val="32"/>
        </w:rPr>
        <w:t>党委、人大、政协</w:t>
      </w:r>
      <w:r>
        <w:rPr>
          <w:rFonts w:hint="eastAsia" w:ascii="仿宋_GB2312" w:eastAsia="仿宋_GB2312"/>
          <w:sz w:val="32"/>
          <w:szCs w:val="32"/>
          <w:lang w:eastAsia="zh-CN"/>
        </w:rPr>
        <w:t>、</w:t>
      </w:r>
      <w:r>
        <w:rPr>
          <w:rFonts w:hint="eastAsia" w:ascii="仿宋_GB2312" w:eastAsia="仿宋_GB2312"/>
          <w:sz w:val="32"/>
          <w:szCs w:val="32"/>
        </w:rPr>
        <w:t>司法等机关部门</w:t>
      </w:r>
      <w:r>
        <w:rPr>
          <w:rFonts w:hint="eastAsia" w:ascii="仿宋_GB2312" w:eastAsia="仿宋_GB2312"/>
          <w:sz w:val="32"/>
          <w:szCs w:val="32"/>
          <w:lang w:eastAsia="zh-CN"/>
        </w:rPr>
        <w:t>开展</w:t>
      </w:r>
      <w:r>
        <w:rPr>
          <w:rFonts w:hint="eastAsia" w:ascii="仿宋_GB2312" w:eastAsia="仿宋_GB2312"/>
          <w:sz w:val="32"/>
          <w:szCs w:val="32"/>
        </w:rPr>
        <w:t>信息化建设，强化新技术应用，提高党群数字化服务能力，优化人大政协数字化履职能力，促进司法机关应用创新，推动民主党派和群团机关向数字化转型，实现与相关政府部门的高效协同。</w:t>
      </w:r>
    </w:p>
    <w:p>
      <w:pPr>
        <w:spacing w:line="560" w:lineRule="exact"/>
        <w:ind w:firstLine="640" w:firstLineChars="200"/>
        <w:rPr>
          <w:rFonts w:hint="eastAsia" w:ascii="仿宋_GB2312" w:eastAsia="仿宋_GB2312"/>
          <w:sz w:val="32"/>
          <w:szCs w:val="32"/>
        </w:rPr>
      </w:pPr>
    </w:p>
    <w:p>
      <w:pPr>
        <w:numPr>
          <w:ilvl w:val="0"/>
          <w:numId w:val="4"/>
        </w:numPr>
        <w:spacing w:line="560" w:lineRule="exact"/>
        <w:ind w:firstLine="640" w:firstLineChars="200"/>
        <w:jc w:val="center"/>
        <w:outlineLvl w:val="1"/>
        <w:rPr>
          <w:rFonts w:hint="eastAsia" w:ascii="黑体" w:hAnsi="黑体" w:eastAsia="黑体" w:cs="黑体"/>
          <w:sz w:val="32"/>
          <w:szCs w:val="32"/>
          <w:lang w:val="en-US" w:eastAsia="zh-CN"/>
        </w:rPr>
      </w:pPr>
      <w:bookmarkStart w:id="25" w:name="_Toc13669"/>
      <w:bookmarkStart w:id="26" w:name="_Toc5800"/>
      <w:r>
        <w:rPr>
          <w:rFonts w:hint="eastAsia" w:ascii="黑体" w:hAnsi="黑体" w:eastAsia="黑体" w:cs="黑体"/>
          <w:sz w:val="32"/>
          <w:szCs w:val="32"/>
          <w:lang w:val="en-US" w:eastAsia="zh-CN"/>
        </w:rPr>
        <w:t>技术架构</w:t>
      </w:r>
      <w:bookmarkEnd w:id="25"/>
      <w:bookmarkEnd w:id="26"/>
    </w:p>
    <w:p>
      <w:pPr>
        <w:widowControl w:val="0"/>
        <w:numPr>
          <w:ilvl w:val="0"/>
          <w:numId w:val="0"/>
        </w:numPr>
        <w:spacing w:line="560" w:lineRule="exact"/>
        <w:jc w:val="center"/>
        <w:rPr>
          <w:rFonts w:hint="eastAsia" w:ascii="黑体" w:hAnsi="黑体" w:eastAsia="黑体" w:cs="黑体"/>
          <w:sz w:val="32"/>
          <w:szCs w:val="32"/>
          <w:lang w:val="en-US" w:eastAsia="zh-CN"/>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完善以“集约共享、数据赋能”为特征，</w:t>
      </w:r>
      <w:r>
        <w:rPr>
          <w:rFonts w:hint="eastAsia" w:ascii="仿宋_GB2312" w:eastAsia="仿宋_GB2312"/>
          <w:sz w:val="32"/>
          <w:szCs w:val="32"/>
          <w:lang w:eastAsia="zh-CN"/>
        </w:rPr>
        <w:t>构建</w:t>
      </w:r>
      <w:r>
        <w:rPr>
          <w:rFonts w:hint="eastAsia" w:ascii="仿宋_GB2312" w:eastAsia="仿宋_GB2312"/>
          <w:sz w:val="32"/>
          <w:szCs w:val="32"/>
        </w:rPr>
        <w:t>“省</w:t>
      </w:r>
      <w:r>
        <w:rPr>
          <w:rFonts w:ascii="仿宋_GB2312" w:eastAsia="仿宋_GB2312"/>
          <w:sz w:val="32"/>
          <w:szCs w:val="32"/>
        </w:rPr>
        <w:t>级统一系统搭载本地应用</w:t>
      </w:r>
      <w:r>
        <w:rPr>
          <w:rFonts w:hint="eastAsia" w:ascii="仿宋_GB2312" w:eastAsia="仿宋_GB2312"/>
          <w:sz w:val="32"/>
          <w:szCs w:val="32"/>
        </w:rPr>
        <w:t>”的技术架构</w:t>
      </w:r>
      <w:r>
        <w:rPr>
          <w:rFonts w:hint="eastAsia" w:ascii="仿宋_GB2312" w:eastAsia="仿宋_GB2312"/>
          <w:sz w:val="32"/>
          <w:szCs w:val="32"/>
          <w:lang w:eastAsia="zh-CN"/>
        </w:rPr>
        <w:t>，即</w:t>
      </w:r>
      <w:r>
        <w:rPr>
          <w:rFonts w:hint="eastAsia" w:ascii="仿宋_GB2312" w:eastAsia="仿宋_GB2312"/>
          <w:sz w:val="32"/>
          <w:szCs w:val="32"/>
        </w:rPr>
        <w:t>秉承全省</w:t>
      </w:r>
      <w:r>
        <w:rPr>
          <w:rFonts w:ascii="仿宋_GB2312" w:eastAsia="仿宋_GB2312"/>
          <w:sz w:val="32"/>
          <w:szCs w:val="32"/>
        </w:rPr>
        <w:t>系统平台</w:t>
      </w:r>
      <w:r>
        <w:rPr>
          <w:rFonts w:hint="eastAsia" w:ascii="仿宋_GB2312" w:eastAsia="仿宋_GB2312"/>
          <w:sz w:val="32"/>
          <w:szCs w:val="32"/>
        </w:rPr>
        <w:t>“五横三纵”（其中</w:t>
      </w:r>
      <w:r>
        <w:rPr>
          <w:rFonts w:ascii="仿宋_GB2312" w:eastAsia="仿宋_GB2312"/>
          <w:sz w:val="32"/>
          <w:szCs w:val="32"/>
        </w:rPr>
        <w:t>，</w:t>
      </w:r>
      <w:r>
        <w:rPr>
          <w:rFonts w:hint="eastAsia" w:ascii="仿宋_GB2312" w:eastAsia="仿宋_GB2312"/>
          <w:sz w:val="32"/>
          <w:szCs w:val="32"/>
        </w:rPr>
        <w:t>“五横”分别是用户交互层、业务应用层、应用支撑层、数据资源层及基础设施层，“三纵”分别是信息安全、标准规范和运行管理）</w:t>
      </w:r>
      <w:r>
        <w:rPr>
          <w:rFonts w:hint="eastAsia" w:ascii="仿宋_GB2312" w:eastAsia="仿宋_GB2312"/>
          <w:sz w:val="32"/>
          <w:szCs w:val="32"/>
          <w:lang w:eastAsia="zh-CN"/>
        </w:rPr>
        <w:t>的</w:t>
      </w:r>
      <w:r>
        <w:rPr>
          <w:rFonts w:hint="eastAsia" w:ascii="仿宋_GB2312" w:eastAsia="仿宋_GB2312"/>
          <w:sz w:val="32"/>
          <w:szCs w:val="32"/>
        </w:rPr>
        <w:t>技术</w:t>
      </w:r>
      <w:r>
        <w:rPr>
          <w:rFonts w:ascii="仿宋_GB2312" w:eastAsia="仿宋_GB2312"/>
          <w:sz w:val="32"/>
          <w:szCs w:val="32"/>
        </w:rPr>
        <w:t>架构，</w:t>
      </w:r>
      <w:r>
        <w:rPr>
          <w:rFonts w:hint="eastAsia" w:ascii="仿宋_GB2312" w:eastAsia="仿宋_GB2312"/>
          <w:sz w:val="32"/>
          <w:szCs w:val="32"/>
        </w:rPr>
        <w:t>业务</w:t>
      </w:r>
      <w:r>
        <w:rPr>
          <w:rFonts w:ascii="仿宋_GB2312" w:eastAsia="仿宋_GB2312"/>
          <w:sz w:val="32"/>
          <w:szCs w:val="32"/>
        </w:rPr>
        <w:t>应用层</w:t>
      </w:r>
      <w:r>
        <w:rPr>
          <w:rFonts w:hint="eastAsia" w:ascii="仿宋_GB2312" w:eastAsia="仿宋_GB2312"/>
          <w:sz w:val="32"/>
          <w:szCs w:val="32"/>
        </w:rPr>
        <w:t>挂载</w:t>
      </w:r>
      <w:r>
        <w:rPr>
          <w:rFonts w:ascii="仿宋_GB2312" w:eastAsia="仿宋_GB2312"/>
          <w:sz w:val="32"/>
          <w:szCs w:val="32"/>
        </w:rPr>
        <w:t>本地特色应用</w:t>
      </w:r>
      <w:r>
        <w:rPr>
          <w:rFonts w:hint="eastAsia" w:ascii="仿宋_GB2312" w:eastAsia="仿宋_GB2312"/>
          <w:sz w:val="32"/>
          <w:szCs w:val="32"/>
        </w:rPr>
        <w:t>+</w:t>
      </w:r>
      <w:r>
        <w:rPr>
          <w:rFonts w:ascii="仿宋_GB2312" w:eastAsia="仿宋_GB2312"/>
          <w:sz w:val="32"/>
          <w:szCs w:val="32"/>
        </w:rPr>
        <w:t>全省统一</w:t>
      </w:r>
      <w:r>
        <w:rPr>
          <w:rFonts w:hint="eastAsia" w:ascii="仿宋_GB2312" w:eastAsia="仿宋_GB2312"/>
          <w:sz w:val="32"/>
          <w:szCs w:val="32"/>
        </w:rPr>
        <w:t>应用</w:t>
      </w:r>
      <w:r>
        <w:rPr>
          <w:rFonts w:ascii="仿宋_GB2312" w:eastAsia="仿宋_GB2312"/>
          <w:sz w:val="32"/>
          <w:szCs w:val="32"/>
        </w:rPr>
        <w:t>，</w:t>
      </w:r>
      <w:r>
        <w:rPr>
          <w:rFonts w:hint="eastAsia" w:ascii="仿宋_GB2312" w:eastAsia="仿宋_GB2312"/>
          <w:sz w:val="32"/>
          <w:szCs w:val="32"/>
        </w:rPr>
        <w:t>形成“全省</w:t>
      </w:r>
      <w:r>
        <w:rPr>
          <w:rFonts w:ascii="仿宋_GB2312" w:eastAsia="仿宋_GB2312"/>
          <w:sz w:val="32"/>
          <w:szCs w:val="32"/>
        </w:rPr>
        <w:t>统一系统</w:t>
      </w:r>
      <w:r>
        <w:rPr>
          <w:rFonts w:hint="eastAsia" w:ascii="仿宋_GB2312" w:eastAsia="仿宋_GB2312"/>
          <w:sz w:val="32"/>
          <w:szCs w:val="32"/>
        </w:rPr>
        <w:t>平台</w:t>
      </w:r>
      <w:r>
        <w:rPr>
          <w:rFonts w:ascii="仿宋_GB2312" w:eastAsia="仿宋_GB2312"/>
          <w:sz w:val="32"/>
          <w:szCs w:val="32"/>
        </w:rPr>
        <w:t>+</w:t>
      </w:r>
      <w:r>
        <w:rPr>
          <w:rFonts w:hint="eastAsia" w:ascii="仿宋_GB2312" w:eastAsia="仿宋_GB2312"/>
          <w:sz w:val="32"/>
          <w:szCs w:val="32"/>
        </w:rPr>
        <w:t>全省</w:t>
      </w:r>
      <w:r>
        <w:rPr>
          <w:rFonts w:ascii="仿宋_GB2312" w:eastAsia="仿宋_GB2312"/>
          <w:sz w:val="32"/>
          <w:szCs w:val="32"/>
        </w:rPr>
        <w:t>统一系统应用+本市特色应用</w:t>
      </w:r>
      <w:r>
        <w:rPr>
          <w:rFonts w:hint="eastAsia" w:ascii="仿宋_GB2312" w:eastAsia="仿宋_GB2312"/>
          <w:sz w:val="32"/>
          <w:szCs w:val="32"/>
        </w:rPr>
        <w:t>”的</w:t>
      </w:r>
      <w:r>
        <w:rPr>
          <w:rFonts w:hint="eastAsia" w:ascii="仿宋_GB2312" w:eastAsia="仿宋_GB2312"/>
          <w:sz w:val="32"/>
          <w:szCs w:val="32"/>
          <w:lang w:eastAsia="zh-CN"/>
        </w:rPr>
        <w:t>汕头</w:t>
      </w:r>
      <w:r>
        <w:rPr>
          <w:rFonts w:ascii="仿宋_GB2312" w:eastAsia="仿宋_GB2312"/>
          <w:sz w:val="32"/>
          <w:szCs w:val="32"/>
        </w:rPr>
        <w:t>数字政府</w:t>
      </w:r>
      <w:r>
        <w:rPr>
          <w:rFonts w:hint="eastAsia" w:ascii="仿宋_GB2312" w:eastAsia="仿宋_GB2312"/>
          <w:sz w:val="32"/>
          <w:szCs w:val="32"/>
        </w:rPr>
        <w:t>框架</w:t>
      </w:r>
      <w:r>
        <w:rPr>
          <w:rFonts w:ascii="仿宋_GB2312" w:eastAsia="仿宋_GB2312"/>
          <w:sz w:val="32"/>
          <w:szCs w:val="32"/>
        </w:rPr>
        <w:t>体系。</w:t>
      </w:r>
    </w:p>
    <w:p>
      <w:pPr>
        <w:rPr>
          <w:rFonts w:ascii="仿宋_GB2312" w:eastAsia="仿宋_GB2312"/>
          <w:sz w:val="32"/>
          <w:szCs w:val="32"/>
        </w:rPr>
      </w:pPr>
      <w:r>
        <w:rPr>
          <w:rFonts w:ascii="仿宋_GB2312" w:eastAsia="仿宋_GB2312"/>
          <w:sz w:val="32"/>
          <w:szCs w:val="32"/>
        </w:rPr>
        <w:drawing>
          <wp:inline distT="0" distB="0" distL="114300" distR="114300">
            <wp:extent cx="5225415" cy="2389505"/>
            <wp:effectExtent l="0" t="0" r="1333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225415" cy="2389505"/>
                    </a:xfrm>
                    <a:prstGeom prst="rect">
                      <a:avLst/>
                    </a:prstGeom>
                    <a:noFill/>
                    <a:ln w="9525">
                      <a:noFill/>
                    </a:ln>
                  </pic:spPr>
                </pic:pic>
              </a:graphicData>
            </a:graphic>
          </wp:inline>
        </w:drawing>
      </w:r>
      <w:bookmarkStart w:id="42" w:name="_GoBack"/>
      <w:bookmarkEnd w:id="42"/>
    </w:p>
    <w:p>
      <w:pPr>
        <w:spacing w:line="560" w:lineRule="exact"/>
        <w:jc w:val="center"/>
        <w:rPr>
          <w:rFonts w:ascii="仿宋_GB2312" w:eastAsia="仿宋_GB2312"/>
          <w:b/>
          <w:bCs/>
          <w:sz w:val="28"/>
          <w:szCs w:val="32"/>
        </w:rPr>
      </w:pPr>
      <w:r>
        <w:rPr>
          <w:rFonts w:hint="eastAsia" w:ascii="仿宋_GB2312" w:eastAsia="仿宋_GB2312"/>
          <w:b/>
          <w:bCs/>
          <w:sz w:val="28"/>
          <w:szCs w:val="32"/>
        </w:rPr>
        <w:t>图1</w:t>
      </w:r>
      <w:r>
        <w:rPr>
          <w:rFonts w:ascii="仿宋_GB2312" w:eastAsia="仿宋_GB2312"/>
          <w:b/>
          <w:bCs/>
          <w:sz w:val="28"/>
          <w:szCs w:val="32"/>
        </w:rPr>
        <w:t>-</w:t>
      </w:r>
      <w:r>
        <w:rPr>
          <w:rFonts w:hint="eastAsia" w:ascii="仿宋_GB2312" w:eastAsia="仿宋_GB2312"/>
          <w:b/>
          <w:bCs/>
          <w:sz w:val="28"/>
          <w:szCs w:val="32"/>
          <w:lang w:eastAsia="zh-CN"/>
        </w:rPr>
        <w:t>汕头</w:t>
      </w:r>
      <w:r>
        <w:rPr>
          <w:rFonts w:ascii="仿宋_GB2312" w:eastAsia="仿宋_GB2312"/>
          <w:b/>
          <w:bCs/>
          <w:sz w:val="28"/>
          <w:szCs w:val="32"/>
        </w:rPr>
        <w:t>市</w:t>
      </w:r>
      <w:r>
        <w:rPr>
          <w:rFonts w:hint="eastAsia" w:ascii="仿宋_GB2312" w:eastAsia="仿宋_GB2312"/>
          <w:b/>
          <w:bCs/>
          <w:sz w:val="28"/>
          <w:szCs w:val="32"/>
        </w:rPr>
        <w:t>“数字</w:t>
      </w:r>
      <w:r>
        <w:rPr>
          <w:rFonts w:ascii="仿宋_GB2312" w:eastAsia="仿宋_GB2312"/>
          <w:b/>
          <w:bCs/>
          <w:sz w:val="28"/>
          <w:szCs w:val="32"/>
        </w:rPr>
        <w:t>政府</w:t>
      </w:r>
      <w:r>
        <w:rPr>
          <w:rFonts w:hint="eastAsia" w:ascii="仿宋_GB2312" w:eastAsia="仿宋_GB2312"/>
          <w:b/>
          <w:bCs/>
          <w:sz w:val="28"/>
          <w:szCs w:val="32"/>
        </w:rPr>
        <w:t>”技术</w:t>
      </w:r>
      <w:r>
        <w:rPr>
          <w:rFonts w:ascii="仿宋_GB2312" w:eastAsia="仿宋_GB2312"/>
          <w:b/>
          <w:bCs/>
          <w:sz w:val="28"/>
          <w:szCs w:val="32"/>
        </w:rPr>
        <w:t>架构图</w:t>
      </w:r>
    </w:p>
    <w:p>
      <w:pPr>
        <w:numPr>
          <w:ilvl w:val="0"/>
          <w:numId w:val="5"/>
        </w:num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应用层</w:t>
      </w:r>
    </w:p>
    <w:p>
      <w:pPr>
        <w:numPr>
          <w:ilvl w:val="0"/>
          <w:numId w:val="0"/>
        </w:numPr>
        <w:spacing w:line="560" w:lineRule="exact"/>
        <w:ind w:firstLine="640" w:firstLineChars="200"/>
        <w:rPr>
          <w:rFonts w:ascii="仿宋_GB2312" w:eastAsia="仿宋_GB2312"/>
          <w:sz w:val="32"/>
          <w:szCs w:val="32"/>
        </w:rPr>
      </w:pPr>
      <w:r>
        <w:rPr>
          <w:rFonts w:hint="eastAsia" w:ascii="仿宋_GB2312" w:eastAsia="仿宋_GB2312"/>
          <w:sz w:val="32"/>
          <w:szCs w:val="32"/>
        </w:rPr>
        <w:t>对应业务架构的划分，包括政务服务、营商环境、社会治理、生态保护、乡村振兴、协同办公等应用。</w:t>
      </w:r>
    </w:p>
    <w:p>
      <w:pPr>
        <w:numPr>
          <w:ilvl w:val="0"/>
          <w:numId w:val="5"/>
        </w:numPr>
        <w:spacing w:line="560" w:lineRule="exact"/>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应用支撑层</w:t>
      </w:r>
    </w:p>
    <w:p>
      <w:pPr>
        <w:numPr>
          <w:ilvl w:val="0"/>
          <w:numId w:val="0"/>
        </w:numPr>
        <w:spacing w:line="560" w:lineRule="exact"/>
        <w:ind w:firstLine="640" w:firstLineChars="200"/>
        <w:rPr>
          <w:rFonts w:ascii="仿宋_GB2312" w:eastAsia="仿宋_GB2312"/>
          <w:sz w:val="32"/>
          <w:szCs w:val="32"/>
        </w:rPr>
      </w:pPr>
      <w:r>
        <w:rPr>
          <w:rFonts w:hint="eastAsia" w:ascii="仿宋_GB2312" w:eastAsia="仿宋_GB2312"/>
          <w:sz w:val="32"/>
          <w:szCs w:val="32"/>
        </w:rPr>
        <w:t>全面对接省统一建设的应用支撑平台，应用支撑内容主要包括统一身份认证中心、可信证照库、非税支付平台、社会信用公共平台、数据共享平台和地理信息公共平台。</w:t>
      </w:r>
    </w:p>
    <w:p>
      <w:pPr>
        <w:numPr>
          <w:ilvl w:val="0"/>
          <w:numId w:val="5"/>
        </w:numPr>
        <w:spacing w:line="560" w:lineRule="exact"/>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数据服务层</w:t>
      </w:r>
    </w:p>
    <w:p>
      <w:pPr>
        <w:numPr>
          <w:ilvl w:val="0"/>
          <w:numId w:val="0"/>
        </w:numPr>
        <w:spacing w:line="560" w:lineRule="exact"/>
        <w:ind w:firstLine="640" w:firstLineChars="200"/>
        <w:rPr>
          <w:rFonts w:ascii="仿宋_GB2312" w:eastAsia="仿宋_GB2312"/>
          <w:sz w:val="32"/>
          <w:szCs w:val="32"/>
        </w:rPr>
      </w:pPr>
      <w:r>
        <w:rPr>
          <w:rFonts w:hint="eastAsia" w:ascii="仿宋_GB2312" w:eastAsia="仿宋_GB2312"/>
          <w:sz w:val="32"/>
          <w:szCs w:val="32"/>
        </w:rPr>
        <w:t>在省政务大数据中心的统一架构下，构建完善</w:t>
      </w:r>
      <w:r>
        <w:rPr>
          <w:rFonts w:hint="eastAsia" w:ascii="仿宋_GB2312" w:eastAsia="仿宋_GB2312"/>
          <w:sz w:val="32"/>
          <w:szCs w:val="32"/>
          <w:lang w:eastAsia="zh-CN"/>
        </w:rPr>
        <w:t>汕头</w:t>
      </w:r>
      <w:r>
        <w:rPr>
          <w:rFonts w:hint="eastAsia" w:ascii="仿宋_GB2312" w:eastAsia="仿宋_GB2312"/>
          <w:sz w:val="32"/>
          <w:szCs w:val="32"/>
        </w:rPr>
        <w:t>市大数据中心，包括各部门业务主题库、专题库，以及</w:t>
      </w:r>
      <w:r>
        <w:rPr>
          <w:rFonts w:hint="eastAsia" w:ascii="仿宋_GB2312" w:eastAsia="仿宋_GB2312"/>
          <w:sz w:val="32"/>
          <w:szCs w:val="32"/>
          <w:lang w:eastAsia="zh-CN"/>
        </w:rPr>
        <w:t>汕头</w:t>
      </w:r>
      <w:r>
        <w:rPr>
          <w:rFonts w:hint="eastAsia" w:ascii="仿宋_GB2312" w:eastAsia="仿宋_GB2312"/>
          <w:sz w:val="32"/>
          <w:szCs w:val="32"/>
        </w:rPr>
        <w:t>市政务数据资源目录、元数据管理等内容。</w:t>
      </w:r>
    </w:p>
    <w:p>
      <w:pPr>
        <w:numPr>
          <w:ilvl w:val="0"/>
          <w:numId w:val="5"/>
        </w:numPr>
        <w:spacing w:line="560" w:lineRule="exact"/>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基础设施层</w:t>
      </w:r>
    </w:p>
    <w:p>
      <w:pPr>
        <w:numPr>
          <w:ilvl w:val="0"/>
          <w:numId w:val="0"/>
        </w:numPr>
        <w:spacing w:line="560" w:lineRule="exact"/>
        <w:ind w:firstLine="640" w:firstLineChars="200"/>
        <w:rPr>
          <w:rFonts w:ascii="仿宋_GB2312" w:eastAsia="仿宋_GB2312"/>
          <w:sz w:val="32"/>
          <w:szCs w:val="32"/>
        </w:rPr>
      </w:pPr>
      <w:r>
        <w:rPr>
          <w:rFonts w:hint="eastAsia" w:ascii="仿宋_GB2312" w:eastAsia="仿宋_GB2312"/>
          <w:sz w:val="32"/>
          <w:szCs w:val="32"/>
        </w:rPr>
        <w:t>在省“数字政府”1+N+M的云平台架构和政务外网建设的统筹要求下，结合信息技术应用创新技术要求，统一标准、统一建设、统一运营</w:t>
      </w:r>
      <w:r>
        <w:rPr>
          <w:rFonts w:hint="eastAsia" w:ascii="仿宋_GB2312" w:eastAsia="仿宋_GB2312"/>
          <w:sz w:val="32"/>
          <w:szCs w:val="32"/>
          <w:lang w:eastAsia="zh-CN"/>
        </w:rPr>
        <w:t>汕头</w:t>
      </w:r>
      <w:r>
        <w:rPr>
          <w:rFonts w:hint="eastAsia" w:ascii="仿宋_GB2312" w:eastAsia="仿宋_GB2312"/>
          <w:sz w:val="32"/>
          <w:szCs w:val="32"/>
        </w:rPr>
        <w:t>本地的信息基础设施，主要包括政务云、政务网、使用信息技术应用创新技术的终端及外设设备等。</w:t>
      </w:r>
    </w:p>
    <w:p>
      <w:pPr>
        <w:numPr>
          <w:ilvl w:val="0"/>
          <w:numId w:val="5"/>
        </w:numPr>
        <w:spacing w:line="560" w:lineRule="exact"/>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网络安全</w:t>
      </w:r>
    </w:p>
    <w:p>
      <w:pPr>
        <w:numPr>
          <w:ilvl w:val="0"/>
          <w:numId w:val="0"/>
        </w:numPr>
        <w:spacing w:line="560" w:lineRule="exact"/>
        <w:ind w:firstLine="640" w:firstLineChars="200"/>
        <w:rPr>
          <w:rFonts w:ascii="仿宋_GB2312" w:eastAsia="仿宋_GB2312"/>
          <w:sz w:val="32"/>
          <w:szCs w:val="32"/>
        </w:rPr>
      </w:pPr>
      <w:r>
        <w:rPr>
          <w:rFonts w:hint="eastAsia" w:ascii="仿宋_GB2312" w:eastAsia="仿宋_GB2312"/>
          <w:sz w:val="32"/>
          <w:szCs w:val="32"/>
        </w:rPr>
        <w:t>参照省安全防护体系，结合</w:t>
      </w:r>
      <w:r>
        <w:rPr>
          <w:rFonts w:hint="eastAsia" w:ascii="仿宋_GB2312" w:eastAsia="仿宋_GB2312"/>
          <w:sz w:val="32"/>
          <w:szCs w:val="32"/>
          <w:lang w:eastAsia="zh-CN"/>
        </w:rPr>
        <w:t>汕头</w:t>
      </w:r>
      <w:r>
        <w:rPr>
          <w:rFonts w:hint="eastAsia" w:ascii="仿宋_GB2312" w:eastAsia="仿宋_GB2312"/>
          <w:sz w:val="32"/>
          <w:szCs w:val="32"/>
        </w:rPr>
        <w:t>市信息技术应用创新技术的安全体系内容，从管理机制、保障策略、技术支撑等方面着手，切实保障</w:t>
      </w:r>
      <w:r>
        <w:rPr>
          <w:rFonts w:hint="eastAsia" w:ascii="仿宋_GB2312" w:eastAsia="仿宋_GB2312"/>
          <w:sz w:val="32"/>
          <w:szCs w:val="32"/>
          <w:lang w:eastAsia="zh-CN"/>
        </w:rPr>
        <w:t>汕头</w:t>
      </w:r>
      <w:r>
        <w:rPr>
          <w:rFonts w:hint="eastAsia" w:ascii="仿宋_GB2312" w:eastAsia="仿宋_GB2312"/>
          <w:sz w:val="32"/>
          <w:szCs w:val="32"/>
        </w:rPr>
        <w:t>市“数字政府”的数据安全、网络安全、应用安全等。</w:t>
      </w:r>
    </w:p>
    <w:p>
      <w:pPr>
        <w:numPr>
          <w:ilvl w:val="0"/>
          <w:numId w:val="5"/>
        </w:numPr>
        <w:spacing w:line="560" w:lineRule="exact"/>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标准规范</w:t>
      </w:r>
    </w:p>
    <w:p>
      <w:pPr>
        <w:numPr>
          <w:ilvl w:val="0"/>
          <w:numId w:val="0"/>
        </w:numPr>
        <w:spacing w:line="560" w:lineRule="exact"/>
        <w:ind w:firstLine="640" w:firstLineChars="200"/>
        <w:rPr>
          <w:rFonts w:ascii="仿宋_GB2312" w:eastAsia="仿宋_GB2312"/>
          <w:sz w:val="32"/>
          <w:szCs w:val="32"/>
        </w:rPr>
      </w:pPr>
      <w:r>
        <w:rPr>
          <w:rFonts w:hint="eastAsia" w:ascii="仿宋_GB2312" w:eastAsia="仿宋_GB2312"/>
          <w:sz w:val="32"/>
          <w:szCs w:val="32"/>
        </w:rPr>
        <w:t>参照省“数字政府”标准规范，结合</w:t>
      </w:r>
      <w:r>
        <w:rPr>
          <w:rFonts w:hint="eastAsia" w:ascii="仿宋_GB2312" w:eastAsia="仿宋_GB2312"/>
          <w:sz w:val="32"/>
          <w:szCs w:val="32"/>
          <w:lang w:eastAsia="zh-CN"/>
        </w:rPr>
        <w:t>汕头</w:t>
      </w:r>
      <w:r>
        <w:rPr>
          <w:rFonts w:hint="eastAsia" w:ascii="仿宋_GB2312" w:eastAsia="仿宋_GB2312"/>
          <w:sz w:val="32"/>
          <w:szCs w:val="32"/>
        </w:rPr>
        <w:t>市信息技术应用创新技术的标准体系，开展本地的政务信息化规范建设，主要包括政务服务事项目录、办事指引、业务流程、政务信息资源目录、数据目录、云计算建设指引等标准和规范。</w:t>
      </w:r>
    </w:p>
    <w:p>
      <w:pPr>
        <w:numPr>
          <w:ilvl w:val="0"/>
          <w:numId w:val="5"/>
        </w:numPr>
        <w:spacing w:line="560" w:lineRule="exact"/>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运行管理</w:t>
      </w:r>
    </w:p>
    <w:p>
      <w:pPr>
        <w:numPr>
          <w:ilvl w:val="0"/>
          <w:numId w:val="0"/>
        </w:numPr>
        <w:spacing w:line="560" w:lineRule="exact"/>
        <w:ind w:firstLine="640" w:firstLineChars="200"/>
        <w:rPr>
          <w:rFonts w:hint="eastAsia" w:ascii="黑体" w:hAnsi="黑体" w:eastAsia="黑体" w:cs="黑体"/>
          <w:sz w:val="32"/>
          <w:szCs w:val="32"/>
          <w:lang w:val="en-US" w:eastAsia="zh-CN"/>
        </w:rPr>
      </w:pPr>
      <w:r>
        <w:rPr>
          <w:rFonts w:hint="eastAsia" w:ascii="仿宋_GB2312" w:eastAsia="仿宋_GB2312"/>
          <w:sz w:val="32"/>
          <w:szCs w:val="32"/>
        </w:rPr>
        <w:t>包括运营管理和运维管理。运营管理包括对系统建设和应用的绩效考核、投资效益评估、运营改善等。运维管理包括对基础设施、平台和应用系统进行维护以及相关的服务流程管理、维护服务评价，建立持续改进的服务管理体系。</w:t>
      </w:r>
    </w:p>
    <w:p>
      <w:pPr>
        <w:widowControl w:val="0"/>
        <w:numPr>
          <w:ilvl w:val="0"/>
          <w:numId w:val="0"/>
        </w:numPr>
        <w:jc w:val="left"/>
        <w:rPr>
          <w:rFonts w:hint="eastAsia" w:ascii="黑体" w:hAnsi="黑体" w:eastAsia="黑体" w:cs="黑体"/>
          <w:b w:val="0"/>
          <w:kern w:val="2"/>
          <w:sz w:val="32"/>
          <w:szCs w:val="32"/>
          <w:lang w:val="en-US" w:eastAsia="zh-CN" w:bidi="ar-SA"/>
        </w:rPr>
      </w:pPr>
    </w:p>
    <w:p>
      <w:pPr>
        <w:numPr>
          <w:ilvl w:val="0"/>
          <w:numId w:val="0"/>
        </w:numPr>
        <w:jc w:val="center"/>
        <w:outlineLvl w:val="0"/>
        <w:rPr>
          <w:rFonts w:hint="eastAsia" w:ascii="黑体" w:hAnsi="黑体" w:eastAsia="黑体" w:cs="黑体"/>
          <w:b w:val="0"/>
          <w:kern w:val="2"/>
          <w:sz w:val="32"/>
          <w:szCs w:val="32"/>
          <w:lang w:val="en-US" w:eastAsia="zh-CN" w:bidi="ar-SA"/>
        </w:rPr>
      </w:pPr>
      <w:bookmarkStart w:id="27" w:name="_Toc4486"/>
      <w:bookmarkStart w:id="28" w:name="_Toc24170"/>
      <w:r>
        <w:rPr>
          <w:rFonts w:hint="eastAsia" w:ascii="黑体" w:hAnsi="黑体" w:eastAsia="黑体" w:cs="黑体"/>
          <w:b w:val="0"/>
          <w:kern w:val="2"/>
          <w:sz w:val="32"/>
          <w:szCs w:val="32"/>
          <w:lang w:val="en-US" w:eastAsia="zh-CN" w:bidi="ar-SA"/>
        </w:rPr>
        <w:t>第四章  主要任务</w:t>
      </w:r>
      <w:bookmarkEnd w:id="27"/>
      <w:bookmarkEnd w:id="28"/>
    </w:p>
    <w:p>
      <w:pPr>
        <w:numPr>
          <w:ilvl w:val="0"/>
          <w:numId w:val="0"/>
        </w:numPr>
        <w:ind w:firstLine="640"/>
        <w:jc w:val="center"/>
        <w:rPr>
          <w:rFonts w:hint="eastAsia" w:ascii="黑体" w:hAnsi="黑体" w:eastAsia="黑体" w:cs="黑体"/>
          <w:b w:val="0"/>
          <w:kern w:val="2"/>
          <w:sz w:val="32"/>
          <w:szCs w:val="32"/>
          <w:lang w:val="en-US" w:eastAsia="zh-CN" w:bidi="ar-SA"/>
        </w:rPr>
      </w:pPr>
    </w:p>
    <w:p>
      <w:pPr>
        <w:numPr>
          <w:ilvl w:val="0"/>
          <w:numId w:val="0"/>
        </w:numPr>
        <w:ind w:firstLine="640"/>
        <w:jc w:val="center"/>
        <w:outlineLvl w:val="1"/>
        <w:rPr>
          <w:rFonts w:hint="eastAsia" w:ascii="黑体" w:hAnsi="黑体" w:eastAsia="黑体" w:cs="黑体"/>
          <w:b w:val="0"/>
          <w:kern w:val="2"/>
          <w:sz w:val="32"/>
          <w:szCs w:val="32"/>
          <w:lang w:val="en-US" w:eastAsia="zh-CN" w:bidi="ar-SA"/>
        </w:rPr>
      </w:pPr>
      <w:bookmarkStart w:id="29" w:name="_Toc21512"/>
      <w:bookmarkStart w:id="30" w:name="_Toc23962"/>
      <w:r>
        <w:rPr>
          <w:rFonts w:hint="eastAsia" w:ascii="黑体" w:hAnsi="黑体" w:eastAsia="黑体" w:cs="黑体"/>
          <w:b w:val="0"/>
          <w:kern w:val="2"/>
          <w:sz w:val="32"/>
          <w:szCs w:val="32"/>
          <w:lang w:val="en-US" w:eastAsia="zh-CN" w:bidi="ar-SA"/>
        </w:rPr>
        <w:t>第一节 强化三大基础支撑（云、网、数），夯实数字化发展基础</w:t>
      </w:r>
      <w:bookmarkEnd w:id="29"/>
      <w:bookmarkEnd w:id="30"/>
    </w:p>
    <w:p>
      <w:pPr>
        <w:ind w:firstLine="640" w:firstLineChars="200"/>
        <w:rPr>
          <w:rFonts w:hint="eastAsia" w:ascii="黑体" w:hAnsi="黑体" w:eastAsia="黑体" w:cs="黑体"/>
          <w:b w:val="0"/>
          <w:bCs w:val="0"/>
          <w:color w:val="000000"/>
          <w:spacing w:val="0"/>
          <w:w w:val="100"/>
          <w:position w:val="0"/>
          <w:sz w:val="32"/>
          <w:szCs w:val="32"/>
          <w:u w:val="none"/>
          <w:shd w:val="clear" w:color="auto" w:fill="auto"/>
          <w:lang w:val="en-US" w:eastAsia="zh-CN"/>
        </w:rPr>
      </w:pPr>
      <w:r>
        <w:rPr>
          <w:rFonts w:hint="eastAsia" w:ascii="黑体" w:hAnsi="黑体" w:eastAsia="黑体" w:cs="黑体"/>
          <w:b w:val="0"/>
          <w:bCs w:val="0"/>
          <w:color w:val="000000"/>
          <w:spacing w:val="0"/>
          <w:w w:val="100"/>
          <w:position w:val="0"/>
          <w:sz w:val="32"/>
          <w:szCs w:val="32"/>
          <w:u w:val="none"/>
          <w:shd w:val="clear" w:color="auto" w:fill="auto"/>
          <w:lang w:val="en-US" w:eastAsia="zh-CN"/>
        </w:rPr>
        <w:t>一、政务云</w:t>
      </w:r>
    </w:p>
    <w:p>
      <w:pPr>
        <w:ind w:firstLine="643" w:firstLineChars="200"/>
        <w:rPr>
          <w:rFonts w:hint="eastAsia" w:ascii="仿宋" w:hAnsi="仿宋" w:eastAsia="仿宋" w:cs="仿宋"/>
          <w:b w:val="0"/>
          <w:bCs w:val="0"/>
          <w:color w:val="000000"/>
          <w:spacing w:val="0"/>
          <w:w w:val="100"/>
          <w:position w:val="0"/>
          <w:sz w:val="32"/>
          <w:szCs w:val="32"/>
          <w:u w:val="none"/>
          <w:shd w:val="clear" w:color="auto" w:fill="auto"/>
          <w:lang w:val="en-US" w:eastAsia="zh-CN"/>
        </w:rPr>
      </w:pPr>
      <w:r>
        <w:rPr>
          <w:rFonts w:hint="eastAsia" w:ascii="仿宋" w:hAnsi="仿宋" w:eastAsia="仿宋" w:cs="仿宋"/>
          <w:b/>
          <w:bCs/>
          <w:color w:val="000000"/>
          <w:spacing w:val="0"/>
          <w:w w:val="100"/>
          <w:position w:val="0"/>
          <w:sz w:val="32"/>
          <w:szCs w:val="32"/>
          <w:u w:val="none"/>
          <w:shd w:val="clear" w:color="auto" w:fill="auto"/>
          <w:lang w:val="en-US" w:eastAsia="zh-CN"/>
        </w:rPr>
        <w:t>（一）提供可靠的政务云。</w:t>
      </w:r>
      <w:r>
        <w:rPr>
          <w:rFonts w:hint="eastAsia" w:ascii="仿宋" w:hAnsi="仿宋" w:eastAsia="仿宋" w:cs="仿宋"/>
          <w:b w:val="0"/>
          <w:bCs w:val="0"/>
          <w:color w:val="000000"/>
          <w:spacing w:val="0"/>
          <w:w w:val="100"/>
          <w:position w:val="0"/>
          <w:sz w:val="32"/>
          <w:szCs w:val="32"/>
          <w:u w:val="none"/>
          <w:shd w:val="clear" w:color="auto" w:fill="auto"/>
          <w:lang w:val="en-US" w:eastAsia="zh-CN"/>
        </w:rPr>
        <w:t>遵循省“数字政府”政务云平台总体框架和建设标准，坚持高标准、高质量、高安全的原则，持续增强政务云服务能力，推进计算、存储等资源扩容，加强政务云PaaS服务能力，提供“按需分配，弹性伸缩”的基础软硬件云服务。加强政务云精细化管理，从资源申请、使用、撤销等环节进行全面管控，提升资源利用率和使用效率。</w:t>
      </w:r>
    </w:p>
    <w:p>
      <w:pPr>
        <w:numPr>
          <w:ilvl w:val="0"/>
          <w:numId w:val="0"/>
        </w:numPr>
        <w:rPr>
          <w:rFonts w:hint="eastAsia"/>
          <w:lang w:val="en-US" w:eastAsia="zh-CN"/>
        </w:rPr>
      </w:pPr>
      <w:r>
        <w:rPr>
          <w:rFonts w:hint="eastAsia"/>
          <w:lang w:val="en-US" w:eastAsia="zh-CN"/>
        </w:rPr>
        <w:t xml:space="preserve">     </w:t>
      </w:r>
      <w:r>
        <w:rPr>
          <w:rFonts w:hint="eastAsia"/>
          <w:b/>
          <w:bCs/>
          <w:lang w:val="en-US" w:eastAsia="zh-CN"/>
        </w:rPr>
        <w:t xml:space="preserve"> </w:t>
      </w:r>
      <w:r>
        <w:rPr>
          <w:rFonts w:hint="eastAsia" w:ascii="仿宋" w:hAnsi="仿宋" w:eastAsia="仿宋" w:cs="仿宋"/>
          <w:b/>
          <w:bCs/>
          <w:sz w:val="32"/>
          <w:szCs w:val="32"/>
          <w:lang w:val="en-US" w:eastAsia="zh-CN"/>
        </w:rPr>
        <w:t>（二）推动市、区两级非涉密政务信息系统迁移上云。</w:t>
      </w:r>
      <w:r>
        <w:rPr>
          <w:rFonts w:hint="eastAsia" w:ascii="仿宋" w:hAnsi="仿宋" w:eastAsia="仿宋" w:cs="仿宋"/>
          <w:sz w:val="32"/>
          <w:szCs w:val="32"/>
          <w:lang w:val="en-US" w:eastAsia="zh-CN"/>
        </w:rPr>
        <w:t>政务云平台成熟运作后，整合市、区两级已建、在建非涉密政务信息系统，按成熟一家、迁移一家的原则开展系统迁移上云工作，实现资源汇聚和数据汇聚。拟建非涉密政务信息系统统一纳入云平台资源管理，各部门通过互联网和政务外网自建系统的原则上不能购买硬件设备。</w:t>
      </w:r>
    </w:p>
    <w:p>
      <w:pPr>
        <w:numPr>
          <w:ilvl w:val="0"/>
          <w:numId w:val="0"/>
        </w:numPr>
        <w:ind w:firstLine="643" w:firstLineChars="200"/>
        <w:rPr>
          <w:rFonts w:hint="eastAsia" w:ascii="仿宋" w:hAnsi="仿宋" w:eastAsia="仿宋" w:cs="仿宋"/>
          <w:b w:val="0"/>
          <w:kern w:val="2"/>
          <w:sz w:val="32"/>
          <w:szCs w:val="32"/>
          <w:lang w:val="en-US" w:eastAsia="zh-CN" w:bidi="ar-SA"/>
        </w:rPr>
      </w:pPr>
      <w:r>
        <w:rPr>
          <w:rFonts w:hint="eastAsia" w:ascii="仿宋" w:hAnsi="仿宋" w:eastAsia="仿宋" w:cs="仿宋"/>
          <w:b/>
          <w:bCs/>
          <w:kern w:val="2"/>
          <w:sz w:val="32"/>
          <w:szCs w:val="32"/>
          <w:lang w:val="en-US" w:eastAsia="zh-CN" w:bidi="ar-SA"/>
        </w:rPr>
        <w:t>（三）搭建可信国产政务云。</w:t>
      </w:r>
      <w:r>
        <w:rPr>
          <w:rFonts w:hint="eastAsia" w:ascii="仿宋" w:hAnsi="仿宋" w:eastAsia="仿宋" w:cs="仿宋"/>
          <w:b w:val="0"/>
          <w:kern w:val="2"/>
          <w:sz w:val="32"/>
          <w:szCs w:val="32"/>
          <w:lang w:val="en-US" w:eastAsia="zh-CN" w:bidi="ar-SA"/>
        </w:rPr>
        <w:t>按照省国产政务云平台的推进思路和计划，遵循集约建设的原则，搭建可信国产政务云，以国产化处理器、操作系统为底座，采用国产化服务器、数据库系统、中间件系统等软硬件，为全市提供可信国产政务云服务。分批次逐步推进政务信息系统适配开发、改造迁移至可信国产政务云，提升全市数字政府国产化应用水平。</w:t>
      </w:r>
    </w:p>
    <w:p>
      <w:pPr>
        <w:numPr>
          <w:ilvl w:val="0"/>
          <w:numId w:val="0"/>
        </w:numPr>
        <w:ind w:firstLine="643" w:firstLineChars="200"/>
        <w:rPr>
          <w:rFonts w:hint="eastAsia" w:ascii="仿宋" w:hAnsi="仿宋" w:eastAsia="仿宋" w:cs="仿宋"/>
          <w:b w:val="0"/>
          <w:kern w:val="2"/>
          <w:sz w:val="32"/>
          <w:szCs w:val="32"/>
          <w:lang w:val="en-US" w:eastAsia="zh-CN" w:bidi="ar-SA"/>
        </w:rPr>
      </w:pPr>
      <w:r>
        <w:rPr>
          <w:rFonts w:hint="eastAsia" w:ascii="仿宋" w:hAnsi="仿宋" w:eastAsia="仿宋" w:cs="仿宋"/>
          <w:b/>
          <w:bCs/>
          <w:kern w:val="2"/>
          <w:sz w:val="32"/>
          <w:szCs w:val="32"/>
          <w:lang w:val="en-US" w:eastAsia="zh-CN" w:bidi="ar-SA"/>
        </w:rPr>
        <w:t>（四）提升政务云安全防护与运营能力。</w:t>
      </w:r>
      <w:r>
        <w:rPr>
          <w:rFonts w:hint="eastAsia" w:ascii="仿宋" w:hAnsi="仿宋" w:eastAsia="仿宋" w:cs="仿宋"/>
          <w:b w:val="0"/>
          <w:kern w:val="2"/>
          <w:sz w:val="32"/>
          <w:szCs w:val="32"/>
          <w:lang w:val="en-US" w:eastAsia="zh-CN" w:bidi="ar-SA"/>
        </w:rPr>
        <w:t>在省一体化安全运营总平台的基础上，建设地市安全运营子平台，实现一体化安全运营服务。对“数字政府”云平台安全运行状况、安全策略、审计数据进行统一收集、集中监控、集中管理，实现统一安全事件预警、安全状况集中监控、风险处置高效协同、安全数据集中展示，提升政务云平台安全运营水平。</w:t>
      </w:r>
    </w:p>
    <w:p>
      <w:pPr>
        <w:numPr>
          <w:ilvl w:val="0"/>
          <w:numId w:val="0"/>
        </w:numPr>
        <w:ind w:firstLine="640" w:firstLineChars="200"/>
        <w:rPr>
          <w:rFonts w:hint="eastAsia" w:ascii="仿宋" w:hAnsi="仿宋" w:eastAsia="仿宋" w:cs="仿宋"/>
          <w:b w:val="0"/>
          <w:kern w:val="2"/>
          <w:sz w:val="32"/>
          <w:szCs w:val="32"/>
          <w:lang w:val="en-US" w:eastAsia="zh-CN" w:bidi="ar-SA"/>
        </w:rPr>
      </w:pPr>
    </w:p>
    <w:p>
      <w:pPr>
        <w:numPr>
          <w:ilvl w:val="0"/>
          <w:numId w:val="0"/>
        </w:numPr>
        <w:ind w:firstLine="640"/>
        <w:rPr>
          <w:rFonts w:hint="eastAsia" w:ascii="黑体" w:hAnsi="黑体" w:eastAsia="黑体" w:cs="黑体"/>
          <w:b w:val="0"/>
          <w:bCs w:val="0"/>
          <w:sz w:val="32"/>
          <w:szCs w:val="32"/>
          <w:lang w:val="en-US" w:eastAsia="zh-CN"/>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numPr>
                <w:ilvl w:val="0"/>
                <w:numId w:val="0"/>
              </w:numPr>
              <w:jc w:val="center"/>
              <w:rPr>
                <w:rFonts w:hint="eastAsia" w:ascii="黑体" w:hAnsi="黑体" w:eastAsia="黑体" w:cs="黑体"/>
                <w:b w:val="0"/>
                <w:bCs w:val="0"/>
                <w:sz w:val="32"/>
                <w:szCs w:val="32"/>
                <w:vertAlign w:val="baseline"/>
                <w:lang w:val="en-US" w:eastAsia="zh-CN"/>
              </w:rPr>
            </w:pPr>
            <w:r>
              <w:rPr>
                <w:rFonts w:hint="eastAsia" w:ascii="仿宋" w:hAnsi="仿宋" w:eastAsia="仿宋" w:cs="仿宋"/>
                <w:b/>
                <w:bCs/>
                <w:sz w:val="32"/>
                <w:szCs w:val="32"/>
                <w:lang w:val="en-US" w:eastAsia="zh-CN"/>
              </w:rPr>
              <w:t>专栏1 政务云强化重点项目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numPr>
                <w:ilvl w:val="0"/>
                <w:numId w:val="0"/>
              </w:numP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 xml:space="preserve">   </w:t>
            </w:r>
            <w:r>
              <w:rPr>
                <w:rFonts w:hint="eastAsia" w:ascii="黑体" w:hAnsi="黑体" w:eastAsia="黑体" w:cs="黑体"/>
                <w:b w:val="0"/>
                <w:bCs w:val="0"/>
                <w:sz w:val="28"/>
                <w:szCs w:val="28"/>
                <w:vertAlign w:val="baseline"/>
                <w:lang w:val="en-US" w:eastAsia="zh-CN"/>
              </w:rPr>
              <w:t xml:space="preserve"> </w:t>
            </w:r>
            <w:r>
              <w:rPr>
                <w:rFonts w:hint="eastAsia" w:ascii="仿宋" w:hAnsi="仿宋" w:eastAsia="仿宋" w:cs="仿宋"/>
                <w:b/>
                <w:bCs/>
                <w:color w:val="000000"/>
                <w:spacing w:val="0"/>
                <w:w w:val="100"/>
                <w:position w:val="0"/>
                <w:sz w:val="28"/>
                <w:szCs w:val="28"/>
                <w:u w:val="none"/>
                <w:shd w:val="clear" w:color="auto" w:fill="auto"/>
                <w:lang w:val="en-US" w:eastAsia="zh-CN"/>
              </w:rPr>
              <w:t>政务云。</w:t>
            </w:r>
            <w:r>
              <w:rPr>
                <w:rFonts w:hint="eastAsia" w:ascii="仿宋" w:hAnsi="仿宋" w:eastAsia="仿宋" w:cs="仿宋"/>
                <w:b w:val="0"/>
                <w:bCs w:val="0"/>
                <w:color w:val="000000"/>
                <w:spacing w:val="0"/>
                <w:w w:val="100"/>
                <w:position w:val="0"/>
                <w:sz w:val="28"/>
                <w:szCs w:val="28"/>
                <w:u w:val="none"/>
                <w:shd w:val="clear" w:color="auto" w:fill="auto"/>
                <w:lang w:val="en-US" w:eastAsia="zh-CN"/>
              </w:rPr>
              <w:t>强化政务云IaaS、PaaS服务能力，为全市各单位的政务信息系统提供虚拟机服务、物理机服务、云硬盘服务等IaaS服务，数据库服务、中间件服务等PaaS服务，</w:t>
            </w:r>
            <w:r>
              <w:rPr>
                <w:rFonts w:hint="eastAsia" w:ascii="仿宋" w:hAnsi="仿宋" w:eastAsia="仿宋" w:cs="仿宋"/>
                <w:b w:val="0"/>
                <w:kern w:val="2"/>
                <w:sz w:val="28"/>
                <w:szCs w:val="28"/>
                <w:lang w:val="en-US" w:eastAsia="zh-CN" w:bidi="ar-SA"/>
              </w:rPr>
              <w:t>搭建可信国产政务云，提升政务云平台安全运营水平。推动市、区两级非涉密政务信息系统迁移上云。加强精细化管理，整体提升全市政务云平台的使用率。</w:t>
            </w:r>
          </w:p>
        </w:tc>
      </w:tr>
    </w:tbl>
    <w:p>
      <w:pPr>
        <w:numPr>
          <w:ilvl w:val="0"/>
          <w:numId w:val="0"/>
        </w:numPr>
        <w:ind w:firstLine="64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二、政务网</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楷体" w:hAnsi="楷体" w:eastAsia="楷体" w:cs="楷体"/>
          <w:b w:val="0"/>
          <w:bCs w:val="0"/>
          <w:sz w:val="32"/>
          <w:szCs w:val="32"/>
          <w:lang w:val="en-US" w:eastAsia="zh-CN"/>
        </w:rPr>
        <w:t>（一）加快政务外网集约化改造</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推进全市政务外网IPv6 改造，推进骨干网和城域网IPv6 互联互通，推进IPv6互联网出口扩容，完善政务外网IPv6 应用支撑能力。在网络宽带方面，结合业务需求，加快推进纵向政务外网实现万兆到市、千兆到县、百兆到镇。</w:t>
      </w:r>
    </w:p>
    <w:p>
      <w:pPr>
        <w:numPr>
          <w:ilvl w:val="0"/>
          <w:numId w:val="0"/>
        </w:numPr>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（二）统一互联网出入口</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按需动态优化政务外网互联网出口架构，在“数字政府”政务云平台所在机房新建互联网出口，提高政务云互联网服务能力；按需扩容现有互联网出口，加强安全监管，同时提升政务云互联网区服务能力，构建统一、安全、可靠、灵活的云政务能力输出边界。</w:t>
      </w:r>
    </w:p>
    <w:p>
      <w:pPr>
        <w:numPr>
          <w:ilvl w:val="0"/>
          <w:numId w:val="0"/>
        </w:numPr>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（三）推进业务专网向政务外网迁移</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分散隔离的非涉密业务专网的市直部门，按统一规范，通过网络割接、合并等方式，将业务专网整合对接到政务外网，推动整合现有视音频专网，充分利用线路资源，减少重复建设，为数据共享及大数据平台提供网络支撑。政府部门原则上不得新建、自建专用业务网络，已有非涉密专用业务网络要逐步迁移到政务外网。</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numPr>
                <w:ilvl w:val="0"/>
                <w:numId w:val="0"/>
              </w:numPr>
              <w:jc w:val="center"/>
              <w:rPr>
                <w:rFonts w:hint="eastAsia" w:ascii="黑体" w:hAnsi="黑体" w:eastAsia="黑体" w:cs="黑体"/>
                <w:b w:val="0"/>
                <w:bCs w:val="0"/>
                <w:sz w:val="32"/>
                <w:szCs w:val="32"/>
                <w:vertAlign w:val="baseline"/>
                <w:lang w:val="en-US" w:eastAsia="zh-CN"/>
              </w:rPr>
            </w:pPr>
            <w:r>
              <w:rPr>
                <w:rFonts w:hint="eastAsia" w:ascii="仿宋" w:hAnsi="仿宋" w:eastAsia="仿宋" w:cs="仿宋"/>
                <w:b/>
                <w:bCs/>
                <w:sz w:val="32"/>
                <w:szCs w:val="32"/>
                <w:lang w:val="en-US" w:eastAsia="zh-CN"/>
              </w:rPr>
              <w:t>专栏2 政务网络强化重点项目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numPr>
                <w:ilvl w:val="0"/>
                <w:numId w:val="0"/>
              </w:numP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 xml:space="preserve">    </w:t>
            </w:r>
            <w:r>
              <w:rPr>
                <w:rFonts w:hint="eastAsia" w:ascii="仿宋" w:hAnsi="仿宋" w:eastAsia="仿宋" w:cs="仿宋"/>
                <w:b/>
                <w:bCs/>
                <w:sz w:val="28"/>
                <w:szCs w:val="28"/>
                <w:lang w:val="en-US" w:eastAsia="zh-CN"/>
              </w:rPr>
              <w:t>政务外网升级改造工程。</w:t>
            </w:r>
            <w:r>
              <w:rPr>
                <w:rFonts w:hint="eastAsia" w:ascii="仿宋" w:hAnsi="仿宋" w:eastAsia="仿宋" w:cs="仿宋"/>
                <w:sz w:val="28"/>
                <w:szCs w:val="28"/>
                <w:lang w:val="en-US" w:eastAsia="zh-CN"/>
              </w:rPr>
              <w:t>持续推进本地通信骨干网的扩容升级，统一互联网出入口，推进非涉密业务专网的整合工作，并逐步迁移到政务外网。</w:t>
            </w:r>
          </w:p>
        </w:tc>
      </w:tr>
    </w:tbl>
    <w:p>
      <w:pPr>
        <w:numPr>
          <w:ilvl w:val="0"/>
          <w:numId w:val="0"/>
        </w:numPr>
        <w:ind w:firstLine="640" w:firstLineChars="200"/>
        <w:rPr>
          <w:rFonts w:hint="eastAsia" w:ascii="黑体" w:hAnsi="黑体" w:eastAsia="黑体" w:cs="黑体"/>
          <w:b w:val="0"/>
          <w:bCs w:val="0"/>
          <w:sz w:val="32"/>
          <w:szCs w:val="32"/>
          <w:lang w:val="en-US" w:eastAsia="zh-CN"/>
        </w:rPr>
      </w:pPr>
    </w:p>
    <w:p>
      <w:pPr>
        <w:numPr>
          <w:ilvl w:val="0"/>
          <w:numId w:val="0"/>
        </w:numPr>
        <w:ind w:firstLine="640" w:firstLineChars="200"/>
        <w:rPr>
          <w:rFonts w:hint="eastAsia" w:ascii="楷体" w:hAnsi="楷体" w:eastAsia="楷体" w:cs="楷体"/>
          <w:b w:val="0"/>
          <w:bCs w:val="0"/>
          <w:sz w:val="32"/>
          <w:szCs w:val="32"/>
          <w:lang w:val="en-US" w:eastAsia="zh-CN"/>
        </w:rPr>
      </w:pPr>
      <w:r>
        <w:rPr>
          <w:rFonts w:hint="eastAsia" w:ascii="黑体" w:hAnsi="黑体" w:eastAsia="黑体" w:cs="黑体"/>
          <w:b w:val="0"/>
          <w:bCs w:val="0"/>
          <w:sz w:val="32"/>
          <w:szCs w:val="32"/>
          <w:lang w:val="en-US" w:eastAsia="zh-CN"/>
        </w:rPr>
        <w:t>三、政务大数据中心</w:t>
      </w:r>
    </w:p>
    <w:p>
      <w:pPr>
        <w:numPr>
          <w:ilvl w:val="0"/>
          <w:numId w:val="0"/>
        </w:numPr>
        <w:ind w:firstLine="64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（一）强化大数据中心能力建设</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快推进政务大数据中心建设，按照全省统一的相关标准规范建设政务大数据中心汕头分节点。按照“应上尽上”的原则，推动数据资源在门户的集成、申请和管理，为各部门提供数据查询、数据申请、数据管理、成效展现等服务。强化政务大数据中心横向连通各部门的能力，实现市县两级数据跨域高效流转，支撑全市范围内政务数据资源跨部门、跨层级高效、便捷、安全共享。</w:t>
      </w:r>
    </w:p>
    <w:p>
      <w:pPr>
        <w:numPr>
          <w:ilvl w:val="0"/>
          <w:numId w:val="0"/>
        </w:numPr>
        <w:ind w:firstLine="64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（二）推进市政务信息资源共享平台应用</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国家、省政务信息资源共享体系的建设要求，积极整合信息资源，利用现有数据系统，配合建设全市政务信息资源共享平台。推动政务信息系统统一接入，全面归集各部门产生的政务服务数据，推动政务服务数据的共享交换。按照“谁主管，谁提供，谁负责”的原则，保障数据供给，提高数据质量。</w:t>
      </w:r>
    </w:p>
    <w:p>
      <w:pPr>
        <w:numPr>
          <w:ilvl w:val="0"/>
          <w:numId w:val="0"/>
        </w:numPr>
        <w:ind w:firstLine="64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（三）完善四大公共基础信息库</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相应接口规范和信息安全管理要求，围绕优化营商环境，整合各行业各部门有关基础信息，完善人口、法人单位、自然资源和空间地理、社会信用信息库等公共基础信息库建设，为政务应用提供权威规范的人口、法人单位、多维度空间地理、社会信用信息等基础数据支撑。</w:t>
      </w:r>
    </w:p>
    <w:p>
      <w:pPr>
        <w:numPr>
          <w:ilvl w:val="0"/>
          <w:numId w:val="0"/>
        </w:numPr>
        <w:ind w:firstLine="64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（四）大力开展数据质量提升行动</w:t>
      </w:r>
    </w:p>
    <w:p>
      <w:pPr>
        <w:numPr>
          <w:ilvl w:val="0"/>
          <w:numId w:val="0"/>
        </w:numPr>
        <w:tabs>
          <w:tab w:val="left" w:pos="5880"/>
        </w:tabs>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织各地各部门持续开展数据治理工作，各部门按照数据质量管理制度和标准规范，落实数据质量维护责任。对各部门现存的政务服务数据资源进行统一采集，并按照统一标准清晰、整合、比对，形成有效数据，促进数据质量提升。建设数据治理平台，加强数据资源产生、采集、存储、交换、加工、整合、使用、反馈等环节的管理。完善我市数据治理管理架构，全面提升及改善全市数据管理、运营、监管能力，提高全市数据质量。</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numPr>
                <w:ilvl w:val="0"/>
                <w:numId w:val="0"/>
              </w:numPr>
              <w:jc w:val="center"/>
              <w:rPr>
                <w:rFonts w:hint="eastAsia" w:ascii="黑体" w:hAnsi="黑体" w:eastAsia="黑体" w:cs="黑体"/>
                <w:sz w:val="32"/>
                <w:szCs w:val="32"/>
                <w:vertAlign w:val="baseline"/>
                <w:lang w:val="en-US" w:eastAsia="zh-CN"/>
              </w:rPr>
            </w:pPr>
            <w:r>
              <w:rPr>
                <w:rFonts w:hint="eastAsia" w:ascii="仿宋" w:hAnsi="仿宋" w:eastAsia="仿宋" w:cs="仿宋"/>
                <w:b/>
                <w:bCs/>
                <w:sz w:val="32"/>
                <w:szCs w:val="32"/>
                <w:lang w:val="en-US" w:eastAsia="zh-CN"/>
              </w:rPr>
              <w:t>专栏3 政务大数据中心重点项目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snapToGrid w:val="0"/>
              <w:spacing w:line="480" w:lineRule="exact"/>
              <w:ind w:firstLine="560"/>
              <w:rPr>
                <w:rFonts w:ascii="Times New Roman" w:hAnsi="Times New Roman"/>
                <w:sz w:val="28"/>
                <w:szCs w:val="24"/>
                <w:highlight w:val="none"/>
              </w:rPr>
            </w:pPr>
            <w:r>
              <w:rPr>
                <w:rFonts w:hint="eastAsia" w:ascii="仿宋_GB2312" w:hAnsi="仿宋_GB2312" w:eastAsia="仿宋_GB2312" w:cs="仿宋_GB2312"/>
                <w:b/>
                <w:bCs/>
                <w:sz w:val="28"/>
                <w:szCs w:val="21"/>
                <w:highlight w:val="none"/>
              </w:rPr>
              <w:t>政务大数据中心应用强化工程。</w:t>
            </w:r>
            <w:r>
              <w:rPr>
                <w:rFonts w:hint="eastAsia" w:ascii="仿宋_GB2312" w:hAnsi="仿宋_GB2312" w:eastAsia="仿宋_GB2312" w:cs="仿宋_GB2312"/>
                <w:sz w:val="28"/>
                <w:szCs w:val="21"/>
                <w:highlight w:val="none"/>
              </w:rPr>
              <w:t>加快推进省政务大数据中心</w:t>
            </w:r>
            <w:r>
              <w:rPr>
                <w:rFonts w:hint="eastAsia" w:ascii="仿宋_GB2312" w:hAnsi="仿宋_GB2312" w:eastAsia="仿宋_GB2312" w:cs="仿宋_GB2312"/>
                <w:sz w:val="28"/>
                <w:szCs w:val="21"/>
                <w:highlight w:val="none"/>
                <w:lang w:eastAsia="zh-CN"/>
              </w:rPr>
              <w:t>汕头分</w:t>
            </w:r>
            <w:r>
              <w:rPr>
                <w:rFonts w:hint="eastAsia" w:ascii="仿宋_GB2312" w:hAnsi="仿宋_GB2312" w:eastAsia="仿宋_GB2312" w:cs="仿宋_GB2312"/>
                <w:sz w:val="28"/>
                <w:szCs w:val="21"/>
                <w:highlight w:val="none"/>
              </w:rPr>
              <w:t>节点建设，持续完善基础库、主题库、专题库建设，建成包括大数据中心门户、数据服务平台、数据管理系统、数据治理工具、共享交换平台在内的平台系统，提升政务大数据中心的数据汇聚、加工处理和开发利用能力。</w:t>
            </w:r>
          </w:p>
          <w:p>
            <w:pPr>
              <w:snapToGrid w:val="0"/>
              <w:spacing w:line="480" w:lineRule="exact"/>
              <w:ind w:firstLine="560"/>
              <w:rPr>
                <w:rFonts w:hint="eastAsia" w:ascii="仿宋_GB2312" w:hAnsi="仿宋_GB2312" w:eastAsia="仿宋_GB2312" w:cs="仿宋_GB2312"/>
                <w:sz w:val="28"/>
                <w:szCs w:val="21"/>
                <w:highlight w:val="none"/>
              </w:rPr>
            </w:pPr>
            <w:r>
              <w:rPr>
                <w:rFonts w:hint="eastAsia" w:ascii="仿宋_GB2312" w:hAnsi="仿宋_GB2312" w:eastAsia="仿宋_GB2312" w:cs="仿宋_GB2312"/>
                <w:b/>
                <w:bCs/>
                <w:sz w:val="28"/>
                <w:szCs w:val="21"/>
                <w:highlight w:val="none"/>
              </w:rPr>
              <w:t>数据资源库建设完善工程。</w:t>
            </w:r>
            <w:r>
              <w:rPr>
                <w:rFonts w:hint="eastAsia" w:ascii="仿宋_GB2312" w:hAnsi="仿宋_GB2312" w:eastAsia="仿宋_GB2312" w:cs="仿宋_GB2312"/>
                <w:sz w:val="28"/>
                <w:szCs w:val="21"/>
                <w:highlight w:val="none"/>
              </w:rPr>
              <w:t>分别由公安、市场监管、自然资源、发改等部门牵头，持续完善自然人、法人单位、自然资源和空间地理、社会信用信息和电子证照等基础库的建设，并提供数据共享服务。推动牵头业务部门持续完善</w:t>
            </w:r>
            <w:r>
              <w:rPr>
                <w:rFonts w:hint="eastAsia" w:ascii="仿宋_GB2312" w:hAnsi="仿宋_GB2312" w:eastAsia="仿宋_GB2312" w:cs="仿宋_GB2312"/>
                <w:sz w:val="28"/>
                <w:szCs w:val="21"/>
                <w:highlight w:val="none"/>
                <w:lang w:eastAsia="zh-CN"/>
              </w:rPr>
              <w:t>各类</w:t>
            </w:r>
            <w:r>
              <w:rPr>
                <w:rFonts w:hint="eastAsia" w:ascii="仿宋_GB2312" w:hAnsi="仿宋_GB2312" w:eastAsia="仿宋_GB2312" w:cs="仿宋_GB2312"/>
                <w:sz w:val="28"/>
                <w:szCs w:val="21"/>
                <w:highlight w:val="none"/>
              </w:rPr>
              <w:t>专题库建设</w:t>
            </w:r>
            <w:r>
              <w:rPr>
                <w:rFonts w:hint="eastAsia" w:ascii="仿宋_GB2312" w:hAnsi="仿宋_GB2312" w:eastAsia="仿宋_GB2312" w:cs="仿宋_GB2312"/>
                <w:sz w:val="28"/>
                <w:szCs w:val="21"/>
                <w:highlight w:val="none"/>
                <w:lang w:eastAsia="zh-CN"/>
              </w:rPr>
              <w:t>，推进数据资源的整合。</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left="0" w:leftChars="0" w:right="0" w:rightChars="0" w:firstLine="562" w:firstLineChars="200"/>
              <w:jc w:val="both"/>
              <w:textAlignment w:val="auto"/>
              <w:outlineLvl w:val="9"/>
              <w:rPr>
                <w:rFonts w:hint="eastAsia" w:ascii="黑体" w:hAnsi="黑体" w:eastAsia="黑体" w:cs="黑体"/>
                <w:sz w:val="32"/>
                <w:szCs w:val="32"/>
                <w:vertAlign w:val="baseline"/>
                <w:lang w:val="en-US" w:eastAsia="zh-CN"/>
              </w:rPr>
            </w:pPr>
            <w:r>
              <w:rPr>
                <w:rFonts w:hint="eastAsia" w:ascii="仿宋_GB2312" w:hAnsi="仿宋_GB2312" w:eastAsia="仿宋_GB2312" w:cs="仿宋_GB2312"/>
                <w:b/>
                <w:bCs/>
                <w:sz w:val="28"/>
                <w:szCs w:val="21"/>
                <w:highlight w:val="none"/>
              </w:rPr>
              <w:t>数据质量提升行动。</w:t>
            </w:r>
            <w:r>
              <w:rPr>
                <w:rFonts w:hint="eastAsia" w:ascii="仿宋_GB2312" w:hAnsi="仿宋_GB2312" w:eastAsia="仿宋_GB2312" w:cs="仿宋_GB2312"/>
                <w:sz w:val="28"/>
                <w:szCs w:val="21"/>
                <w:highlight w:val="none"/>
              </w:rPr>
              <w:t>各部门按照省统一的标准规范和要求，持续开展数据治理专项工作，</w:t>
            </w:r>
            <w:r>
              <w:rPr>
                <w:rFonts w:hint="eastAsia" w:ascii="仿宋_GB2312" w:hAnsi="仿宋_GB2312" w:eastAsia="仿宋_GB2312" w:cs="仿宋_GB2312"/>
                <w:sz w:val="28"/>
                <w:szCs w:val="21"/>
                <w:highlight w:val="none"/>
                <w:lang w:eastAsia="zh-CN"/>
              </w:rPr>
              <w:t>结合业务需求开展数据应用，通过数据应用检验治理成效，</w:t>
            </w:r>
            <w:r>
              <w:rPr>
                <w:rFonts w:hint="eastAsia" w:ascii="仿宋_GB2312" w:hAnsi="仿宋_GB2312" w:eastAsia="仿宋_GB2312" w:cs="仿宋_GB2312"/>
                <w:sz w:val="28"/>
                <w:szCs w:val="21"/>
                <w:highlight w:val="none"/>
              </w:rPr>
              <w:t>不断提升数据质量。</w:t>
            </w:r>
          </w:p>
        </w:tc>
      </w:tr>
    </w:tbl>
    <w:p>
      <w:pPr>
        <w:numPr>
          <w:ilvl w:val="0"/>
          <w:numId w:val="0"/>
        </w:numPr>
        <w:ind w:firstLine="640"/>
        <w:rPr>
          <w:rFonts w:hint="eastAsia" w:ascii="黑体" w:hAnsi="黑体" w:eastAsia="黑体" w:cs="黑体"/>
          <w:sz w:val="32"/>
          <w:szCs w:val="32"/>
          <w:lang w:val="en-US" w:eastAsia="zh-CN"/>
        </w:rPr>
      </w:pPr>
    </w:p>
    <w:p>
      <w:pPr>
        <w:numPr>
          <w:ilvl w:val="0"/>
          <w:numId w:val="0"/>
        </w:numPr>
        <w:ind w:firstLine="640"/>
        <w:outlineLvl w:val="1"/>
        <w:rPr>
          <w:rFonts w:hint="eastAsia" w:ascii="黑体" w:hAnsi="黑体" w:eastAsia="黑体" w:cs="黑体"/>
          <w:sz w:val="32"/>
          <w:szCs w:val="32"/>
          <w:lang w:val="en-US" w:eastAsia="zh-CN"/>
        </w:rPr>
      </w:pPr>
      <w:bookmarkStart w:id="31" w:name="_Toc14145"/>
      <w:bookmarkStart w:id="32" w:name="_Toc788"/>
      <w:r>
        <w:rPr>
          <w:rFonts w:hint="eastAsia" w:ascii="黑体" w:hAnsi="黑体" w:eastAsia="黑体" w:cs="黑体"/>
          <w:sz w:val="32"/>
          <w:szCs w:val="32"/>
          <w:lang w:val="en-US" w:eastAsia="zh-CN"/>
        </w:rPr>
        <w:t>第二节 深化“粤系列”本地化应用，促进三网融合</w:t>
      </w:r>
      <w:bookmarkEnd w:id="31"/>
      <w:bookmarkEnd w:id="32"/>
    </w:p>
    <w:p>
      <w:pPr>
        <w:numPr>
          <w:ilvl w:val="0"/>
          <w:numId w:val="0"/>
        </w:numPr>
        <w:ind w:firstLine="640"/>
        <w:rPr>
          <w:rFonts w:hint="eastAsia" w:ascii="楷体" w:hAnsi="楷体" w:eastAsia="楷体" w:cs="楷体"/>
          <w:b w:val="0"/>
          <w:bCs w:val="0"/>
          <w:sz w:val="32"/>
          <w:szCs w:val="32"/>
          <w:lang w:val="en-US" w:eastAsia="zh-CN"/>
        </w:rPr>
      </w:pPr>
    </w:p>
    <w:p>
      <w:pPr>
        <w:numPr>
          <w:ilvl w:val="0"/>
          <w:numId w:val="0"/>
        </w:numPr>
        <w:ind w:firstLine="64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一、推进“一网通办”，提升数字政府服务能力</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紧扣“数字政府”建设主题，深化“放管服”改革，打造不打烊政府，以深化政务大厅、“粤省事”、“粤商通”和“粤省心”建设为抓手，拓展便捷泛在的服务渠道，致力提升营商环境，优化政务服务“一网通办”。</w:t>
      </w:r>
    </w:p>
    <w:p>
      <w:pPr>
        <w:numPr>
          <w:ilvl w:val="0"/>
          <w:numId w:val="0"/>
        </w:numPr>
        <w:ind w:firstLine="640" w:firstLineChars="200"/>
        <w:rPr>
          <w:rFonts w:hint="eastAsia" w:ascii="仿宋" w:hAnsi="仿宋" w:eastAsia="仿宋" w:cs="仿宋"/>
          <w:b/>
          <w:bCs/>
          <w:sz w:val="32"/>
          <w:szCs w:val="32"/>
          <w:lang w:val="en-US" w:eastAsia="zh-CN"/>
        </w:rPr>
      </w:pPr>
      <w:r>
        <w:rPr>
          <w:rFonts w:hint="eastAsia" w:ascii="楷体" w:hAnsi="楷体" w:eastAsia="楷体" w:cs="楷体"/>
          <w:b w:val="0"/>
          <w:bCs w:val="0"/>
          <w:sz w:val="32"/>
          <w:szCs w:val="32"/>
          <w:lang w:val="en-US" w:eastAsia="zh-CN"/>
        </w:rPr>
        <w:t>（一）构建规范高效的政务服务体系</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加强政务大厅建设管理。</w:t>
      </w:r>
      <w:r>
        <w:rPr>
          <w:rFonts w:hint="eastAsia" w:ascii="仿宋" w:hAnsi="仿宋" w:eastAsia="仿宋" w:cs="仿宋"/>
          <w:sz w:val="32"/>
          <w:szCs w:val="32"/>
          <w:lang w:val="en-US" w:eastAsia="zh-CN"/>
        </w:rPr>
        <w:t>以让群众满意、企业满意、政府工作人员满意为目标，按照全省统一的标准规范，加强政务大厅建设管理，完善政务大厅集中服务模式，推动政务服务线上线下集成融合，推进线下服务渠道向基层延伸，全面实现政务服务“马上办、网上办、就近办、一次办”。聚焦企业和群众普遍关切的异地办事事项，推动政务服务从政府部门供给导向向企业和群众需求导向转变，打破事项办理的属地限制，依托全国一体化政务服务平台和各级政务服务机构，强化数字政府改革建设支撑，着力打通业务链条和数据共享堵点，推动更多政务服务事项“跨省通办、省内通办”。</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推进政务服务“好差评”工作。</w:t>
      </w:r>
      <w:r>
        <w:rPr>
          <w:rFonts w:hint="eastAsia" w:ascii="仿宋" w:hAnsi="仿宋" w:eastAsia="仿宋" w:cs="仿宋"/>
          <w:sz w:val="32"/>
          <w:szCs w:val="32"/>
          <w:lang w:val="en-US" w:eastAsia="zh-CN"/>
        </w:rPr>
        <w:t>简化评价流程，提高群众评价积极性，加强对评价数据的综合分析，主动识别、精确化解堵点和难点问题。按照省工作部署，完善省政务服务监管平台建设，并与好差评等系统深入融合，逐步接入各区（县）政务服务大厅数据，实现政务服务大厅线上线下精细化监管。</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持续推进政务服务事项标准化。</w:t>
      </w:r>
      <w:r>
        <w:rPr>
          <w:rFonts w:hint="eastAsia" w:ascii="仿宋" w:hAnsi="仿宋" w:eastAsia="仿宋" w:cs="仿宋"/>
          <w:sz w:val="32"/>
          <w:szCs w:val="32"/>
          <w:lang w:val="en-US" w:eastAsia="zh-CN"/>
        </w:rPr>
        <w:t>依托省政务服务事项管理系统，持续提升政务服务事项要素标准化水平，形成政务服务事项标准化体系和权责清单管理机制，进一步规范行政审批行为，不断提升阳光政务水平。</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以流程优化深化为民服务。</w:t>
      </w:r>
      <w:r>
        <w:rPr>
          <w:rFonts w:hint="eastAsia" w:ascii="仿宋" w:hAnsi="仿宋" w:eastAsia="仿宋" w:cs="仿宋"/>
          <w:sz w:val="32"/>
          <w:szCs w:val="32"/>
          <w:lang w:val="en-US" w:eastAsia="zh-CN"/>
        </w:rPr>
        <w:t>依托数据共享治理成果，不断挖掘省政务服务事项管理系统的服务潜力，聚焦审批服务便民化，推进政务服务“四免”优化，深化“一件事”主题集成服务，依托省政务服务事项管理系统“一件事”和“导办”功能板块，对“一件事”主题服务开展梳理优化，逐步探索推动主题服务网办功能，实现相关服务的提质增效。探索政务服务“秒批”改革，总结“秒批”事项业务系统对接改造试点工作经验，围绕事项落地过程中出现的难点堵点，多角度寻找突破口，争取更多“秒批”政务服务事项落地，推动政务服务提质增效，助力提升市场化法治化国际化便利化营商环境。</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numPr>
                <w:ilvl w:val="0"/>
                <w:numId w:val="0"/>
              </w:numPr>
              <w:jc w:val="center"/>
              <w:rPr>
                <w:rFonts w:hint="eastAsia" w:ascii="楷体" w:hAnsi="楷体" w:eastAsia="楷体" w:cs="楷体"/>
                <w:b w:val="0"/>
                <w:bCs w:val="0"/>
                <w:sz w:val="32"/>
                <w:szCs w:val="32"/>
                <w:vertAlign w:val="baseline"/>
                <w:lang w:val="en-US" w:eastAsia="zh-CN"/>
              </w:rPr>
            </w:pPr>
            <w:r>
              <w:rPr>
                <w:rFonts w:hint="eastAsia" w:ascii="仿宋" w:hAnsi="仿宋" w:eastAsia="仿宋" w:cs="仿宋"/>
                <w:b/>
                <w:bCs/>
                <w:sz w:val="32"/>
                <w:szCs w:val="32"/>
                <w:lang w:val="en-US" w:eastAsia="zh-CN"/>
              </w:rPr>
              <w:t>专栏4 政务服务应用重点项目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numPr>
                <w:ilvl w:val="0"/>
                <w:numId w:val="0"/>
              </w:numPr>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政务服务“好差评”系统。</w:t>
            </w:r>
            <w:r>
              <w:rPr>
                <w:rFonts w:hint="eastAsia" w:ascii="仿宋" w:hAnsi="仿宋" w:eastAsia="仿宋" w:cs="仿宋"/>
                <w:sz w:val="28"/>
                <w:szCs w:val="28"/>
                <w:lang w:val="en-US" w:eastAsia="zh-CN"/>
              </w:rPr>
              <w:t>简化评价流程，提高群众评价积极性，运用大数据等技术对评价结果进行综合挖掘，实现以评促改，并加强与政务服务监督平台和线下政务服务大厅深度融合，实现线上线下精细化监管。</w:t>
            </w:r>
          </w:p>
          <w:p>
            <w:pPr>
              <w:numPr>
                <w:ilvl w:val="0"/>
                <w:numId w:val="0"/>
              </w:numPr>
              <w:ind w:firstLine="562" w:firstLineChars="200"/>
              <w:rPr>
                <w:rFonts w:hint="eastAsia" w:ascii="仿宋" w:hAnsi="仿宋" w:eastAsia="仿宋" w:cs="仿宋"/>
                <w:sz w:val="32"/>
                <w:szCs w:val="32"/>
                <w:lang w:val="en-US" w:eastAsia="zh-CN"/>
              </w:rPr>
            </w:pPr>
            <w:r>
              <w:rPr>
                <w:rFonts w:hint="eastAsia" w:ascii="仿宋" w:hAnsi="仿宋" w:eastAsia="仿宋" w:cs="仿宋"/>
                <w:b/>
                <w:bCs/>
                <w:sz w:val="28"/>
                <w:szCs w:val="28"/>
                <w:lang w:val="en-US" w:eastAsia="zh-CN"/>
              </w:rPr>
              <w:t>政务服务事项管理系统。</w:t>
            </w:r>
            <w:r>
              <w:rPr>
                <w:rFonts w:hint="eastAsia" w:ascii="仿宋" w:hAnsi="仿宋" w:eastAsia="仿宋" w:cs="仿宋"/>
                <w:sz w:val="28"/>
                <w:szCs w:val="28"/>
                <w:lang w:val="en-US" w:eastAsia="zh-CN"/>
              </w:rPr>
              <w:t>根据事项标准化优化的需要，持续优化系统功能，提升办事指南的规范性和易懂性。推动更多服务事项事项“四免”和“秒批”。</w:t>
            </w:r>
          </w:p>
        </w:tc>
      </w:tr>
    </w:tbl>
    <w:p>
      <w:pPr>
        <w:numPr>
          <w:ilvl w:val="0"/>
          <w:numId w:val="0"/>
        </w:numPr>
        <w:ind w:firstLine="640" w:firstLineChars="200"/>
        <w:rPr>
          <w:rFonts w:hint="eastAsia" w:ascii="楷体" w:hAnsi="楷体" w:eastAsia="楷体" w:cs="楷体"/>
          <w:b w:val="0"/>
          <w:bCs w:val="0"/>
          <w:sz w:val="32"/>
          <w:szCs w:val="32"/>
          <w:lang w:val="en-US" w:eastAsia="zh-CN"/>
        </w:rPr>
      </w:pPr>
    </w:p>
    <w:p>
      <w:pPr>
        <w:numPr>
          <w:ilvl w:val="0"/>
          <w:numId w:val="0"/>
        </w:numPr>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（二）深化“粤系列”本地应用</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持续做好“粤省事”平台的宣传推广。</w:t>
      </w:r>
      <w:r>
        <w:rPr>
          <w:rFonts w:hint="eastAsia" w:ascii="仿宋" w:hAnsi="仿宋" w:eastAsia="仿宋" w:cs="仿宋"/>
          <w:sz w:val="32"/>
          <w:szCs w:val="32"/>
          <w:lang w:val="en-US" w:eastAsia="zh-CN"/>
        </w:rPr>
        <w:t>推进更多高频政务服务事项上线，逐步深化手机移动端办事，配合有关部门向各类公共场所普及“粤康码”和健康防疫核验系统，助力信息化防疫抗疫。</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深化“粤商通”应用。</w:t>
      </w:r>
      <w:r>
        <w:rPr>
          <w:rFonts w:hint="eastAsia" w:ascii="仿宋" w:hAnsi="仿宋" w:eastAsia="仿宋" w:cs="仿宋"/>
          <w:sz w:val="32"/>
          <w:szCs w:val="32"/>
          <w:lang w:val="en-US" w:eastAsia="zh-CN"/>
        </w:rPr>
        <w:t>按照省工作部署，推动“粤商通”涉企服务事项全覆盖，健全“一企一码”的“粤商码”体系，加强涉企数据的共享汇聚，打造企业电子名片，推行“码上办事”。加强“粤商通”平台运营推广力度，提升用户粘性和活跃度，努力打造具有地市特色的涉企移动政务服务平台。</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打造“粤省心”政务服务总客服。</w:t>
      </w:r>
      <w:r>
        <w:rPr>
          <w:rFonts w:hint="eastAsia" w:ascii="仿宋" w:hAnsi="仿宋" w:eastAsia="仿宋" w:cs="仿宋"/>
          <w:sz w:val="32"/>
          <w:szCs w:val="32"/>
          <w:lang w:val="en-US" w:eastAsia="zh-CN"/>
        </w:rPr>
        <w:t>与省12345热线（粤省心）管理平台衔接贯通，省市两级一号对外响应，并通过粤省心与国家政务服务咨询投诉渠道对接，实现工单的全程电子化流转，构建统一“12345”政务服务便民热线平台体系。引入智能化技术，提高政务服务的智能化运营水平。</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b/>
                <w:bCs/>
                <w:sz w:val="32"/>
                <w:szCs w:val="32"/>
                <w:lang w:val="en-US" w:eastAsia="zh-CN"/>
              </w:rPr>
              <w:t>专栏5 政务服务渠道优化重点项目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numPr>
                <w:ilvl w:val="0"/>
                <w:numId w:val="0"/>
              </w:numPr>
              <w:rPr>
                <w:rFonts w:hint="eastAsia" w:ascii="仿宋" w:hAnsi="仿宋" w:eastAsia="仿宋" w:cs="仿宋"/>
                <w:sz w:val="28"/>
                <w:szCs w:val="28"/>
                <w:vertAlign w:val="baseline"/>
                <w:lang w:val="en-US" w:eastAsia="zh-CN"/>
              </w:rPr>
            </w:pPr>
            <w:r>
              <w:rPr>
                <w:rFonts w:hint="eastAsia" w:ascii="仿宋" w:hAnsi="仿宋" w:eastAsia="仿宋" w:cs="仿宋"/>
                <w:sz w:val="32"/>
                <w:szCs w:val="32"/>
                <w:vertAlign w:val="baseline"/>
                <w:lang w:val="en-US" w:eastAsia="zh-CN"/>
              </w:rPr>
              <w:t xml:space="preserve">   </w:t>
            </w:r>
            <w:r>
              <w:rPr>
                <w:rFonts w:hint="eastAsia" w:ascii="仿宋" w:hAnsi="仿宋" w:eastAsia="仿宋" w:cs="仿宋"/>
                <w:b/>
                <w:bCs/>
                <w:sz w:val="28"/>
                <w:szCs w:val="28"/>
                <w:vertAlign w:val="baseline"/>
                <w:lang w:val="en-US" w:eastAsia="zh-CN"/>
              </w:rPr>
              <w:t>“粤省事”。</w:t>
            </w:r>
            <w:r>
              <w:rPr>
                <w:rFonts w:hint="eastAsia" w:ascii="仿宋" w:hAnsi="仿宋" w:eastAsia="仿宋" w:cs="仿宋"/>
                <w:sz w:val="28"/>
                <w:szCs w:val="28"/>
                <w:vertAlign w:val="baseline"/>
                <w:lang w:val="en-US" w:eastAsia="zh-CN"/>
              </w:rPr>
              <w:t>持续推广“粤省事”平台，实现实名注册用户数、服务事项覆盖面和服务功能持续提升。拓展在公共服务和社会管理中的应用，通过普及“粤康码”助力信息化防疫。</w:t>
            </w:r>
          </w:p>
          <w:p>
            <w:pPr>
              <w:numPr>
                <w:ilvl w:val="0"/>
                <w:numId w:val="0"/>
              </w:num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w:t>
            </w:r>
            <w:r>
              <w:rPr>
                <w:rFonts w:hint="eastAsia" w:ascii="仿宋" w:hAnsi="仿宋" w:eastAsia="仿宋" w:cs="仿宋"/>
                <w:b/>
                <w:bCs/>
                <w:sz w:val="28"/>
                <w:szCs w:val="28"/>
                <w:vertAlign w:val="baseline"/>
                <w:lang w:val="en-US" w:eastAsia="zh-CN"/>
              </w:rPr>
              <w:t>“粤商通”。</w:t>
            </w:r>
            <w:r>
              <w:rPr>
                <w:rFonts w:hint="eastAsia" w:ascii="仿宋" w:hAnsi="仿宋" w:eastAsia="仿宋" w:cs="仿宋"/>
                <w:sz w:val="28"/>
                <w:szCs w:val="28"/>
                <w:vertAlign w:val="baseline"/>
                <w:lang w:val="en-US" w:eastAsia="zh-CN"/>
              </w:rPr>
              <w:t>围绕市场主体需求，进一步优化服务体验，上线更多具有地市特色的关联服务。做好“粤商码”赋能应用，提供更精准化的推送服务。</w:t>
            </w:r>
          </w:p>
          <w:p>
            <w:pPr>
              <w:numPr>
                <w:ilvl w:val="0"/>
                <w:numId w:val="0"/>
              </w:numPr>
              <w:rPr>
                <w:rFonts w:hint="eastAsia" w:ascii="仿宋" w:hAnsi="仿宋" w:eastAsia="仿宋" w:cs="仿宋"/>
                <w:sz w:val="32"/>
                <w:szCs w:val="32"/>
                <w:vertAlign w:val="baseline"/>
                <w:lang w:val="en-US" w:eastAsia="zh-CN"/>
              </w:rPr>
            </w:pPr>
            <w:r>
              <w:rPr>
                <w:rFonts w:hint="eastAsia" w:ascii="仿宋" w:hAnsi="仿宋" w:eastAsia="仿宋" w:cs="仿宋"/>
                <w:sz w:val="28"/>
                <w:szCs w:val="28"/>
                <w:vertAlign w:val="baseline"/>
                <w:lang w:val="en-US" w:eastAsia="zh-CN"/>
              </w:rPr>
              <w:t xml:space="preserve">  </w:t>
            </w:r>
            <w:r>
              <w:rPr>
                <w:rFonts w:hint="eastAsia" w:ascii="仿宋" w:hAnsi="仿宋" w:eastAsia="仿宋" w:cs="仿宋"/>
                <w:b/>
                <w:bCs/>
                <w:sz w:val="28"/>
                <w:szCs w:val="28"/>
                <w:vertAlign w:val="baseline"/>
                <w:lang w:val="en-US" w:eastAsia="zh-CN"/>
              </w:rPr>
              <w:t xml:space="preserve"> “粤省心”。</w:t>
            </w:r>
            <w:r>
              <w:rPr>
                <w:rFonts w:hint="eastAsia" w:ascii="仿宋" w:hAnsi="仿宋" w:eastAsia="仿宋" w:cs="仿宋"/>
                <w:sz w:val="28"/>
                <w:szCs w:val="28"/>
                <w:vertAlign w:val="baseline"/>
                <w:lang w:val="en-US" w:eastAsia="zh-CN"/>
              </w:rPr>
              <w:t>优化流程和资源配置，完善知识库共享及更新，</w:t>
            </w:r>
            <w:r>
              <w:rPr>
                <w:rFonts w:hint="eastAsia" w:ascii="仿宋" w:hAnsi="仿宋" w:eastAsia="仿宋" w:cs="仿宋"/>
                <w:sz w:val="28"/>
                <w:szCs w:val="28"/>
                <w:lang w:val="en-US" w:eastAsia="zh-CN"/>
              </w:rPr>
              <w:t>引入智能化技术，提高智能应答能力，打造线上线下全渠道服务“总客服”。</w:t>
            </w:r>
          </w:p>
        </w:tc>
      </w:tr>
    </w:tbl>
    <w:p>
      <w:pPr>
        <w:numPr>
          <w:ilvl w:val="0"/>
          <w:numId w:val="0"/>
        </w:numPr>
        <w:ind w:firstLine="640"/>
        <w:rPr>
          <w:rFonts w:hint="eastAsia" w:ascii="仿宋" w:hAnsi="仿宋" w:eastAsia="仿宋" w:cs="仿宋"/>
          <w:sz w:val="32"/>
          <w:szCs w:val="32"/>
          <w:lang w:val="en-US" w:eastAsia="zh-CN"/>
        </w:rPr>
      </w:pPr>
    </w:p>
    <w:p>
      <w:pPr>
        <w:numPr>
          <w:ilvl w:val="0"/>
          <w:numId w:val="0"/>
        </w:numPr>
        <w:ind w:firstLine="64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二、推进“一网协同”，优化数字政府服务体系</w:t>
      </w:r>
    </w:p>
    <w:p>
      <w:pPr>
        <w:numPr>
          <w:ilvl w:val="0"/>
          <w:numId w:val="0"/>
        </w:numPr>
        <w:ind w:firstLine="640"/>
        <w:rPr>
          <w:rFonts w:hint="eastAsia" w:ascii="仿宋" w:hAnsi="仿宋" w:eastAsia="仿宋" w:cs="仿宋"/>
          <w:b/>
          <w:bCs/>
          <w:sz w:val="32"/>
          <w:szCs w:val="32"/>
          <w:lang w:val="en-US" w:eastAsia="zh-CN"/>
        </w:rPr>
      </w:pPr>
      <w:r>
        <w:rPr>
          <w:rFonts w:hint="eastAsia" w:ascii="楷体" w:hAnsi="楷体" w:eastAsia="楷体" w:cs="楷体"/>
          <w:b w:val="0"/>
          <w:bCs w:val="0"/>
          <w:sz w:val="32"/>
          <w:szCs w:val="32"/>
          <w:lang w:val="en-US" w:eastAsia="zh-CN"/>
        </w:rPr>
        <w:t>（一）推进“粤政易”协同办公平台推广应用工作</w:t>
      </w:r>
    </w:p>
    <w:p>
      <w:pPr>
        <w:numPr>
          <w:ilvl w:val="0"/>
          <w:numId w:val="0"/>
        </w:numPr>
        <w:ind w:firstLine="64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加大“粤政易”平台宣传推广力度，实现全市政务工作人员全覆盖。通过定期通报等方式，要求各单位落实主体责任，按照“领导带头、应用皆用、全员激活使用”的原则切实做好粤政易平台在本单位(本区县）、本系统及下属机构中的推广应用，确保已开通账号100%激活，已激活账号每天均通过电脑或手机至少登录一次，切实提高平台应用的日活率。</w:t>
      </w:r>
    </w:p>
    <w:p>
      <w:pPr>
        <w:numPr>
          <w:ilvl w:val="0"/>
          <w:numId w:val="6"/>
        </w:numPr>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提升视频会议能力</w:t>
      </w:r>
    </w:p>
    <w:p>
      <w:pPr>
        <w:numPr>
          <w:ilvl w:val="0"/>
          <w:numId w:val="0"/>
        </w:numPr>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 xml:space="preserve">     </w:t>
      </w:r>
      <w:r>
        <w:rPr>
          <w:rFonts w:hint="eastAsia" w:ascii="仿宋" w:hAnsi="仿宋" w:eastAsia="仿宋" w:cs="仿宋"/>
          <w:b w:val="0"/>
          <w:bCs w:val="0"/>
          <w:sz w:val="32"/>
          <w:szCs w:val="32"/>
          <w:lang w:val="en-US" w:eastAsia="zh-CN"/>
        </w:rPr>
        <w:t>充分利用“粤视会”平台的分级管理和互联互通能力，实现省、市两级部署。进一步提升现有视频会议能力，配备基础软硬件，实现与“粤视会”平台互联互通。</w:t>
      </w:r>
    </w:p>
    <w:p>
      <w:pPr>
        <w:numPr>
          <w:ilvl w:val="0"/>
          <w:numId w:val="0"/>
        </w:numPr>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（三）完善政府网站集约化建设</w:t>
      </w:r>
    </w:p>
    <w:p>
      <w:pPr>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做好政府网站集约化平台分级管理、网站内容保障。开展全市政府网站与政务新媒体日常监测、季度通报及年度考评工作。委托专业机构进行日常监测，每月分别下发《汕头市政府网站检测报告》《汕头市政务新媒体检测报告》，落实各单位核查、整改，限期反馈整改完成情况；每季度全市政府网站与政务新媒体检查情况进行通报，强化监管、落实责任；出台汕头市年度政府网站与政务新媒体考评方案，协调考评机构有序推进各阶段工作，并落实各单位配合做好自评、复核等工作，做好考评结果上报。</w:t>
      </w:r>
    </w:p>
    <w:p>
      <w:pPr>
        <w:numPr>
          <w:ilvl w:val="0"/>
          <w:numId w:val="0"/>
        </w:numPr>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（四）赋能党政机关数字化发展</w:t>
      </w:r>
    </w:p>
    <w:p>
      <w:pPr>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    赋能“数字党建”建设。</w:t>
      </w:r>
      <w:r>
        <w:rPr>
          <w:rFonts w:hint="eastAsia" w:ascii="仿宋" w:hAnsi="仿宋" w:eastAsia="仿宋" w:cs="仿宋"/>
          <w:b w:val="0"/>
          <w:bCs w:val="0"/>
          <w:sz w:val="32"/>
          <w:szCs w:val="32"/>
          <w:lang w:val="en-US" w:eastAsia="zh-CN"/>
        </w:rPr>
        <w:t>通过“数字党建+”，探索党建创新。通过建设网上党校、学习书院等多功能党建学习场所，实现线上定制课程、线下签到学习、系统积分考核的学习闭环，将学习教育和党建宣传融入碎片化空间，丰富党建空间的内容效果。打造“数字党建+生活”，开设生活服务专题，将党建融入群众生活，在各办公区楼宇、大厅设置多媒体终端，打造“党建屏”，实现宣传教育内容和服务信息的全天候轮播推送，营造了“党建大课堂”的良好氛围。</w:t>
      </w:r>
    </w:p>
    <w:p>
      <w:pPr>
        <w:numPr>
          <w:ilvl w:val="0"/>
          <w:numId w:val="0"/>
        </w:numPr>
        <w:ind w:firstLine="64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赋能“数字政协”建设。</w:t>
      </w:r>
      <w:r>
        <w:rPr>
          <w:rFonts w:hint="eastAsia" w:ascii="仿宋" w:hAnsi="仿宋" w:eastAsia="仿宋" w:cs="仿宋"/>
          <w:b w:val="0"/>
          <w:bCs w:val="0"/>
          <w:sz w:val="32"/>
          <w:szCs w:val="32"/>
          <w:lang w:val="en-US" w:eastAsia="zh-CN"/>
        </w:rPr>
        <w:t>根据省政协部署，汕头市政协作为全省“数字政协”5个试点单位之一，主动开展“数字政协”试点推广工作。目前，已基本完成“数字政协”平台第一期建设，将围绕突出本地工作实际需求、突显本地履职工作特色亮点，进行系统个性化改造，推进“数字政协”平台第二期和第三期建设，提高政协信息化水平。</w:t>
      </w:r>
    </w:p>
    <w:p>
      <w:pPr>
        <w:numPr>
          <w:ilvl w:val="0"/>
          <w:numId w:val="0"/>
        </w:numPr>
        <w:ind w:firstLine="64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赋能“数字政法”建设。</w:t>
      </w:r>
      <w:r>
        <w:rPr>
          <w:rFonts w:hint="eastAsia" w:ascii="仿宋" w:hAnsi="仿宋" w:eastAsia="仿宋" w:cs="仿宋"/>
          <w:b w:val="0"/>
          <w:bCs w:val="0"/>
          <w:sz w:val="32"/>
          <w:szCs w:val="32"/>
          <w:lang w:val="en-US" w:eastAsia="zh-CN"/>
        </w:rPr>
        <w:t>2022年9月底前，依托数据治理体系，搭建数据模型，强化研判分析和风险预警能力，完成市、区（县）、镇（街）、村（社区）四级研判分析、全景视图、平安指数等应用建设。建立平安汕头指数，分级呈现平安建设成效和社会平安总体情况；2022年12月底前，按照“物理连通、逻辑强隔离”模式，针对政法各单位分别开设互相隔离的专有业务平面，通过逻辑隔离数据交换区实现政法单位间的互联互通，稳步推进政法网与政务外网联通融合，打通政法系统与“数字政府”的政务信息共享平台通道，将“数字政府”的共享数据和脱敏后的全省政法共享信息相互推送调用，为政法各单位、其他市直单位、企业、群众等提供更加丰富的数据服务和应用。</w:t>
      </w:r>
    </w:p>
    <w:p>
      <w:pPr>
        <w:numPr>
          <w:ilvl w:val="0"/>
          <w:numId w:val="0"/>
        </w:numPr>
        <w:ind w:firstLine="64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赋能“智慧法院”建设。</w:t>
      </w:r>
      <w:r>
        <w:rPr>
          <w:rFonts w:hint="eastAsia" w:ascii="仿宋" w:hAnsi="仿宋" w:eastAsia="仿宋" w:cs="仿宋"/>
          <w:b w:val="0"/>
          <w:bCs w:val="0"/>
          <w:sz w:val="32"/>
          <w:szCs w:val="32"/>
          <w:lang w:val="en-US" w:eastAsia="zh-CN"/>
        </w:rPr>
        <w:t>“十四五”期间，积极配合省高院，推进智能协同应用体系建设，完善智慧服务体系、审判办案体系、智慧执行体系和智慧管理体系。建设完善辖区法院诉讼服务网和移动微法院，为人民群众提供全流程、智能化的电子诉讼服务。积极配合政法跨部门大数据办案省级平台建设，进一步推进业务全流程数字化、网络化。</w:t>
      </w:r>
    </w:p>
    <w:p>
      <w:pPr>
        <w:numPr>
          <w:ilvl w:val="0"/>
          <w:numId w:val="0"/>
        </w:numPr>
        <w:ind w:firstLine="64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赋能“智慧检务”建设。</w:t>
      </w:r>
      <w:r>
        <w:rPr>
          <w:rFonts w:hint="eastAsia" w:ascii="仿宋" w:hAnsi="仿宋" w:eastAsia="仿宋" w:cs="仿宋"/>
          <w:b w:val="0"/>
          <w:bCs w:val="0"/>
          <w:sz w:val="32"/>
          <w:szCs w:val="32"/>
          <w:lang w:val="en-US" w:eastAsia="zh-CN"/>
        </w:rPr>
        <w:t>深化统一业务应用系统2.0、检察官业绩考评系统、远程提讯系统、“汕头微检察”微信小程序、12309中国检察网等应用，利用专业信息化手段深入推动检察工作创新发展。推进中国检察听证网、政法跨部门大数据办案平台建设，推动案件办理业务流程规范透明，提高政法单位间网上办案无缝衔接，实现执行办案信息全程留痕，加强对执法办案过程的监督管理，最终实现刑事案件仅网上移送电子卷宗的“单轨制”办案新模式。</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numPr>
                <w:ilvl w:val="0"/>
                <w:numId w:val="0"/>
              </w:num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bCs/>
                <w:sz w:val="32"/>
                <w:szCs w:val="32"/>
                <w:vertAlign w:val="baseline"/>
                <w:lang w:val="en-US" w:eastAsia="zh-CN"/>
              </w:rPr>
              <w:t>专栏6 “一网协同”重点建设项目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numPr>
                <w:ilvl w:val="0"/>
                <w:numId w:val="0"/>
              </w:numPr>
              <w:ind w:firstLine="562" w:firstLineChars="200"/>
              <w:rPr>
                <w:rFonts w:hint="eastAsia" w:ascii="仿宋" w:hAnsi="仿宋" w:eastAsia="仿宋" w:cs="仿宋"/>
                <w:b w:val="0"/>
                <w:bCs w:val="0"/>
                <w:sz w:val="28"/>
                <w:szCs w:val="28"/>
                <w:vertAlign w:val="baseline"/>
                <w:lang w:val="en-US" w:eastAsia="zh-CN"/>
              </w:rPr>
            </w:pPr>
            <w:r>
              <w:rPr>
                <w:rFonts w:hint="eastAsia" w:ascii="仿宋" w:hAnsi="仿宋" w:eastAsia="仿宋" w:cs="仿宋"/>
                <w:b/>
                <w:bCs/>
                <w:sz w:val="28"/>
                <w:szCs w:val="28"/>
                <w:vertAlign w:val="baseline"/>
                <w:lang w:val="en-US" w:eastAsia="zh-CN"/>
              </w:rPr>
              <w:t>“粤政易”。</w:t>
            </w:r>
            <w:r>
              <w:rPr>
                <w:rFonts w:hint="eastAsia" w:ascii="仿宋" w:hAnsi="仿宋" w:eastAsia="仿宋" w:cs="仿宋"/>
                <w:b w:val="0"/>
                <w:bCs w:val="0"/>
                <w:sz w:val="28"/>
                <w:szCs w:val="28"/>
                <w:vertAlign w:val="baseline"/>
                <w:lang w:val="en-US" w:eastAsia="zh-CN"/>
              </w:rPr>
              <w:t>加强平台推广应用，持续提升平台的日活率，为全市各级公职人员移动化处理非涉密公文、审批文件、学习培训等提供便捷化支持。</w:t>
            </w:r>
          </w:p>
          <w:p>
            <w:pPr>
              <w:numPr>
                <w:ilvl w:val="0"/>
                <w:numId w:val="0"/>
              </w:numPr>
              <w:ind w:firstLine="562" w:firstLineChars="200"/>
              <w:rPr>
                <w:rFonts w:hint="eastAsia" w:ascii="仿宋" w:hAnsi="仿宋" w:eastAsia="仿宋" w:cs="仿宋"/>
                <w:b w:val="0"/>
                <w:bCs w:val="0"/>
                <w:sz w:val="28"/>
                <w:szCs w:val="28"/>
                <w:vertAlign w:val="baseline"/>
                <w:lang w:val="en-US" w:eastAsia="zh-CN"/>
              </w:rPr>
            </w:pPr>
            <w:r>
              <w:rPr>
                <w:rFonts w:hint="eastAsia" w:ascii="仿宋" w:hAnsi="仿宋" w:eastAsia="仿宋" w:cs="仿宋"/>
                <w:b/>
                <w:bCs/>
                <w:sz w:val="28"/>
                <w:szCs w:val="28"/>
                <w:vertAlign w:val="baseline"/>
                <w:lang w:val="en-US" w:eastAsia="zh-CN"/>
              </w:rPr>
              <w:t>政府网站集约化平台。</w:t>
            </w:r>
            <w:r>
              <w:rPr>
                <w:rFonts w:hint="eastAsia" w:ascii="仿宋" w:hAnsi="仿宋" w:eastAsia="仿宋" w:cs="仿宋"/>
                <w:b w:val="0"/>
                <w:bCs w:val="0"/>
                <w:sz w:val="28"/>
                <w:szCs w:val="28"/>
                <w:vertAlign w:val="baseline"/>
                <w:lang w:val="en-US" w:eastAsia="zh-CN"/>
              </w:rPr>
              <w:t>加强平台日常运维、监测、通报及安全保障工作，进一步提升政府网站资源优化整合、数据互认共享、服务便捷高效的水平。</w:t>
            </w:r>
          </w:p>
          <w:p>
            <w:pPr>
              <w:numPr>
                <w:ilvl w:val="0"/>
                <w:numId w:val="0"/>
              </w:numPr>
              <w:ind w:firstLine="562" w:firstLineChars="200"/>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“数字党建”。</w:t>
            </w:r>
            <w:r>
              <w:rPr>
                <w:rFonts w:hint="eastAsia" w:ascii="仿宋" w:hAnsi="仿宋" w:eastAsia="仿宋" w:cs="仿宋"/>
                <w:b w:val="0"/>
                <w:bCs w:val="0"/>
                <w:sz w:val="28"/>
                <w:szCs w:val="28"/>
                <w:lang w:val="en-US" w:eastAsia="zh-CN"/>
              </w:rPr>
              <w:t>不断丰富平台的内容，将党建融入群众的生活和学习中，探索党建创新。</w:t>
            </w:r>
          </w:p>
          <w:p>
            <w:pPr>
              <w:numPr>
                <w:ilvl w:val="0"/>
                <w:numId w:val="0"/>
              </w:numPr>
              <w:ind w:firstLine="562" w:firstLineChars="200"/>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“数字政协”。</w:t>
            </w:r>
            <w:r>
              <w:rPr>
                <w:rFonts w:hint="eastAsia" w:ascii="仿宋" w:hAnsi="仿宋" w:eastAsia="仿宋" w:cs="仿宋"/>
                <w:b w:val="0"/>
                <w:bCs w:val="0"/>
                <w:sz w:val="28"/>
                <w:szCs w:val="28"/>
                <w:lang w:val="en-US" w:eastAsia="zh-CN"/>
              </w:rPr>
              <w:t>以汕头市政协作为全省“数字政协”5个试点单位之一为契机，围绕本地工作实际需求和履职特点，进行个性化改造，不断优化完善平台功能。</w:t>
            </w:r>
          </w:p>
          <w:p>
            <w:pPr>
              <w:numPr>
                <w:ilvl w:val="0"/>
                <w:numId w:val="0"/>
              </w:numPr>
              <w:ind w:firstLine="562" w:firstLineChars="200"/>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“数字政法”。</w:t>
            </w:r>
            <w:r>
              <w:rPr>
                <w:rFonts w:hint="eastAsia" w:ascii="仿宋" w:hAnsi="仿宋" w:eastAsia="仿宋" w:cs="仿宋"/>
                <w:b w:val="0"/>
                <w:bCs w:val="0"/>
                <w:sz w:val="28"/>
                <w:szCs w:val="28"/>
                <w:lang w:val="en-US" w:eastAsia="zh-CN"/>
              </w:rPr>
              <w:t>打通政法单位间的数据壁垒，稳步推进政法网与政务外网联通融合。完成市、区（县）、镇（街）、村（社区）四级研判分析、全景视图、平安指数等应用建设。</w:t>
            </w:r>
          </w:p>
          <w:p>
            <w:pPr>
              <w:numPr>
                <w:ilvl w:val="0"/>
                <w:numId w:val="0"/>
              </w:numPr>
              <w:ind w:firstLine="562" w:firstLineChars="200"/>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“智慧法院”。</w:t>
            </w:r>
            <w:r>
              <w:rPr>
                <w:rFonts w:hint="eastAsia" w:ascii="仿宋" w:hAnsi="仿宋" w:eastAsia="仿宋" w:cs="仿宋"/>
                <w:b w:val="0"/>
                <w:bCs w:val="0"/>
                <w:sz w:val="28"/>
                <w:szCs w:val="28"/>
                <w:lang w:val="en-US" w:eastAsia="zh-CN"/>
              </w:rPr>
              <w:t>借助政法跨部门大数据办案省级平台、辖区法院诉讼服务网和移动微法院等线上渠道，进一步推进业务全流程数字化、网络化，为人民群众提供智能化的电子诉讼服务。</w:t>
            </w:r>
          </w:p>
          <w:p>
            <w:pPr>
              <w:numPr>
                <w:ilvl w:val="0"/>
                <w:numId w:val="0"/>
              </w:numPr>
              <w:ind w:firstLine="562"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28"/>
                <w:szCs w:val="28"/>
                <w:lang w:val="en-US" w:eastAsia="zh-CN"/>
              </w:rPr>
              <w:t>“智慧检务”。</w:t>
            </w:r>
            <w:r>
              <w:rPr>
                <w:rFonts w:hint="eastAsia" w:ascii="仿宋" w:hAnsi="仿宋" w:eastAsia="仿宋" w:cs="仿宋"/>
                <w:b w:val="0"/>
                <w:bCs w:val="0"/>
                <w:sz w:val="28"/>
                <w:szCs w:val="28"/>
                <w:lang w:val="en-US" w:eastAsia="zh-CN"/>
              </w:rPr>
              <w:t>利用专业信息化手段，深化统一业务应用系统2.0、检察官业绩考评系统、远程提讯系统、“汕头微检察”微信小程序、12309中国检察网等应用，推动检察工作创新发展。</w:t>
            </w:r>
          </w:p>
        </w:tc>
      </w:tr>
    </w:tbl>
    <w:p>
      <w:pPr>
        <w:numPr>
          <w:ilvl w:val="0"/>
          <w:numId w:val="0"/>
        </w:numPr>
        <w:ind w:firstLine="640"/>
        <w:rPr>
          <w:rFonts w:hint="eastAsia" w:ascii="仿宋" w:hAnsi="仿宋" w:eastAsia="仿宋" w:cs="仿宋"/>
          <w:b w:val="0"/>
          <w:bCs w:val="0"/>
          <w:sz w:val="32"/>
          <w:szCs w:val="32"/>
          <w:lang w:val="en-US" w:eastAsia="zh-CN"/>
        </w:rPr>
      </w:pPr>
    </w:p>
    <w:p>
      <w:pPr>
        <w:numPr>
          <w:ilvl w:val="0"/>
          <w:numId w:val="0"/>
        </w:numPr>
        <w:ind w:firstLine="640" w:firstLineChars="200"/>
        <w:rPr>
          <w:rFonts w:hint="eastAsia" w:ascii="黑体" w:hAnsi="黑体" w:eastAsia="黑体" w:cs="黑体"/>
          <w:sz w:val="32"/>
          <w:szCs w:val="32"/>
          <w:shd w:val="clear" w:color="FFFFFF" w:fill="D9D9D9"/>
          <w:lang w:val="en-US" w:eastAsia="zh-CN"/>
        </w:rPr>
      </w:pPr>
      <w:r>
        <w:rPr>
          <w:rFonts w:hint="eastAsia" w:ascii="黑体" w:hAnsi="黑体" w:eastAsia="黑体" w:cs="黑体"/>
          <w:sz w:val="32"/>
          <w:szCs w:val="32"/>
          <w:shd w:val="clear" w:color="auto" w:fill="auto"/>
          <w:lang w:val="en-US" w:eastAsia="zh-CN"/>
        </w:rPr>
        <w:t>三、推进“一网统管”，提高数字政府治理能力和治理体系建设水平</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充分依托市级政务云平台、政务网、政务大数据中心和安全保障等数字政府基础底座，围绕经济调节、市场监管、社会管理、公共服务和生态环境保护五大职能，优化管理体系和管理流程，构建横向到边、纵向到底、全闭环的数字化治理模式，实现市域范围“一网感知态势、一网纵观全局、一网决策指挥、一网协同共治”。建成“1+3+5+N” 的“一网统管”基本架构,具体为</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——夯实全市一体化数字政府基础底座,完善政务云平台、政务外网、政务大数据中心、公共支撑平台、感知体系、标准规范和安全保障等,支撑构建“一网统管”技术体系。</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——建设省、市、县(市、区)三级“一网统管”基础平台,为各应用专题建设和接入提供标准、灵活、开放的支撑能力。原则上在省、市两级部署,指导各区(县)按需对接,实现省、市、区(县)三级平台联动。</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——构建“一网统管”省、市、区(县)、镇(街)、村(社区)五级用户体系,创新“一网统管”管理模式。</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——打造N类特色应用专题,围绕各层级、各行业治理场景和需求,不断创新治理模式和治理手段。</w:t>
      </w:r>
    </w:p>
    <w:p>
      <w:pPr>
        <w:numPr>
          <w:ilvl w:val="0"/>
          <w:numId w:val="0"/>
        </w:numPr>
        <w:ind w:firstLine="640"/>
        <w:jc w:val="center"/>
        <w:rPr>
          <w:rFonts w:hint="eastAsia" w:ascii="黑体" w:hAnsi="黑体" w:eastAsia="黑体" w:cs="黑体"/>
          <w:sz w:val="32"/>
          <w:szCs w:val="32"/>
          <w:lang w:val="en-US" w:eastAsia="zh-CN"/>
        </w:rPr>
      </w:pPr>
    </w:p>
    <w:p>
      <w:pPr>
        <w:numPr>
          <w:ilvl w:val="0"/>
          <w:numId w:val="0"/>
        </w:numPr>
        <w:ind w:firstLine="640"/>
        <w:jc w:val="center"/>
        <w:outlineLvl w:val="1"/>
        <w:rPr>
          <w:rFonts w:hint="eastAsia" w:ascii="黑体" w:hAnsi="黑体" w:eastAsia="黑体" w:cs="黑体"/>
          <w:sz w:val="32"/>
          <w:szCs w:val="32"/>
          <w:lang w:val="en-US" w:eastAsia="zh-CN"/>
        </w:rPr>
      </w:pPr>
      <w:bookmarkStart w:id="33" w:name="_Toc16132"/>
      <w:bookmarkStart w:id="34" w:name="_Toc30261"/>
      <w:r>
        <w:rPr>
          <w:rFonts w:hint="eastAsia" w:ascii="黑体" w:hAnsi="黑体" w:eastAsia="黑体" w:cs="黑体"/>
          <w:sz w:val="32"/>
          <w:szCs w:val="32"/>
          <w:lang w:val="en-US" w:eastAsia="zh-CN"/>
        </w:rPr>
        <w:t>第三节 推进四大工程，建设活力特区、法治城市、文明窗口、和美侨乡、智慧都市</w:t>
      </w:r>
      <w:bookmarkEnd w:id="33"/>
      <w:bookmarkEnd w:id="34"/>
    </w:p>
    <w:p>
      <w:pPr>
        <w:numPr>
          <w:ilvl w:val="0"/>
          <w:numId w:val="0"/>
        </w:numPr>
        <w:ind w:firstLine="640"/>
        <w:rPr>
          <w:rFonts w:hint="eastAsia" w:ascii="楷体" w:hAnsi="楷体" w:eastAsia="楷体" w:cs="楷体"/>
          <w:b w:val="0"/>
          <w:bCs w:val="0"/>
          <w:sz w:val="32"/>
          <w:szCs w:val="32"/>
          <w:lang w:val="en-US" w:eastAsia="zh-CN"/>
        </w:rPr>
      </w:pPr>
    </w:p>
    <w:p>
      <w:pPr>
        <w:numPr>
          <w:ilvl w:val="0"/>
          <w:numId w:val="0"/>
        </w:numPr>
        <w:ind w:firstLine="64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一、政务服务提升工程</w:t>
      </w:r>
    </w:p>
    <w:p>
      <w:pPr>
        <w:numPr>
          <w:ilvl w:val="0"/>
          <w:numId w:val="0"/>
        </w:numPr>
        <w:ind w:firstLine="64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（一）提供规范透明的公共服务</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构建全民健康信息服务体系。</w:t>
      </w:r>
      <w:r>
        <w:rPr>
          <w:rFonts w:hint="eastAsia" w:ascii="仿宋" w:hAnsi="仿宋" w:eastAsia="仿宋" w:cs="仿宋"/>
          <w:sz w:val="32"/>
          <w:szCs w:val="32"/>
          <w:lang w:val="en-US" w:eastAsia="zh-CN"/>
        </w:rPr>
        <w:t>推进汕头市区域医疗卫生信息平台（二期）项目建设，按国家和省统一的标准，建设我市全员人口数据、居民健康档案、电子病历三大完整数据库，并建设和完善公共卫生、计划生育、医疗服务、医疗保障、药品管理、综合管理、决策分析等应用信息系统，实现全民健康信息的业务协同和共享，形成覆盖全人口、全生命周期的全民健康信息服务体系。</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全面推广交通综合执法信息系统应用。</w:t>
      </w:r>
      <w:r>
        <w:rPr>
          <w:rFonts w:hint="eastAsia" w:ascii="仿宋" w:hAnsi="仿宋" w:eastAsia="仿宋" w:cs="仿宋"/>
          <w:sz w:val="32"/>
          <w:szCs w:val="32"/>
          <w:lang w:val="en-US" w:eastAsia="zh-CN"/>
        </w:rPr>
        <w:t>依托广东省交通运输综合行政执法信息平台，提高数据的协同应用，实现行政许可、检查、处罚、强制、信用记录全流程管理，强化交通运输市场违法预警、执法及信用数据的协同应用，实现违法发现智能化、证据采集自动化、业务基础统一化、执法监督标准化、信息服务人文化。</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全面推进“互联网+救助”。</w:t>
      </w:r>
      <w:r>
        <w:rPr>
          <w:rFonts w:hint="eastAsia" w:ascii="仿宋" w:hAnsi="仿宋" w:eastAsia="仿宋" w:cs="仿宋"/>
          <w:sz w:val="32"/>
          <w:szCs w:val="32"/>
          <w:lang w:val="en-US" w:eastAsia="zh-CN"/>
        </w:rPr>
        <w:t>完善社会救助管理信息平台，建立救助数据共享共用系统，强化部门、群团组织间协同联动，推动救助信息互联互通、共享。完善广东省底线民生信息化核对管理系统数据信息。优化群众办事流程，推进社会救助申请“一证一书”（即身份证、授权委托书）改革，拓展系统功能，实现救助事项“掌上办”“指尖办”，为困难群众提供方便快捷的救助事项申请、办理、查询等服务。维护广东省流浪乞讨人员救助管理信息系统，发挥智能化手段在流浪救助管理工作规范化建设中的作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b/>
                <w:bCs/>
                <w:sz w:val="32"/>
                <w:szCs w:val="32"/>
                <w:vertAlign w:val="baseline"/>
                <w:lang w:val="en-US" w:eastAsia="zh-CN"/>
              </w:rPr>
              <w:t>专栏7 公共服务重点项目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numPr>
                <w:ilvl w:val="0"/>
                <w:numId w:val="0"/>
              </w:numPr>
              <w:ind w:firstLine="562" w:firstLineChars="200"/>
              <w:rPr>
                <w:rFonts w:hint="eastAsia" w:ascii="仿宋" w:hAnsi="仿宋" w:eastAsia="仿宋" w:cs="仿宋"/>
                <w:sz w:val="28"/>
                <w:szCs w:val="28"/>
                <w:vertAlign w:val="baseline"/>
                <w:lang w:val="en-US" w:eastAsia="zh-CN"/>
              </w:rPr>
            </w:pPr>
            <w:r>
              <w:rPr>
                <w:rFonts w:hint="eastAsia" w:ascii="仿宋" w:hAnsi="仿宋" w:eastAsia="仿宋" w:cs="仿宋"/>
                <w:b/>
                <w:bCs/>
                <w:sz w:val="28"/>
                <w:szCs w:val="28"/>
                <w:vertAlign w:val="baseline"/>
                <w:lang w:val="en-US" w:eastAsia="zh-CN"/>
              </w:rPr>
              <w:t>汕头市区域医疗卫生信息平台（二期）项目。</w:t>
            </w:r>
            <w:r>
              <w:rPr>
                <w:rFonts w:hint="eastAsia" w:ascii="仿宋" w:hAnsi="仿宋" w:eastAsia="仿宋" w:cs="仿宋"/>
                <w:sz w:val="28"/>
                <w:szCs w:val="28"/>
                <w:vertAlign w:val="baseline"/>
                <w:lang w:val="en-US" w:eastAsia="zh-CN"/>
              </w:rPr>
              <w:t>建成统一权威、互联互通的人口健康信息平台，覆盖公共卫生、计划生育、医疗服务、医疗保障、药品供应、行业管理、疫情防控、健康服务、大数据挖掘、科技创新等业务应用服务体系，实现汕头市人口健康信息平台和汕头市各级医疗机构互联互通，支持基本医保全国联网和跨省异地就医即时结算，形成跨部门健康医疗大数据资源共用共享的良好格局。</w:t>
            </w:r>
          </w:p>
          <w:p>
            <w:pPr>
              <w:numPr>
                <w:ilvl w:val="0"/>
                <w:numId w:val="0"/>
              </w:numPr>
              <w:ind w:firstLine="562" w:firstLineChars="200"/>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交通综合执法信息系统。</w:t>
            </w:r>
            <w:r>
              <w:rPr>
                <w:rFonts w:hint="eastAsia" w:ascii="仿宋" w:hAnsi="仿宋" w:eastAsia="仿宋" w:cs="仿宋"/>
                <w:b w:val="0"/>
                <w:bCs w:val="0"/>
                <w:sz w:val="28"/>
                <w:szCs w:val="28"/>
                <w:lang w:val="en-US" w:eastAsia="zh-CN"/>
              </w:rPr>
              <w:t>构建以大数据、新技术应用为基础的交通智能综合执法框架，逐步升级完善基础设施和系统功能，以实现汕头交通综合执法信息化、移动化、数据化，切实提升汕头市交通综合执法效率和质量。</w:t>
            </w:r>
          </w:p>
          <w:p>
            <w:pPr>
              <w:numPr>
                <w:ilvl w:val="0"/>
                <w:numId w:val="0"/>
              </w:numPr>
              <w:ind w:firstLine="562"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28"/>
                <w:szCs w:val="28"/>
                <w:lang w:val="en-US" w:eastAsia="zh-CN"/>
              </w:rPr>
              <w:t>“互联网+救助”。</w:t>
            </w:r>
            <w:r>
              <w:rPr>
                <w:rFonts w:hint="eastAsia" w:ascii="仿宋" w:hAnsi="仿宋" w:eastAsia="仿宋" w:cs="仿宋"/>
                <w:sz w:val="28"/>
                <w:szCs w:val="28"/>
                <w:lang w:val="en-US" w:eastAsia="zh-CN"/>
              </w:rPr>
              <w:t>完善社会救助管理信息平台、广东省底线民生信息化核对管理系统和广东省流浪乞讨人员救助管理信息系统，通过信息化手段实现救助事项“掌上办”“指尖办”，为困难群众提供方便快捷的救助。</w:t>
            </w:r>
          </w:p>
        </w:tc>
      </w:tr>
    </w:tbl>
    <w:p>
      <w:pPr>
        <w:numPr>
          <w:ilvl w:val="0"/>
          <w:numId w:val="0"/>
        </w:numPr>
        <w:ind w:firstLine="640"/>
        <w:rPr>
          <w:rFonts w:hint="eastAsia" w:ascii="仿宋" w:hAnsi="仿宋" w:eastAsia="仿宋" w:cs="仿宋"/>
          <w:sz w:val="32"/>
          <w:szCs w:val="32"/>
          <w:lang w:val="en-US" w:eastAsia="zh-CN"/>
        </w:rPr>
      </w:pPr>
    </w:p>
    <w:p>
      <w:pPr>
        <w:numPr>
          <w:ilvl w:val="0"/>
          <w:numId w:val="0"/>
        </w:numPr>
        <w:ind w:firstLine="64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（二）拓展便捷高效的民生服务</w:t>
      </w:r>
    </w:p>
    <w:p>
      <w:pPr>
        <w:numPr>
          <w:ilvl w:val="0"/>
          <w:numId w:val="0"/>
        </w:numPr>
        <w:ind w:firstLine="64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推进“互联网+教育”。</w:t>
      </w:r>
      <w:r>
        <w:rPr>
          <w:rFonts w:hint="eastAsia" w:ascii="仿宋_GB2312" w:hAnsi="仿宋" w:eastAsia="仿宋_GB2312" w:cs="仿宋"/>
          <w:color w:val="000000" w:themeColor="text1"/>
          <w:sz w:val="32"/>
          <w:szCs w:val="32"/>
          <w14:textFill>
            <w14:solidFill>
              <w14:schemeClr w14:val="tx1"/>
            </w14:solidFill>
          </w14:textFill>
        </w:rPr>
        <w:t>开展基础教育信息化融合创新工程，聚焦课程、教学、评价、治理等环节，利用互联网、人工智能和大数据推行“无感式”“伴随式”课程与质量监测。</w:t>
      </w:r>
      <w:r>
        <w:rPr>
          <w:rFonts w:hint="eastAsia" w:ascii="仿宋_GB2312" w:eastAsia="仿宋_GB2312"/>
          <w:color w:val="000000" w:themeColor="text1"/>
          <w:sz w:val="32"/>
          <w:szCs w:val="32"/>
          <w14:textFill>
            <w14:solidFill>
              <w14:schemeClr w14:val="tx1"/>
            </w14:solidFill>
          </w14:textFill>
        </w:rPr>
        <w:t>建设基于移动终端、物联网、无线网络、大数据、虚拟现实、人工智能、云计算、区块链等新一代信息技术的学习环境和学习空间，以网络学习空间为纽带贯通学校教学、管理、评价等核心业务。</w:t>
      </w:r>
      <w:r>
        <w:rPr>
          <w:rFonts w:hint="eastAsia" w:ascii="仿宋_GB2312" w:eastAsia="仿宋_GB2312"/>
          <w:color w:val="000000" w:themeColor="text1"/>
          <w:sz w:val="32"/>
          <w:szCs w:val="32"/>
          <w:lang w:val="en-US" w:eastAsia="zh-CN"/>
          <w14:textFill>
            <w14:solidFill>
              <w14:schemeClr w14:val="tx1"/>
            </w14:solidFill>
          </w14:textFill>
        </w:rPr>
        <w:t>参与国家和省</w:t>
      </w:r>
      <w:r>
        <w:rPr>
          <w:rFonts w:hint="eastAsia" w:ascii="仿宋_GB2312" w:eastAsia="仿宋_GB2312"/>
          <w:color w:val="000000" w:themeColor="text1"/>
          <w:sz w:val="32"/>
          <w:szCs w:val="32"/>
          <w14:textFill>
            <w14:solidFill>
              <w14:schemeClr w14:val="tx1"/>
            </w14:solidFill>
          </w14:textFill>
        </w:rPr>
        <w:t>教育大资源服务体系</w:t>
      </w:r>
      <w:r>
        <w:rPr>
          <w:rFonts w:hint="eastAsia" w:ascii="仿宋_GB2312" w:eastAsia="仿宋_GB2312"/>
          <w:color w:val="000000" w:themeColor="text1"/>
          <w:sz w:val="32"/>
          <w:szCs w:val="32"/>
          <w:lang w:val="en-US" w:eastAsia="zh-CN"/>
          <w14:textFill>
            <w14:solidFill>
              <w14:schemeClr w14:val="tx1"/>
            </w14:solidFill>
          </w14:textFill>
        </w:rPr>
        <w:t>建设</w:t>
      </w:r>
      <w:r>
        <w:rPr>
          <w:rFonts w:hint="eastAsia" w:ascii="仿宋_GB2312" w:eastAsia="仿宋_GB2312"/>
          <w:color w:val="000000" w:themeColor="text1"/>
          <w:sz w:val="32"/>
          <w:szCs w:val="32"/>
          <w14:textFill>
            <w14:solidFill>
              <w14:schemeClr w14:val="tx1"/>
            </w14:solidFill>
          </w14:textFill>
        </w:rPr>
        <w:t>，以</w:t>
      </w:r>
      <w:r>
        <w:rPr>
          <w:rFonts w:hint="eastAsia" w:ascii="仿宋_GB2312" w:eastAsia="仿宋_GB2312"/>
          <w:color w:val="000000" w:themeColor="text1"/>
          <w:sz w:val="32"/>
          <w:szCs w:val="32"/>
          <w:lang w:val="en-US" w:eastAsia="zh-CN"/>
          <w14:textFill>
            <w14:solidFill>
              <w14:schemeClr w14:val="tx1"/>
            </w14:solidFill>
          </w14:textFill>
        </w:rPr>
        <w:t>汕头教育云</w:t>
      </w:r>
      <w:r>
        <w:rPr>
          <w:rFonts w:hint="eastAsia" w:ascii="仿宋_GB2312" w:eastAsia="仿宋_GB2312"/>
          <w:color w:val="000000" w:themeColor="text1"/>
          <w:sz w:val="32"/>
          <w:szCs w:val="32"/>
          <w14:textFill>
            <w14:solidFill>
              <w14:schemeClr w14:val="tx1"/>
            </w14:solidFill>
          </w14:textFill>
        </w:rPr>
        <w:t>平台为基础，构建以课程化资源为主体</w:t>
      </w:r>
      <w:r>
        <w:rPr>
          <w:rFonts w:hint="eastAsia" w:ascii="仿宋_GB2312" w:eastAsia="仿宋_GB2312"/>
          <w:color w:val="000000" w:themeColor="text1"/>
          <w:sz w:val="32"/>
          <w:szCs w:val="32"/>
          <w:lang w:val="en-US" w:eastAsia="zh-CN"/>
          <w14:textFill>
            <w14:solidFill>
              <w14:schemeClr w14:val="tx1"/>
            </w14:solidFill>
          </w14:textFill>
        </w:rPr>
        <w:t>的本地特色数字教育</w:t>
      </w:r>
      <w:r>
        <w:rPr>
          <w:rFonts w:hint="eastAsia" w:ascii="仿宋_GB2312" w:eastAsia="仿宋_GB2312"/>
          <w:color w:val="000000" w:themeColor="text1"/>
          <w:sz w:val="32"/>
          <w:szCs w:val="32"/>
          <w14:textFill>
            <w14:solidFill>
              <w14:schemeClr w14:val="tx1"/>
            </w14:solidFill>
          </w14:textFill>
        </w:rPr>
        <w:t>资源，形成多元共建、开放共享的优质数字教育资源有效供给和服务机制</w:t>
      </w:r>
      <w:r>
        <w:rPr>
          <w:rFonts w:hint="eastAsia" w:ascii="仿宋_GB2312" w:eastAsia="仿宋_GB2312"/>
          <w:color w:val="000000" w:themeColor="text1"/>
          <w:sz w:val="32"/>
          <w:szCs w:val="32"/>
          <w:lang w:eastAsia="zh-CN"/>
          <w14:textFill>
            <w14:solidFill>
              <w14:schemeClr w14:val="tx1"/>
            </w14:solidFill>
          </w14:textFill>
        </w:rPr>
        <w:t>，构建“互联网+”教育新形态。</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加强互联网医院建设。</w:t>
      </w:r>
      <w:r>
        <w:rPr>
          <w:rFonts w:hint="eastAsia" w:ascii="仿宋" w:hAnsi="仿宋" w:eastAsia="仿宋" w:cs="仿宋"/>
          <w:sz w:val="32"/>
          <w:szCs w:val="32"/>
          <w:lang w:val="en-US" w:eastAsia="zh-CN"/>
        </w:rPr>
        <w:t>根据国家、省建设互联网医院的有关要求，支持已建成“互联网医院”的医疗机构完善互联网医疗业务应用和着力协调“互联网医院”与医保对接。下一步计划通过政府相关政策扶持和资金投入，逐步向全市二、三级医院推广和部署应用。</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完善社保卡“一卡通”服务管理模式。</w:t>
      </w:r>
      <w:r>
        <w:rPr>
          <w:rFonts w:hint="eastAsia" w:ascii="仿宋" w:hAnsi="仿宋" w:eastAsia="仿宋" w:cs="仿宋"/>
          <w:sz w:val="32"/>
          <w:szCs w:val="32"/>
          <w:lang w:val="en-US" w:eastAsia="zh-CN"/>
        </w:rPr>
        <w:t>推动社保卡向“市民卡”转变，2025年实现社保卡持卡人数达到550万以上，常住人口覆盖率达到98%以上。加强社保卡线上线下综合应用，实现以电子社保卡为载体的线上线下公共服务渠道，电子社保卡签发率力争达到70%。加快第三代社保卡的发行和应用，推进社保卡在人力资源社会保障、就医购药、惠民惠农补贴发放、智慧城市等居民服务和政务服务领域“一卡通”应用，推动多领域民生服务功能整合集成到社保卡，实现跨部门、跨业务和跨区域应用。</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加快“互联网+退役军人服务”发展。</w:t>
      </w:r>
      <w:r>
        <w:rPr>
          <w:rFonts w:hint="eastAsia" w:ascii="仿宋" w:hAnsi="仿宋" w:eastAsia="仿宋" w:cs="仿宋"/>
          <w:sz w:val="32"/>
          <w:szCs w:val="32"/>
          <w:lang w:val="en-US" w:eastAsia="zh-CN"/>
        </w:rPr>
        <w:t>借助主题库和综合业务管理平台，建立健全移交安置、就业创业、信访管理、应急救助、走访慰问、双拥工作、一站式服务等数据，充分发挥退役军人事务主题库和综合管理平台的作用，提升服务退役军人的能力和水平。</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b/>
                <w:bCs/>
                <w:sz w:val="32"/>
                <w:szCs w:val="32"/>
                <w:lang w:val="en-US" w:eastAsia="zh-CN"/>
              </w:rPr>
              <w:t>专栏8 民生服务重点项目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numPr>
                <w:ilvl w:val="0"/>
                <w:numId w:val="0"/>
              </w:numPr>
              <w:ind w:firstLine="64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“互联网+教育”。</w:t>
            </w:r>
            <w:r>
              <w:rPr>
                <w:rFonts w:hint="eastAsia" w:ascii="仿宋" w:hAnsi="仿宋" w:eastAsia="仿宋" w:cs="仿宋"/>
                <w:color w:val="000000" w:themeColor="text1"/>
                <w:sz w:val="28"/>
                <w:szCs w:val="28"/>
                <w14:textFill>
                  <w14:solidFill>
                    <w14:schemeClr w14:val="tx1"/>
                  </w14:solidFill>
                </w14:textFill>
              </w:rPr>
              <w:t>建设大数据综合治理服务平台</w:t>
            </w:r>
            <w:r>
              <w:rPr>
                <w:rFonts w:hint="eastAsia" w:ascii="仿宋" w:hAnsi="仿宋" w:eastAsia="仿宋" w:cs="仿宋"/>
                <w:color w:val="000000" w:themeColor="text1"/>
                <w:sz w:val="28"/>
                <w:szCs w:val="28"/>
                <w:lang w:eastAsia="zh-CN"/>
                <w14:textFill>
                  <w14:solidFill>
                    <w14:schemeClr w14:val="tx1"/>
                  </w14:solidFill>
                </w14:textFill>
              </w:rPr>
              <w:t>。健全覆盖市、区、校三级体系的教育考试管理服务平台，实现招考智能化管理、信息化服务，提高考试组织管理水平。提升教育信息化支撑教育政务服务、业务管理、师生管理和教育决策的能力，深化教育治理创新。</w:t>
            </w:r>
          </w:p>
          <w:p>
            <w:pPr>
              <w:numPr>
                <w:ilvl w:val="0"/>
                <w:numId w:val="0"/>
              </w:numPr>
              <w:ind w:firstLine="64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互联网医院平台。</w:t>
            </w:r>
            <w:r>
              <w:rPr>
                <w:rFonts w:hint="eastAsia" w:ascii="仿宋" w:hAnsi="仿宋" w:eastAsia="仿宋" w:cs="仿宋"/>
                <w:b w:val="0"/>
                <w:bCs w:val="0"/>
                <w:sz w:val="28"/>
                <w:szCs w:val="28"/>
                <w:lang w:val="en-US" w:eastAsia="zh-CN"/>
              </w:rPr>
              <w:t>实现实体医院与线上医院的互联互通，</w:t>
            </w:r>
            <w:r>
              <w:rPr>
                <w:rFonts w:hint="eastAsia" w:ascii="仿宋" w:hAnsi="仿宋" w:eastAsia="仿宋" w:cs="仿宋"/>
                <w:sz w:val="28"/>
                <w:szCs w:val="28"/>
                <w:lang w:val="en-US" w:eastAsia="zh-CN"/>
              </w:rPr>
              <w:t>完善互联网医疗业务，逐步向全市二、三级医院推广和部署应用。促进线上线下服务的高质量与一体化，使群众看病就医更便捷。</w:t>
            </w:r>
          </w:p>
          <w:p>
            <w:pPr>
              <w:numPr>
                <w:ilvl w:val="0"/>
                <w:numId w:val="0"/>
              </w:numPr>
              <w:ind w:firstLine="562" w:firstLineChars="200"/>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社保卡“一卡通”项目。</w:t>
            </w:r>
            <w:r>
              <w:rPr>
                <w:rFonts w:hint="eastAsia" w:ascii="仿宋" w:hAnsi="仿宋" w:eastAsia="仿宋" w:cs="仿宋"/>
                <w:b w:val="0"/>
                <w:bCs w:val="0"/>
                <w:sz w:val="28"/>
                <w:szCs w:val="28"/>
                <w:lang w:val="en-US" w:eastAsia="zh-CN"/>
              </w:rPr>
              <w:t>不断拓展社保卡功能，推动社保卡在更多领域的应用，真正实现社保卡的“一卡通”功能。</w:t>
            </w:r>
          </w:p>
          <w:p>
            <w:pPr>
              <w:numPr>
                <w:ilvl w:val="0"/>
                <w:numId w:val="0"/>
              </w:numPr>
              <w:ind w:firstLine="640"/>
              <w:rPr>
                <w:rFonts w:hint="eastAsia" w:ascii="仿宋" w:hAnsi="仿宋" w:eastAsia="仿宋" w:cs="仿宋"/>
                <w:b w:val="0"/>
                <w:bCs w:val="0"/>
                <w:sz w:val="32"/>
                <w:szCs w:val="32"/>
                <w:lang w:val="en-US" w:eastAsia="zh-CN"/>
              </w:rPr>
            </w:pPr>
            <w:r>
              <w:rPr>
                <w:rFonts w:hint="eastAsia" w:ascii="仿宋" w:hAnsi="仿宋" w:eastAsia="仿宋" w:cs="仿宋"/>
                <w:b/>
                <w:bCs/>
                <w:sz w:val="28"/>
                <w:szCs w:val="28"/>
                <w:lang w:val="en-US" w:eastAsia="zh-CN"/>
              </w:rPr>
              <w:t>“互联网+退役军人服务”。</w:t>
            </w:r>
            <w:r>
              <w:rPr>
                <w:rFonts w:hint="eastAsia" w:ascii="仿宋" w:hAnsi="仿宋" w:eastAsia="仿宋" w:cs="仿宋"/>
                <w:sz w:val="28"/>
                <w:szCs w:val="28"/>
                <w:lang w:val="en-US" w:eastAsia="zh-CN"/>
              </w:rPr>
              <w:t>借助主题库和综合业务管理平台，建立健全移交安置、就业创业、信访管理、应急救助、走访慰问、双拥工作、一站式服务等数据，充分发挥退役军人事务主题库和综合管理平台的作用，提升服务退役军人的能力和水平。</w:t>
            </w:r>
          </w:p>
        </w:tc>
      </w:tr>
    </w:tbl>
    <w:p>
      <w:pPr>
        <w:numPr>
          <w:ilvl w:val="0"/>
          <w:numId w:val="0"/>
        </w:numPr>
        <w:ind w:firstLine="640"/>
        <w:rPr>
          <w:rFonts w:hint="eastAsia" w:ascii="仿宋" w:hAnsi="仿宋" w:eastAsia="仿宋" w:cs="仿宋"/>
          <w:sz w:val="32"/>
          <w:szCs w:val="32"/>
          <w:lang w:val="en-US" w:eastAsia="zh-CN"/>
        </w:rPr>
      </w:pPr>
    </w:p>
    <w:p>
      <w:pPr>
        <w:numPr>
          <w:ilvl w:val="0"/>
          <w:numId w:val="0"/>
        </w:numPr>
        <w:ind w:firstLine="64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二、营商环境优化工程</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营商环境优化纳入法治化轨道。</w:t>
      </w:r>
      <w:r>
        <w:rPr>
          <w:rFonts w:hint="eastAsia" w:ascii="仿宋" w:hAnsi="仿宋" w:eastAsia="仿宋" w:cs="仿宋"/>
          <w:b w:val="0"/>
          <w:bCs w:val="0"/>
          <w:sz w:val="32"/>
          <w:szCs w:val="32"/>
          <w:lang w:val="en-US" w:eastAsia="zh-CN"/>
        </w:rPr>
        <w:t>制订实施</w:t>
      </w:r>
      <w:r>
        <w:rPr>
          <w:rFonts w:hint="eastAsia" w:ascii="仿宋" w:hAnsi="仿宋" w:eastAsia="仿宋" w:cs="仿宋"/>
          <w:sz w:val="32"/>
          <w:szCs w:val="32"/>
          <w:lang w:val="en-US" w:eastAsia="zh-CN"/>
        </w:rPr>
        <w:t>《汕头经济特区优化营商环境条例》，通过特区立法，将优化营商环境建设全面纳入法治化轨道，从制度层面为推动汕头在新时代经济特区建设中迎头赶上，提供有力法治保障。</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建设汕头市营商环境大数据平台。</w:t>
      </w:r>
      <w:r>
        <w:rPr>
          <w:rFonts w:hint="eastAsia" w:ascii="仿宋" w:hAnsi="仿宋" w:eastAsia="仿宋" w:cs="仿宋"/>
          <w:sz w:val="32"/>
          <w:szCs w:val="32"/>
          <w:lang w:val="en-US" w:eastAsia="zh-CN"/>
        </w:rPr>
        <w:t>依照分层次、模块化的方式推进营商环境大数据平台建设。归集全市营商环境数据，构建营商环境指标事前、事中、事后的电子监控平台，提升营商环境建设标准化，智能化，便捷化水平；开设对外服务宣传窗口，整合宣传各部门政策措施，促进政策承诺有效兑现；建立常态化的政企线上沟通渠道，强化舆论监督，听取市场主体意见，为市场主体提供政策信息，协调准确解决方案；构建多维度营商环境评估模型，建立横向、纵向评估体系，为加快汕头市营商环境改革提供决策支撑。</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构建“智慧住建”大平台。</w:t>
      </w:r>
      <w:r>
        <w:rPr>
          <w:rFonts w:hint="eastAsia" w:ascii="仿宋" w:hAnsi="仿宋" w:eastAsia="仿宋" w:cs="仿宋"/>
          <w:sz w:val="32"/>
          <w:szCs w:val="32"/>
          <w:lang w:val="en-US" w:eastAsia="zh-CN"/>
        </w:rPr>
        <w:t>组织建设汕头市工程建设监管与服务一体化平台，分三期完成。其中，一期项目（在建）计划于2021年11月底前完成。同时，基于一期建设目标和一期建设框架成果，于“十四五”期间规划建设二期、三期和“智慧住建科学决策驾驶舱”项目，逐步完善住建局内其他专项业务系统设计、建设，实现全局业务信息化全覆盖、业务监管全协同、业务监管服务一体化，为领导决策构建一站式监管大数据看板，形成一套完整的智慧住建大平台。</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持续推进商事登记制度改革。</w:t>
      </w:r>
      <w:r>
        <w:rPr>
          <w:rFonts w:hint="eastAsia" w:ascii="仿宋" w:hAnsi="仿宋" w:eastAsia="仿宋" w:cs="仿宋"/>
          <w:sz w:val="32"/>
          <w:szCs w:val="32"/>
          <w:lang w:val="en-US" w:eastAsia="zh-CN"/>
        </w:rPr>
        <w:t>推动企业开办全环节、全链条审批联动，提升商事登记服务质量和便利化水平。按省部署全面推行“证照分离”改革，对事项清单实行动态管理，提升涉企经营许可全流程网上办理能力。依托现有政务服务平台，为企业退出市场提供更加便利化服务。与此同时，推进审批系统升级改造，推进我市商事主体全程电子化智能化申报平台项目建设，拓展“商事登记”在自助终端的应用。</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构建全省公共资源交易“一张网”新格局。</w:t>
      </w:r>
      <w:r>
        <w:rPr>
          <w:rFonts w:hint="eastAsia" w:ascii="仿宋" w:hAnsi="仿宋" w:eastAsia="仿宋" w:cs="仿宋"/>
          <w:sz w:val="32"/>
          <w:szCs w:val="32"/>
          <w:lang w:val="en-US" w:eastAsia="zh-CN"/>
        </w:rPr>
        <w:t>以数字政府公共支撑平台为基础，建立统一的公共服务系统，加快推进汕头公共资源全流程电子交易系统与省公共资源交易平台对接，联通各类电子交易系统和各行业监督系统，完成与全省公共资源交易“一张网”的对接任务。</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提升企业融资便利化水平。</w:t>
      </w:r>
      <w:r>
        <w:rPr>
          <w:rFonts w:hint="eastAsia" w:ascii="仿宋" w:hAnsi="仿宋" w:eastAsia="仿宋" w:cs="仿宋"/>
          <w:sz w:val="32"/>
          <w:szCs w:val="32"/>
          <w:lang w:val="en-US" w:eastAsia="zh-CN"/>
        </w:rPr>
        <w:t>继续推广“汕金惠企通”小程序和汕头市首贷平台，并以此为契机，促进调整产品结构，提升服务效率，推动金融机构“敢贷、愿贷、能贷、会贷”，更好地支持区域经济社会发展，助力乡村振兴，巩固脱贫攻坚成果，为汕头大力推进“工业立市、产业强市”提供有力支撑。</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全面推进“互联网+不动产登记”。</w:t>
      </w:r>
      <w:r>
        <w:rPr>
          <w:rFonts w:hint="eastAsia" w:ascii="仿宋" w:hAnsi="仿宋" w:eastAsia="仿宋" w:cs="仿宋"/>
          <w:sz w:val="32"/>
          <w:szCs w:val="32"/>
          <w:lang w:val="en-US" w:eastAsia="zh-CN"/>
        </w:rPr>
        <w:t>对接省不动产登记一窗受理平台，对接省数据中台，通过省级平台与业务相关部门实现数据共享和业务协同，按三级等保标准建设，实现“互联网+不动产登记”业务模式。</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b/>
                <w:bCs/>
                <w:sz w:val="32"/>
                <w:szCs w:val="32"/>
                <w:lang w:val="en-US" w:eastAsia="zh-CN"/>
              </w:rPr>
              <w:t>专栏9 营商环境优化重点项目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numPr>
                <w:ilvl w:val="0"/>
                <w:numId w:val="0"/>
              </w:numPr>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汕头市营商环境大数据平台。</w:t>
            </w:r>
            <w:r>
              <w:rPr>
                <w:rFonts w:hint="eastAsia" w:ascii="仿宋" w:hAnsi="仿宋" w:eastAsia="仿宋" w:cs="仿宋"/>
                <w:sz w:val="28"/>
                <w:szCs w:val="28"/>
                <w:lang w:val="en-US" w:eastAsia="zh-CN"/>
              </w:rPr>
              <w:t>归集全市营商环境数据，构建营商环境指标事前、事中、事后的电子监控平台，提升营商环境建设标准化，智能化，便捷化水平。</w:t>
            </w:r>
          </w:p>
          <w:p>
            <w:pPr>
              <w:numPr>
                <w:ilvl w:val="0"/>
                <w:numId w:val="0"/>
              </w:numPr>
              <w:ind w:firstLine="562" w:firstLineChars="200"/>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智慧住建大平台。</w:t>
            </w:r>
            <w:r>
              <w:rPr>
                <w:rFonts w:hint="eastAsia" w:ascii="仿宋" w:hAnsi="仿宋" w:eastAsia="仿宋" w:cs="仿宋"/>
                <w:b w:val="0"/>
                <w:bCs w:val="0"/>
                <w:sz w:val="28"/>
                <w:szCs w:val="28"/>
                <w:lang w:val="en-US" w:eastAsia="zh-CN"/>
              </w:rPr>
              <w:t>以“数字住建”为依托，充分利用互联网+、物联网、云计算和大数据等先进技术，在行业监管和公共服务领域进行顶层设计，整体构建服务市、区两级的工程建设监管与服务一体化平台。</w:t>
            </w:r>
          </w:p>
          <w:p>
            <w:pPr>
              <w:numPr>
                <w:ilvl w:val="0"/>
                <w:numId w:val="0"/>
              </w:numPr>
              <w:ind w:firstLine="64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公共资源交易“一张网”。</w:t>
            </w:r>
            <w:r>
              <w:rPr>
                <w:rFonts w:hint="eastAsia" w:ascii="仿宋" w:hAnsi="仿宋" w:eastAsia="仿宋" w:cs="仿宋"/>
                <w:sz w:val="28"/>
                <w:szCs w:val="28"/>
                <w:lang w:val="en-US" w:eastAsia="zh-CN"/>
              </w:rPr>
              <w:t>加快推进汕头公共资源全流程电子交易系统与省公共资源交易平台对接，联通各类电子交易系统和各行业监督系统，完成与全省公共资源交易“一张网”的对接任务。</w:t>
            </w:r>
          </w:p>
          <w:p>
            <w:pPr>
              <w:numPr>
                <w:ilvl w:val="0"/>
                <w:numId w:val="0"/>
              </w:numPr>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中小企业融资平台。</w:t>
            </w:r>
            <w:r>
              <w:rPr>
                <w:rFonts w:hint="eastAsia" w:ascii="仿宋" w:hAnsi="仿宋" w:eastAsia="仿宋" w:cs="仿宋"/>
                <w:b w:val="0"/>
                <w:bCs w:val="0"/>
                <w:sz w:val="28"/>
                <w:szCs w:val="28"/>
                <w:lang w:val="en-US" w:eastAsia="zh-CN"/>
              </w:rPr>
              <w:t>继续推广“汕金惠企通”小程序和汕头市首贷平台，解决企业、金融机构之间信息不对称问题，</w:t>
            </w:r>
            <w:r>
              <w:rPr>
                <w:rFonts w:hint="eastAsia" w:ascii="仿宋" w:hAnsi="仿宋" w:eastAsia="仿宋" w:cs="仿宋"/>
                <w:sz w:val="28"/>
                <w:szCs w:val="28"/>
                <w:lang w:val="en-US" w:eastAsia="zh-CN"/>
              </w:rPr>
              <w:t>提高中小微企业金融服务的可获得性和便利性。</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b/>
                <w:bCs/>
                <w:sz w:val="28"/>
                <w:szCs w:val="28"/>
                <w:lang w:val="en-US" w:eastAsia="zh-CN"/>
              </w:rPr>
              <w:t>“互联网+不动产登记”。</w:t>
            </w:r>
            <w:r>
              <w:rPr>
                <w:rFonts w:hint="eastAsia" w:ascii="仿宋" w:hAnsi="仿宋" w:eastAsia="仿宋" w:cs="仿宋"/>
                <w:sz w:val="28"/>
                <w:szCs w:val="28"/>
                <w:lang w:val="en-US" w:eastAsia="zh-CN"/>
              </w:rPr>
              <w:t>对接省不动产登记一窗受理平台，对接省数据中台，通过省级平台与业务相关部门实现数据共享和业务协同，按三级等保标准建设，实现“互联网+不动产登记”业务模式。</w:t>
            </w:r>
          </w:p>
        </w:tc>
      </w:tr>
    </w:tbl>
    <w:p>
      <w:pPr>
        <w:numPr>
          <w:ilvl w:val="0"/>
          <w:numId w:val="0"/>
        </w:numPr>
        <w:ind w:firstLine="640"/>
        <w:rPr>
          <w:rFonts w:hint="eastAsia" w:ascii="仿宋" w:hAnsi="仿宋" w:eastAsia="仿宋" w:cs="仿宋"/>
          <w:sz w:val="32"/>
          <w:szCs w:val="32"/>
          <w:lang w:val="en-US" w:eastAsia="zh-CN"/>
        </w:rPr>
      </w:pP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三、社会治理提升工程</w:t>
      </w:r>
    </w:p>
    <w:p>
      <w:pPr>
        <w:numPr>
          <w:ilvl w:val="0"/>
          <w:numId w:val="0"/>
        </w:numPr>
        <w:ind w:firstLine="641"/>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建立汕头市社会治理专家库。</w:t>
      </w:r>
      <w:r>
        <w:rPr>
          <w:rFonts w:hint="eastAsia" w:ascii="仿宋" w:hAnsi="仿宋" w:eastAsia="仿宋" w:cs="仿宋"/>
          <w:sz w:val="32"/>
          <w:szCs w:val="32"/>
          <w:lang w:val="en-US" w:eastAsia="zh-CN"/>
        </w:rPr>
        <w:t>成立社会治理专家库，充分发挥专家学者在社会治理领域政策理论研究与实务工作中的智库作用，为汕头市社会治理工作提供政策研究和决策咨询，进一步提高汕头市市域社会治理工作的科学化、现代化水平。</w:t>
      </w:r>
    </w:p>
    <w:p>
      <w:pPr>
        <w:numPr>
          <w:ilvl w:val="0"/>
          <w:numId w:val="0"/>
        </w:numPr>
        <w:ind w:firstLine="641"/>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稳步推进“金审工程”三期项目地方配套建设。</w:t>
      </w:r>
      <w:r>
        <w:rPr>
          <w:rFonts w:hint="eastAsia" w:ascii="仿宋" w:hAnsi="仿宋" w:eastAsia="仿宋" w:cs="仿宋"/>
          <w:sz w:val="32"/>
          <w:szCs w:val="32"/>
          <w:lang w:val="en-US" w:eastAsia="zh-CN"/>
        </w:rPr>
        <w:t>联通“金审工程”三期广东省审计大数据中心、审计综合作业平台、审计数字化管理平台、综合服务支撑系统等,利用数据综合比对和关联分析,提高运用信息化技术查核问题、评价判断、宏观分析的能力。</w:t>
      </w:r>
    </w:p>
    <w:p>
      <w:pPr>
        <w:numPr>
          <w:ilvl w:val="0"/>
          <w:numId w:val="0"/>
        </w:numPr>
        <w:ind w:firstLine="641"/>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深化综合行政执法改革和“智慧司法”建设。</w:t>
      </w:r>
      <w:r>
        <w:rPr>
          <w:rFonts w:hint="eastAsia" w:ascii="仿宋" w:hAnsi="仿宋" w:eastAsia="仿宋" w:cs="仿宋"/>
          <w:sz w:val="32"/>
          <w:szCs w:val="32"/>
          <w:lang w:val="en-US" w:eastAsia="zh-CN"/>
        </w:rPr>
        <w:t>建设“广东省行政执法信息平台和行政执法监督网络平台”本地化部署以及推广运用项目。覆盖汕头市、县（区）、镇（街）三级执法部门的综合性执法信息平台，支撑市、县（区）执法部门和乡镇综合执法部门实现行政处罚、行政检查、行政强制三类执法权力的全过程信息化、数字化网上办案，实现政务信息资源的有机整合和高效利用。推进“智慧戒毒”建设，以司法部“数字法治，智慧司法”总体规划为指引，按照《司法部戒毒管理局关于推进智慧戒毒信息化体系建设的指导意见》、《智慧戒毒 总体技术规范》，推进智慧戒毒信息化体系建设，构建大平台共享、大系统共治、大数据慧治的信息化格局。</w:t>
      </w:r>
    </w:p>
    <w:p>
      <w:pPr>
        <w:numPr>
          <w:ilvl w:val="0"/>
          <w:numId w:val="0"/>
        </w:numPr>
        <w:ind w:firstLine="641"/>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加强市场监管信息化应用。</w:t>
      </w:r>
      <w:r>
        <w:rPr>
          <w:rFonts w:hint="eastAsia" w:ascii="仿宋" w:hAnsi="仿宋" w:eastAsia="仿宋" w:cs="仿宋"/>
          <w:sz w:val="32"/>
          <w:szCs w:val="32"/>
          <w:lang w:val="en-US" w:eastAsia="zh-CN"/>
        </w:rPr>
        <w:t>充分运用国家和省统一建设的食品、药化械、质量安全、特种设备安全、信用和网络交易、广告等监管监测平台，推进“互联网＋食品安全”监管、药品智慧监管、产品质量监分析、特种设备安全检查及检验数据分析、网络交易行为监管以及广告监测。依托广东省“双随机、一公开”监管工平台，持续推进“双随机、一公开”监管全流程电子化和自动留痕。</w:t>
      </w:r>
    </w:p>
    <w:p>
      <w:pPr>
        <w:numPr>
          <w:ilvl w:val="0"/>
          <w:numId w:val="0"/>
        </w:numPr>
        <w:ind w:firstLine="641"/>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建设汕头市应急内涝监测系统。</w:t>
      </w:r>
      <w:r>
        <w:rPr>
          <w:rFonts w:hint="eastAsia" w:ascii="仿宋" w:hAnsi="仿宋" w:eastAsia="仿宋" w:cs="仿宋"/>
          <w:sz w:val="32"/>
          <w:szCs w:val="32"/>
          <w:lang w:val="en-US" w:eastAsia="zh-CN"/>
        </w:rPr>
        <w:t>采用科学有效的办法及时监测、预判频发极端天气现象、雨季对我市带来的暴雨防汛影响，减少城市内涝对人民群众生命财产、交通、电力、通讯、网络传输、水源等产生的次生灾害，提高网络人员第一时间知情、处置能力，做到第一时间排涝，最大限度保全人民群众出行安全，提升人民群众直接、实在的安全感。</w:t>
      </w:r>
    </w:p>
    <w:p>
      <w:pPr>
        <w:numPr>
          <w:ilvl w:val="0"/>
          <w:numId w:val="0"/>
        </w:numPr>
        <w:ind w:firstLine="641"/>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推进视频和感知数据资源整合。</w:t>
      </w:r>
      <w:r>
        <w:rPr>
          <w:rFonts w:hint="eastAsia" w:ascii="仿宋" w:hAnsi="仿宋" w:eastAsia="仿宋" w:cs="仿宋"/>
          <w:sz w:val="32"/>
          <w:szCs w:val="32"/>
          <w:lang w:val="en-US" w:eastAsia="zh-CN"/>
        </w:rPr>
        <w:t>充分整合“雪亮工程”、综治视联网等建设成果，进一步构建完善我市数字政府视频和感知数据资源共享体系，集约化部署推进“全市一盘棋”视频深度应用。建立完善数字政府视频和感知数据资源共享管理平台，建立健全基础视频资源目录，实现全市视频监控资源的共享共用。</w:t>
      </w:r>
    </w:p>
    <w:p>
      <w:pPr>
        <w:numPr>
          <w:ilvl w:val="0"/>
          <w:numId w:val="0"/>
        </w:numPr>
        <w:ind w:firstLine="641"/>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加快“智慧城管”建设。</w:t>
      </w:r>
      <w:r>
        <w:rPr>
          <w:rFonts w:hint="eastAsia" w:ascii="仿宋" w:hAnsi="仿宋" w:eastAsia="仿宋" w:cs="仿宋"/>
          <w:sz w:val="32"/>
          <w:szCs w:val="32"/>
          <w:lang w:val="en-US" w:eastAsia="zh-CN"/>
        </w:rPr>
        <w:t>建设汕头市城市管理信息数据</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共享平台，构建数字城管大数据应用平台，实现数据资源共享，推动城市管理工作全领域发展。继续谋划及推动城管系统各单位（智慧路灯、污管系统、智慧环卫、路树系统、排水信息系统、地下管网系统）将自建信息系统纳入数字城管平台体系，迁移到数字城管机房统一存储、统一防护；加大对城市物联网感知设备的投入力度和人工智能技术的推广工作，逐步在城市管理方面应用物联网产品，通过物联网设备的布设，将身份感知、状态感知、位置感知等感测数据收集汇聚到数字城管综合服务平台中。从小范围试点开始，实现范围内城市运行体征实时监控，再逐步推广，向真正意义上的“智慧城管”迈进。</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深化“互联网+气象”应用。</w:t>
      </w:r>
      <w:r>
        <w:rPr>
          <w:rFonts w:hint="eastAsia" w:ascii="仿宋" w:hAnsi="仿宋" w:eastAsia="仿宋" w:cs="仿宋"/>
          <w:sz w:val="32"/>
          <w:szCs w:val="32"/>
          <w:lang w:val="en-US" w:eastAsia="zh-CN"/>
        </w:rPr>
        <w:t>深化“互联网＋气象服务”行动，大力推动云计算、物联网、移动互联、大数据、人工智能等新技术与气象服务融合创新，打造基于影响的融入式行业气象服务体系，建立“智能适需型”气象服务新模式。</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建设市级“互联网＋气象安全平台”，提高我市气象灾害防御重点单位气象安全应急保障服务和综合监管能力，建设气象安全监管信息化系统，实现对气象灾害防御重点单位的服务和监管无缝对接。</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完善“智慧水利”平台。</w:t>
      </w:r>
      <w:r>
        <w:rPr>
          <w:rFonts w:hint="eastAsia" w:ascii="仿宋" w:hAnsi="仿宋" w:eastAsia="仿宋" w:cs="仿宋"/>
          <w:sz w:val="32"/>
          <w:szCs w:val="32"/>
          <w:lang w:val="en-US" w:eastAsia="zh-CN"/>
        </w:rPr>
        <w:t>建设智慧水利视频监控平台，在水利重点区域安装监控，实时了解水利工程情况，保证水库、防洪堤安全渡汛。目前在汕头市区域内各个水利重点区域建设25个固定监控点，分别部署在中型水库、大型桥闸、重点堤段等重点水利工程，具备高清视频监控及夜视功能，同时集成流媒体管理系统，图像处理系统，中央控制系统等，实现对水利工程监控。下一步，将对试运行过程中发现的问题及时作出调整，保证系统发挥能效，保障水利工程安全度汛。</w:t>
      </w:r>
    </w:p>
    <w:p>
      <w:pPr>
        <w:numPr>
          <w:ilvl w:val="0"/>
          <w:numId w:val="0"/>
        </w:numPr>
        <w:ind w:firstLine="64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实现“智慧水务”管理。</w:t>
      </w:r>
      <w:r>
        <w:rPr>
          <w:rFonts w:hint="eastAsia" w:ascii="仿宋" w:hAnsi="仿宋" w:eastAsia="仿宋" w:cs="仿宋"/>
          <w:sz w:val="30"/>
          <w:szCs w:val="30"/>
          <w:lang w:val="en-US" w:eastAsia="zh-CN"/>
        </w:rPr>
        <w:t>以2021年汕头市民生十大实事“中心城区供水系统提压改造”项目为契机，启动二供泵站管理平台建设。同时，建设管网漏损分析系统，对全市供水管网进行科学分区监测，实现精准定位破漏严重区域，为漏损管理提供数据决策。</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构建“智慧消防”新生态。</w:t>
      </w:r>
      <w:r>
        <w:rPr>
          <w:rFonts w:hint="eastAsia" w:ascii="仿宋" w:hAnsi="仿宋" w:eastAsia="仿宋" w:cs="仿宋"/>
          <w:sz w:val="32"/>
          <w:szCs w:val="32"/>
          <w:lang w:val="en-US" w:eastAsia="zh-CN"/>
        </w:rPr>
        <w:t>省统筹建设，以消防实战指挥系统为核心，围绕灾情预警、力量调配、作战指挥、战勤保障等战力关键要素，建立健全快速反应、智能辅助、科学决策、高效运行的实战指挥体系。加强消防物联网设施、设备建设和应用，推行以远程监管、移动监管、预警防控为特征的新型消防监管模式。</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b/>
                <w:bCs/>
                <w:sz w:val="32"/>
                <w:szCs w:val="32"/>
                <w:lang w:val="en-US" w:eastAsia="zh-CN"/>
              </w:rPr>
              <w:t>专栏10 社会治理重点项目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numPr>
                <w:ilvl w:val="0"/>
                <w:numId w:val="0"/>
              </w:numPr>
              <w:ind w:firstLine="641"/>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“金审工程”三期项目。</w:t>
            </w:r>
            <w:r>
              <w:rPr>
                <w:rFonts w:hint="eastAsia" w:ascii="仿宋" w:hAnsi="仿宋" w:eastAsia="仿宋" w:cs="仿宋"/>
                <w:sz w:val="28"/>
                <w:szCs w:val="28"/>
                <w:lang w:val="en-US" w:eastAsia="zh-CN"/>
              </w:rPr>
              <w:t>联通“金审工程”三期广东省审计大数据中心、审计综合作业平台、审计数字化管理平台、综合服务支撑系统等,利用数据综合比对和关联分析,提高运用信息化技术查核问题、评价判断、宏观分析的能力。</w:t>
            </w:r>
          </w:p>
          <w:p>
            <w:pPr>
              <w:numPr>
                <w:ilvl w:val="0"/>
                <w:numId w:val="0"/>
              </w:numPr>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“广东省行政执法信息平台和行政执法监督网络平台”本地化部署以及推广运用项目。</w:t>
            </w:r>
            <w:r>
              <w:rPr>
                <w:rFonts w:hint="eastAsia" w:ascii="仿宋" w:hAnsi="仿宋" w:eastAsia="仿宋" w:cs="仿宋"/>
                <w:sz w:val="28"/>
                <w:szCs w:val="28"/>
                <w:lang w:val="en-US" w:eastAsia="zh-CN"/>
              </w:rPr>
              <w:t>覆盖汕头市、县（区）、镇（街）三级执法部门，支撑市、县（区）执法部门和乡镇综合执法部门实现行政处罚、行政检查、行政强制三类执法权力的全过程信息化和数字化网上办案。</w:t>
            </w:r>
          </w:p>
          <w:p>
            <w:pPr>
              <w:numPr>
                <w:ilvl w:val="0"/>
                <w:numId w:val="0"/>
              </w:numPr>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“智慧戒毒”。</w:t>
            </w:r>
            <w:r>
              <w:rPr>
                <w:rFonts w:hint="eastAsia" w:ascii="仿宋" w:hAnsi="仿宋" w:eastAsia="仿宋" w:cs="仿宋"/>
                <w:sz w:val="28"/>
                <w:szCs w:val="28"/>
                <w:lang w:val="en-US" w:eastAsia="zh-CN"/>
              </w:rPr>
              <w:t>加强基础设施、安全防范系统、物联感知平台和综合应用及智慧应用建设，形成大平台共享、大系统共治、大数据慧治的信息化格局，推进智慧戒毒信息化体系建设。</w:t>
            </w:r>
          </w:p>
          <w:p>
            <w:pPr>
              <w:numPr>
                <w:ilvl w:val="0"/>
                <w:numId w:val="0"/>
              </w:numPr>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汕头市应急内涝监测系统。</w:t>
            </w:r>
            <w:r>
              <w:rPr>
                <w:rFonts w:hint="eastAsia" w:ascii="仿宋" w:hAnsi="仿宋" w:eastAsia="仿宋" w:cs="仿宋"/>
                <w:sz w:val="28"/>
                <w:szCs w:val="28"/>
                <w:lang w:val="en-US" w:eastAsia="zh-CN"/>
              </w:rPr>
              <w:t>对城乡易涝（积水）点进行智能化、科学化监测，统一组织应急处置，实现城乡内涝（积水）的实时监测预警和应急联动处置，最大限度保全人民群众出行安全。</w:t>
            </w:r>
          </w:p>
          <w:p>
            <w:pPr>
              <w:numPr>
                <w:ilvl w:val="0"/>
                <w:numId w:val="0"/>
              </w:numPr>
              <w:ind w:firstLine="562" w:firstLineChars="200"/>
              <w:rPr>
                <w:rFonts w:hint="eastAsia" w:ascii="仿宋" w:hAnsi="仿宋" w:eastAsia="仿宋" w:cs="仿宋"/>
                <w:sz w:val="28"/>
                <w:szCs w:val="28"/>
                <w:lang w:val="en-US" w:eastAsia="zh-CN"/>
              </w:rPr>
            </w:pPr>
            <w:r>
              <w:rPr>
                <w:rFonts w:hint="default" w:ascii="仿宋" w:hAnsi="仿宋" w:eastAsia="仿宋" w:cs="仿宋"/>
                <w:b/>
                <w:bCs/>
                <w:sz w:val="28"/>
                <w:szCs w:val="28"/>
                <w:lang w:val="en-US" w:eastAsia="zh-CN"/>
              </w:rPr>
              <w:t>“</w:t>
            </w:r>
            <w:r>
              <w:rPr>
                <w:rFonts w:hint="eastAsia" w:ascii="仿宋" w:hAnsi="仿宋" w:eastAsia="仿宋" w:cs="仿宋"/>
                <w:b/>
                <w:bCs/>
                <w:sz w:val="28"/>
                <w:szCs w:val="28"/>
                <w:lang w:val="en-US" w:eastAsia="zh-CN"/>
              </w:rPr>
              <w:t>粤平安</w:t>
            </w:r>
            <w:r>
              <w:rPr>
                <w:rFonts w:hint="default" w:ascii="仿宋" w:hAnsi="仿宋" w:eastAsia="仿宋" w:cs="仿宋"/>
                <w:b/>
                <w:bCs/>
                <w:sz w:val="28"/>
                <w:szCs w:val="28"/>
                <w:lang w:val="en-US" w:eastAsia="zh-CN"/>
              </w:rPr>
              <w:t>”</w:t>
            </w:r>
            <w:r>
              <w:rPr>
                <w:rFonts w:hint="eastAsia" w:ascii="仿宋" w:hAnsi="仿宋" w:eastAsia="仿宋" w:cs="仿宋"/>
                <w:b/>
                <w:bCs/>
                <w:sz w:val="28"/>
                <w:szCs w:val="28"/>
                <w:lang w:val="en-US" w:eastAsia="zh-CN"/>
              </w:rPr>
              <w:t>社会治理云平台汕头分平台。</w:t>
            </w:r>
            <w:r>
              <w:rPr>
                <w:rFonts w:hint="eastAsia" w:ascii="仿宋" w:hAnsi="仿宋" w:eastAsia="仿宋" w:cs="仿宋"/>
                <w:sz w:val="28"/>
                <w:szCs w:val="28"/>
                <w:lang w:val="en-US" w:eastAsia="zh-CN"/>
              </w:rPr>
              <w:t>以省</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粤平安</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建设工作方案为指导，结合本地情况，统筹</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粤平安</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汕头分平台建设，统筹和推动本地特色的</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粤平安</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创新应用 ，提升本地平安建设水平。</w:t>
            </w:r>
          </w:p>
          <w:p>
            <w:pPr>
              <w:numPr>
                <w:ilvl w:val="0"/>
                <w:numId w:val="0"/>
              </w:numPr>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“智慧城管”。</w:t>
            </w:r>
            <w:r>
              <w:rPr>
                <w:rFonts w:hint="eastAsia" w:ascii="仿宋" w:hAnsi="仿宋" w:eastAsia="仿宋" w:cs="仿宋"/>
                <w:sz w:val="28"/>
                <w:szCs w:val="28"/>
                <w:lang w:val="en-US" w:eastAsia="zh-CN"/>
              </w:rPr>
              <w:t>推动城管系统各单位将自建信息系统纳入数字城管平台体系，构建数字城管大数据应用平台，实现数据资源共享，推动城市管理工作全领域发展。</w:t>
            </w:r>
          </w:p>
          <w:p>
            <w:pPr>
              <w:numPr>
                <w:ilvl w:val="0"/>
                <w:numId w:val="0"/>
              </w:numPr>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“互联网+气象”。</w:t>
            </w:r>
            <w:r>
              <w:rPr>
                <w:rFonts w:hint="eastAsia" w:ascii="仿宋" w:hAnsi="仿宋" w:eastAsia="仿宋" w:cs="仿宋"/>
                <w:sz w:val="28"/>
                <w:szCs w:val="28"/>
                <w:lang w:val="en-US" w:eastAsia="zh-CN"/>
              </w:rPr>
              <w:t>大力推动云计算、大数据等新技术与气象服务融合创新，建设市级“互联网＋气象安全平台”和气象安全监管信息化系统，提高我市气象安全应急保障服务和综合监管能力。</w:t>
            </w:r>
          </w:p>
          <w:p>
            <w:pPr>
              <w:numPr>
                <w:ilvl w:val="0"/>
                <w:numId w:val="0"/>
              </w:numPr>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“智慧水利”。</w:t>
            </w:r>
            <w:r>
              <w:rPr>
                <w:rFonts w:hint="eastAsia" w:ascii="仿宋" w:hAnsi="仿宋" w:eastAsia="仿宋" w:cs="仿宋"/>
                <w:sz w:val="28"/>
                <w:szCs w:val="28"/>
                <w:lang w:val="en-US" w:eastAsia="zh-CN"/>
              </w:rPr>
              <w:t>建设智慧水利视频监控平台，在水利重点区域安装监控，实时了解水利工程情况，保证水库、防洪堤安全渡汛。</w:t>
            </w:r>
          </w:p>
          <w:p>
            <w:pPr>
              <w:numPr>
                <w:ilvl w:val="0"/>
                <w:numId w:val="0"/>
              </w:numPr>
              <w:ind w:firstLine="562" w:firstLineChars="200"/>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“智慧水务”。</w:t>
            </w:r>
            <w:r>
              <w:rPr>
                <w:rFonts w:hint="eastAsia" w:ascii="仿宋" w:hAnsi="仿宋" w:eastAsia="仿宋" w:cs="仿宋"/>
                <w:b w:val="0"/>
                <w:bCs w:val="0"/>
                <w:sz w:val="28"/>
                <w:szCs w:val="28"/>
                <w:lang w:val="en-US" w:eastAsia="zh-CN"/>
              </w:rPr>
              <w:t>利用物联网，运用大数据实现生产远程管控、管网智能管理、水质在线监测，实现管网、工程、抢修、客服联动的信息化管理。</w:t>
            </w:r>
          </w:p>
          <w:p>
            <w:pPr>
              <w:ind w:firstLine="562" w:firstLineChars="200"/>
              <w:jc w:val="left"/>
              <w:rPr>
                <w:rFonts w:hint="eastAsia" w:ascii="仿宋" w:hAnsi="仿宋" w:eastAsia="仿宋" w:cs="仿宋"/>
                <w:sz w:val="32"/>
                <w:szCs w:val="32"/>
                <w:lang w:val="en-US" w:eastAsia="zh-CN"/>
              </w:rPr>
            </w:pPr>
            <w:r>
              <w:rPr>
                <w:rFonts w:hint="eastAsia" w:ascii="仿宋" w:hAnsi="仿宋" w:eastAsia="仿宋" w:cs="仿宋"/>
                <w:b/>
                <w:bCs/>
                <w:sz w:val="28"/>
                <w:szCs w:val="28"/>
                <w:lang w:val="en-US" w:eastAsia="zh-CN"/>
              </w:rPr>
              <w:t>“智慧消防”。</w:t>
            </w:r>
            <w:r>
              <w:rPr>
                <w:rFonts w:hint="eastAsia" w:ascii="仿宋" w:hAnsi="仿宋" w:eastAsia="仿宋" w:cs="仿宋"/>
                <w:sz w:val="28"/>
                <w:szCs w:val="28"/>
                <w:lang w:val="en-US" w:eastAsia="zh-CN"/>
              </w:rPr>
              <w:t>围绕火灾防控、应急救援、队伍管理、政务服务、应急通信五大主题应用域，构建全业务覆盖的“智慧消防”新生态。</w:t>
            </w:r>
          </w:p>
        </w:tc>
      </w:tr>
    </w:tbl>
    <w:p>
      <w:pPr>
        <w:numPr>
          <w:ilvl w:val="0"/>
          <w:numId w:val="0"/>
        </w:numPr>
        <w:ind w:firstLine="640"/>
        <w:rPr>
          <w:rFonts w:hint="eastAsia" w:ascii="仿宋" w:hAnsi="仿宋" w:eastAsia="仿宋" w:cs="仿宋"/>
          <w:sz w:val="32"/>
          <w:szCs w:val="32"/>
          <w:lang w:val="en-US" w:eastAsia="zh-CN"/>
        </w:rPr>
      </w:pPr>
    </w:p>
    <w:p>
      <w:pPr>
        <w:numPr>
          <w:ilvl w:val="0"/>
          <w:numId w:val="7"/>
        </w:numPr>
        <w:ind w:firstLine="640" w:firstLineChars="200"/>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数据治理探索工程</w:t>
      </w:r>
    </w:p>
    <w:p>
      <w:pPr>
        <w:numPr>
          <w:ilvl w:val="0"/>
          <w:numId w:val="0"/>
        </w:numPr>
        <w:rPr>
          <w:rFonts w:hint="eastAsia" w:ascii="楷体" w:hAnsi="楷体" w:eastAsia="楷体" w:cs="楷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 xml:space="preserve">   </w:t>
      </w:r>
      <w:r>
        <w:rPr>
          <w:rFonts w:hint="eastAsia" w:ascii="楷体" w:hAnsi="楷体" w:eastAsia="楷体" w:cs="楷体"/>
          <w:b w:val="0"/>
          <w:bCs w:val="0"/>
          <w:sz w:val="32"/>
          <w:szCs w:val="32"/>
          <w:shd w:val="clear" w:color="auto" w:fill="auto"/>
          <w:lang w:val="en-US" w:eastAsia="zh-CN"/>
        </w:rPr>
        <w:t>（一）夯实公共数据管理基础</w:t>
      </w:r>
    </w:p>
    <w:p>
      <w:pPr>
        <w:numPr>
          <w:ilvl w:val="0"/>
          <w:numId w:val="0"/>
        </w:numPr>
        <w:ind w:firstLine="640"/>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健全公共数据管理机制。</w:t>
      </w:r>
      <w:r>
        <w:rPr>
          <w:rFonts w:hint="eastAsia" w:ascii="仿宋" w:hAnsi="仿宋" w:eastAsia="仿宋" w:cs="仿宋"/>
          <w:b w:val="0"/>
          <w:bCs w:val="0"/>
          <w:sz w:val="32"/>
          <w:szCs w:val="32"/>
          <w:shd w:val="clear" w:color="auto" w:fill="auto"/>
          <w:lang w:val="en-US" w:eastAsia="zh-CN"/>
        </w:rPr>
        <w:t>根据《广东省公共数据管理办法》，明确各级行政机关和公共企事业单位数据采集、汇聚、共享、使用、管理等要求。推进市、区（县）两级政府及部门首席数据官制度试点，探索完善公共数据管理组织体系。建立公共数据管理评价机制，定期开展工作评估。</w:t>
      </w:r>
    </w:p>
    <w:p>
      <w:pPr>
        <w:numPr>
          <w:ilvl w:val="0"/>
          <w:numId w:val="0"/>
        </w:numPr>
        <w:ind w:firstLine="640"/>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建立公共数据资源体系。</w:t>
      </w:r>
      <w:r>
        <w:rPr>
          <w:rFonts w:hint="eastAsia" w:ascii="仿宋" w:hAnsi="仿宋" w:eastAsia="仿宋" w:cs="仿宋"/>
          <w:b w:val="0"/>
          <w:bCs w:val="0"/>
          <w:sz w:val="32"/>
          <w:szCs w:val="32"/>
          <w:shd w:val="clear" w:color="auto" w:fill="auto"/>
          <w:lang w:val="en-US" w:eastAsia="zh-CN"/>
        </w:rPr>
        <w:t>面向全市各级行政机关和公共企事业单位开展信息化能力和公共数据资源普查，摸清公共数据资源底数，形成全市统一的系统清单、数据清单、需求清单，推进公共数据资源体系建设。建立公共数据资源分类分级管理制度，为不同类型和级别数据利用策略的制定提供支撑。强化公共数据质量管理，开展公共数据管理能力评级和质量评测。</w:t>
      </w:r>
    </w:p>
    <w:p>
      <w:pPr>
        <w:numPr>
          <w:ilvl w:val="0"/>
          <w:numId w:val="0"/>
        </w:numPr>
        <w:ind w:firstLine="640"/>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创新公共数据运营模式。</w:t>
      </w:r>
      <w:r>
        <w:rPr>
          <w:rFonts w:hint="eastAsia" w:ascii="仿宋" w:hAnsi="仿宋" w:eastAsia="仿宋" w:cs="仿宋"/>
          <w:b w:val="0"/>
          <w:bCs w:val="0"/>
          <w:sz w:val="32"/>
          <w:szCs w:val="32"/>
          <w:shd w:val="clear" w:color="auto" w:fill="auto"/>
          <w:lang w:val="en-US" w:eastAsia="zh-CN"/>
        </w:rPr>
        <w:t>推动公共数据运营机构建设，加强统筹管理力度，补齐运营主体缺位短板。强化公共数据运营与调度管理，规范政府采购社会数据行为。建立健全公共数据运营规则、模式及其成果转移扩散机制，研究制定公共数据授权使用服务指南，强化授权场景、授权范围和运营安全的监督管理。</w:t>
      </w:r>
    </w:p>
    <w:p>
      <w:pPr>
        <w:numPr>
          <w:ilvl w:val="0"/>
          <w:numId w:val="8"/>
        </w:numPr>
        <w:ind w:firstLine="640"/>
        <w:rPr>
          <w:rFonts w:hint="eastAsia" w:ascii="楷体" w:hAnsi="楷体" w:eastAsia="楷体" w:cs="楷体"/>
          <w:b w:val="0"/>
          <w:bCs w:val="0"/>
          <w:sz w:val="32"/>
          <w:szCs w:val="32"/>
          <w:shd w:val="clear" w:color="auto" w:fill="auto"/>
          <w:lang w:val="en-US" w:eastAsia="zh-CN"/>
        </w:rPr>
      </w:pPr>
      <w:r>
        <w:rPr>
          <w:rFonts w:hint="eastAsia" w:ascii="楷体" w:hAnsi="楷体" w:eastAsia="楷体" w:cs="楷体"/>
          <w:b w:val="0"/>
          <w:bCs w:val="0"/>
          <w:sz w:val="32"/>
          <w:szCs w:val="32"/>
          <w:shd w:val="clear" w:color="auto" w:fill="auto"/>
          <w:lang w:val="en-US" w:eastAsia="zh-CN"/>
        </w:rPr>
        <w:t>释放公共数据资源价值</w:t>
      </w:r>
    </w:p>
    <w:p>
      <w:pPr>
        <w:numPr>
          <w:ilvl w:val="0"/>
          <w:numId w:val="0"/>
        </w:numPr>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 xml:space="preserve">    </w:t>
      </w:r>
      <w:r>
        <w:rPr>
          <w:rFonts w:hint="eastAsia" w:ascii="仿宋" w:hAnsi="仿宋" w:eastAsia="仿宋" w:cs="仿宋"/>
          <w:b/>
          <w:bCs/>
          <w:sz w:val="32"/>
          <w:szCs w:val="32"/>
          <w:shd w:val="clear" w:color="auto" w:fill="auto"/>
          <w:lang w:val="en-US" w:eastAsia="zh-CN"/>
        </w:rPr>
        <w:t>强化政府内部数据共享。</w:t>
      </w:r>
      <w:r>
        <w:rPr>
          <w:rFonts w:hint="eastAsia" w:ascii="仿宋" w:hAnsi="仿宋" w:eastAsia="仿宋" w:cs="仿宋"/>
          <w:b w:val="0"/>
          <w:bCs w:val="0"/>
          <w:sz w:val="32"/>
          <w:szCs w:val="32"/>
          <w:shd w:val="clear" w:color="auto" w:fill="auto"/>
          <w:lang w:val="en-US" w:eastAsia="zh-CN"/>
        </w:rPr>
        <w:t>优化全市政务数据共享协调机制，制定相关实施方案，加快推进政务数据有序共享。完善数据供需对接机制，制订数据共享责任清单和数据需求清单，推进数据编目、数据挂接和数据需求对接。提升数据共享平台支撑能力，优化数据高效共享通道，推动数据跨部门、跨层级共享应用。</w:t>
      </w:r>
    </w:p>
    <w:p>
      <w:pPr>
        <w:numPr>
          <w:ilvl w:val="0"/>
          <w:numId w:val="0"/>
        </w:numPr>
        <w:ind w:firstLine="640"/>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推动公共数据有序开放。</w:t>
      </w:r>
      <w:r>
        <w:rPr>
          <w:rFonts w:hint="eastAsia" w:ascii="仿宋" w:hAnsi="仿宋" w:eastAsia="仿宋" w:cs="仿宋"/>
          <w:b w:val="0"/>
          <w:bCs w:val="0"/>
          <w:sz w:val="32"/>
          <w:szCs w:val="32"/>
          <w:shd w:val="clear" w:color="auto" w:fill="auto"/>
          <w:lang w:val="en-US" w:eastAsia="zh-CN"/>
        </w:rPr>
        <w:t>根据省有关公共数据开放的管理规定，在公共数据资源目录管理框架下，探索建立公共数据开放清单制度，完善公共数据开放目录管理机制和标准规范。健全公共数据定向开放、授权开放管理制度，有序释放公共数据进入市场化流通。</w:t>
      </w:r>
    </w:p>
    <w:p>
      <w:pPr>
        <w:numPr>
          <w:ilvl w:val="0"/>
          <w:numId w:val="0"/>
        </w:numPr>
        <w:ind w:firstLine="640"/>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深化公共数据资源开发利用。</w:t>
      </w:r>
      <w:r>
        <w:rPr>
          <w:rFonts w:hint="eastAsia" w:ascii="仿宋" w:hAnsi="仿宋" w:eastAsia="仿宋" w:cs="仿宋"/>
          <w:b w:val="0"/>
          <w:bCs w:val="0"/>
          <w:sz w:val="32"/>
          <w:szCs w:val="32"/>
          <w:shd w:val="clear" w:color="auto" w:fill="auto"/>
          <w:lang w:val="en-US" w:eastAsia="zh-CN"/>
        </w:rPr>
        <w:t>引导市场主体探索公共数据资源开发利用，鼓励掌握数据的自然人、法人和非法人组织与政府开展合作，提高社会数据开发利用水平。引导高校、科研机构和市场主体开展公共数据分析挖掘、数据可视化、数据安全与隐私保护等技术研究。</w:t>
      </w:r>
    </w:p>
    <w:p>
      <w:pPr>
        <w:numPr>
          <w:ilvl w:val="0"/>
          <w:numId w:val="8"/>
        </w:numPr>
        <w:ind w:firstLine="640" w:firstLineChars="0"/>
        <w:rPr>
          <w:rFonts w:hint="eastAsia" w:ascii="楷体" w:hAnsi="楷体" w:eastAsia="楷体" w:cs="楷体"/>
          <w:b w:val="0"/>
          <w:bCs w:val="0"/>
          <w:sz w:val="32"/>
          <w:szCs w:val="32"/>
          <w:shd w:val="clear" w:color="auto" w:fill="auto"/>
          <w:lang w:val="en-US" w:eastAsia="zh-CN"/>
        </w:rPr>
      </w:pPr>
      <w:r>
        <w:rPr>
          <w:rFonts w:hint="eastAsia" w:ascii="楷体" w:hAnsi="楷体" w:eastAsia="楷体" w:cs="楷体"/>
          <w:b w:val="0"/>
          <w:bCs w:val="0"/>
          <w:sz w:val="32"/>
          <w:szCs w:val="32"/>
          <w:shd w:val="clear" w:color="auto" w:fill="auto"/>
          <w:lang w:val="en-US" w:eastAsia="zh-CN"/>
        </w:rPr>
        <w:t>加强数据资源汇聚融合与创新应用</w:t>
      </w:r>
    </w:p>
    <w:p>
      <w:pPr>
        <w:numPr>
          <w:ilvl w:val="0"/>
          <w:numId w:val="0"/>
        </w:numPr>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 xml:space="preserve">     </w:t>
      </w:r>
      <w:r>
        <w:rPr>
          <w:rFonts w:hint="eastAsia" w:ascii="仿宋" w:hAnsi="仿宋" w:eastAsia="仿宋" w:cs="仿宋"/>
          <w:b/>
          <w:bCs/>
          <w:sz w:val="32"/>
          <w:szCs w:val="32"/>
          <w:shd w:val="clear" w:color="auto" w:fill="auto"/>
          <w:lang w:val="en-US" w:eastAsia="zh-CN"/>
        </w:rPr>
        <w:t>推进政务大数据中心建设。</w:t>
      </w:r>
      <w:r>
        <w:rPr>
          <w:rFonts w:hint="eastAsia" w:ascii="仿宋" w:hAnsi="仿宋" w:eastAsia="仿宋" w:cs="仿宋"/>
          <w:b w:val="0"/>
          <w:bCs w:val="0"/>
          <w:sz w:val="32"/>
          <w:szCs w:val="32"/>
          <w:shd w:val="clear" w:color="auto" w:fill="auto"/>
          <w:lang w:val="en-US" w:eastAsia="zh-CN"/>
        </w:rPr>
        <w:t>完善人口、法人、空间地理、电子证照等基础数据库，丰富信用、金融、医疗、交通、生态、市场监管、文化旅游、社会救助、投资项目等主题数据库。加强城市视频监控及物联感知数据管理，构建物联网公共数据共享服务体系。</w:t>
      </w:r>
    </w:p>
    <w:p>
      <w:pPr>
        <w:numPr>
          <w:ilvl w:val="0"/>
          <w:numId w:val="0"/>
        </w:numPr>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 xml:space="preserve">   </w:t>
      </w:r>
      <w:r>
        <w:rPr>
          <w:rFonts w:hint="eastAsia" w:ascii="仿宋" w:hAnsi="仿宋" w:eastAsia="仿宋" w:cs="仿宋"/>
          <w:b/>
          <w:bCs/>
          <w:sz w:val="32"/>
          <w:szCs w:val="32"/>
          <w:shd w:val="clear" w:color="auto" w:fill="auto"/>
          <w:lang w:val="en-US" w:eastAsia="zh-CN"/>
        </w:rPr>
        <w:t xml:space="preserve"> 推进重点领域数据创新应用。</w:t>
      </w:r>
      <w:r>
        <w:rPr>
          <w:rFonts w:hint="eastAsia" w:ascii="仿宋" w:hAnsi="仿宋" w:eastAsia="仿宋" w:cs="仿宋"/>
          <w:b w:val="0"/>
          <w:bCs w:val="0"/>
          <w:sz w:val="32"/>
          <w:szCs w:val="32"/>
          <w:shd w:val="clear" w:color="auto" w:fill="auto"/>
          <w:lang w:val="en-US" w:eastAsia="zh-CN"/>
        </w:rPr>
        <w:t>以卫生健康、社会保障、</w:t>
      </w:r>
    </w:p>
    <w:p>
      <w:pPr>
        <w:numPr>
          <w:ilvl w:val="0"/>
          <w:numId w:val="0"/>
        </w:numPr>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交通、科技、通信、企业投融资、普惠金融等重点领域为试点,推进公共数据和社会数据深度融合应用。支持大型工业企业、互联网平台企业等行业龙头企业与公共数据运营机构合作, 开展数据汇聚与融合平台建设试点。</w:t>
      </w:r>
    </w:p>
    <w:p>
      <w:pPr>
        <w:numPr>
          <w:ilvl w:val="0"/>
          <w:numId w:val="0"/>
        </w:numPr>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 xml:space="preserve">   </w:t>
      </w:r>
      <w:r>
        <w:rPr>
          <w:rFonts w:hint="eastAsia" w:ascii="仿宋" w:hAnsi="仿宋" w:eastAsia="仿宋" w:cs="仿宋"/>
          <w:b/>
          <w:bCs/>
          <w:sz w:val="32"/>
          <w:szCs w:val="32"/>
          <w:shd w:val="clear" w:color="auto" w:fill="auto"/>
          <w:lang w:val="en-US" w:eastAsia="zh-CN"/>
        </w:rPr>
        <w:t xml:space="preserve"> 推进产业领域数字化发展。</w:t>
      </w:r>
      <w:r>
        <w:rPr>
          <w:rFonts w:hint="eastAsia" w:ascii="仿宋" w:hAnsi="仿宋" w:eastAsia="仿宋" w:cs="仿宋"/>
          <w:b w:val="0"/>
          <w:bCs w:val="0"/>
          <w:sz w:val="32"/>
          <w:szCs w:val="32"/>
          <w:shd w:val="clear" w:color="auto" w:fill="auto"/>
          <w:lang w:val="en-US" w:eastAsia="zh-CN"/>
        </w:rPr>
        <w:t>支持构建农业、工业 、交通 、教育 、就业、卫生健康、社会保障、文化旅游、城市管理、基层社会治理、公共资源交易等领域数据开发利用场景。推进智慧农业、智慧金融、智慧医疗、智慧教育等领域建设，以及在具备一定数字化基础 的区域开展制造业数字化转型试点，推动产业集群数字化转型。</w:t>
      </w:r>
    </w:p>
    <w:p>
      <w:pPr>
        <w:numPr>
          <w:ilvl w:val="0"/>
          <w:numId w:val="0"/>
        </w:numPr>
        <w:ind w:firstLine="643" w:firstLineChars="200"/>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健全数据融合应用管理制度和标准。</w:t>
      </w:r>
      <w:r>
        <w:rPr>
          <w:rFonts w:hint="eastAsia" w:ascii="仿宋" w:hAnsi="仿宋" w:eastAsia="仿宋" w:cs="仿宋"/>
          <w:b w:val="0"/>
          <w:bCs w:val="0"/>
          <w:sz w:val="32"/>
          <w:szCs w:val="32"/>
          <w:shd w:val="clear" w:color="auto" w:fill="auto"/>
          <w:lang w:val="en-US" w:eastAsia="zh-CN"/>
        </w:rPr>
        <w:t>加强对数据采集、</w:t>
      </w:r>
    </w:p>
    <w:p>
      <w:pPr>
        <w:numPr>
          <w:ilvl w:val="0"/>
          <w:numId w:val="0"/>
        </w:numPr>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存储、处理、传输、交换和销毁等关键环节的质量管控指导, 推动数据管理能力成熟度评估( DCMM) 。开展数据要素领域标准化专项研究, 分阶段、分领域推进数据要素标准化试点。支持行业协会商会、企业和高校院所研究制定数据采集、处理、应用、质量管理等标准规范。进一步规范政府采购数据服务行为。</w:t>
      </w:r>
    </w:p>
    <w:p>
      <w:pPr>
        <w:numPr>
          <w:ilvl w:val="0"/>
          <w:numId w:val="0"/>
        </w:numPr>
        <w:ind w:firstLine="640" w:firstLineChars="200"/>
        <w:rPr>
          <w:rFonts w:hint="eastAsia" w:ascii="楷体" w:hAnsi="楷体" w:eastAsia="楷体" w:cs="楷体"/>
          <w:b w:val="0"/>
          <w:bCs w:val="0"/>
          <w:sz w:val="32"/>
          <w:szCs w:val="32"/>
          <w:shd w:val="clear" w:color="auto" w:fill="auto"/>
          <w:lang w:val="en-US" w:eastAsia="zh-CN"/>
        </w:rPr>
      </w:pPr>
      <w:r>
        <w:rPr>
          <w:rFonts w:hint="eastAsia" w:ascii="楷体" w:hAnsi="楷体" w:eastAsia="楷体" w:cs="楷体"/>
          <w:b w:val="0"/>
          <w:bCs w:val="0"/>
          <w:sz w:val="32"/>
          <w:szCs w:val="32"/>
          <w:shd w:val="clear" w:color="auto" w:fill="auto"/>
          <w:lang w:val="en-US" w:eastAsia="zh-CN"/>
        </w:rPr>
        <w:t>（四）推进数据有序规范流通</w:t>
      </w:r>
    </w:p>
    <w:p>
      <w:pPr>
        <w:numPr>
          <w:ilvl w:val="0"/>
          <w:numId w:val="0"/>
        </w:numPr>
        <w:ind w:firstLine="640"/>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完善数据流通制度。</w:t>
      </w:r>
      <w:r>
        <w:rPr>
          <w:rFonts w:hint="eastAsia" w:ascii="仿宋" w:hAnsi="仿宋" w:eastAsia="仿宋" w:cs="仿宋"/>
          <w:b w:val="0"/>
          <w:bCs w:val="0"/>
          <w:sz w:val="32"/>
          <w:szCs w:val="32"/>
          <w:shd w:val="clear" w:color="auto" w:fill="auto"/>
          <w:lang w:val="en-US" w:eastAsia="zh-CN"/>
        </w:rPr>
        <w:t>建立健全数据权益、交易流通、跨境传输和安全保护等基础性制度规范, 明确数据主体、数据控制方、数据使用方权利义务, 保护数据主体权益。健全数据市场定价机制, 激发数据流转活力。研究制定数据管理地方性法规, 探索建立数据产权制度。探索建立首席数据官（CDO）及数据经纪人制度，为数据要素流通提供优质服务。</w:t>
      </w:r>
    </w:p>
    <w:p>
      <w:pPr>
        <w:numPr>
          <w:ilvl w:val="0"/>
          <w:numId w:val="0"/>
        </w:numPr>
        <w:ind w:firstLine="640"/>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强化数据交易监管。</w:t>
      </w:r>
      <w:r>
        <w:rPr>
          <w:rFonts w:hint="eastAsia" w:ascii="仿宋" w:hAnsi="仿宋" w:eastAsia="仿宋" w:cs="仿宋"/>
          <w:b w:val="0"/>
          <w:bCs w:val="0"/>
          <w:sz w:val="32"/>
          <w:szCs w:val="32"/>
          <w:shd w:val="clear" w:color="auto" w:fill="auto"/>
          <w:lang w:val="en-US" w:eastAsia="zh-CN"/>
        </w:rPr>
        <w:t>研究制定数据交易监管制度、互通</w:t>
      </w:r>
    </w:p>
    <w:p>
      <w:pPr>
        <w:numPr>
          <w:ilvl w:val="0"/>
          <w:numId w:val="0"/>
        </w:numPr>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规则和违规惩罚措施, 明确数据交易监管主体和监管对象。建立数据交易跨部门协同监管机制, 健全投诉举报查处机制。开展数据要素交易市场监管, 打击数据垄断、数据不正当竞争行为。搭建数据流通监管平台, 加强数据交易流通安全监管。</w:t>
      </w:r>
    </w:p>
    <w:p>
      <w:pPr>
        <w:numPr>
          <w:ilvl w:val="0"/>
          <w:numId w:val="0"/>
        </w:numPr>
        <w:ind w:firstLine="640"/>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推动数据产业创新集聚发展。</w:t>
      </w:r>
      <w:r>
        <w:rPr>
          <w:rFonts w:hint="eastAsia" w:ascii="仿宋" w:hAnsi="仿宋" w:eastAsia="仿宋" w:cs="仿宋"/>
          <w:b w:val="0"/>
          <w:bCs w:val="0"/>
          <w:sz w:val="32"/>
          <w:szCs w:val="32"/>
          <w:shd w:val="clear" w:color="auto" w:fill="auto"/>
          <w:lang w:val="en-US" w:eastAsia="zh-CN"/>
        </w:rPr>
        <w:t>围绕我市数字经济发展重点和布局，支持优秀数据服务企业做大做强，推动数字政府大数据示范应用建设，以示范引领带动全市数据产业发展，为数字政府建设注入活力。</w:t>
      </w:r>
    </w:p>
    <w:p>
      <w:pPr>
        <w:numPr>
          <w:ilvl w:val="0"/>
          <w:numId w:val="0"/>
        </w:numPr>
        <w:ind w:firstLine="640"/>
        <w:rPr>
          <w:rFonts w:hint="eastAsia" w:ascii="楷体" w:hAnsi="楷体" w:eastAsia="楷体" w:cs="楷体"/>
          <w:b w:val="0"/>
          <w:bCs w:val="0"/>
          <w:sz w:val="32"/>
          <w:szCs w:val="32"/>
          <w:shd w:val="clear" w:color="auto" w:fill="auto"/>
          <w:lang w:val="en-US" w:eastAsia="zh-CN"/>
        </w:rPr>
      </w:pPr>
      <w:r>
        <w:rPr>
          <w:rFonts w:hint="eastAsia" w:ascii="楷体" w:hAnsi="楷体" w:eastAsia="楷体" w:cs="楷体"/>
          <w:b w:val="0"/>
          <w:bCs w:val="0"/>
          <w:sz w:val="32"/>
          <w:szCs w:val="32"/>
          <w:shd w:val="clear" w:color="auto" w:fill="auto"/>
          <w:lang w:val="en-US" w:eastAsia="zh-CN"/>
        </w:rPr>
        <w:t>(五) 强化数据安全保护</w:t>
      </w:r>
    </w:p>
    <w:p>
      <w:pPr>
        <w:numPr>
          <w:ilvl w:val="0"/>
          <w:numId w:val="0"/>
        </w:numPr>
        <w:ind w:firstLine="640"/>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建立数据分类分级和隐私保护制度。</w:t>
      </w:r>
      <w:r>
        <w:rPr>
          <w:rFonts w:hint="eastAsia" w:ascii="仿宋" w:hAnsi="仿宋" w:eastAsia="仿宋" w:cs="仿宋"/>
          <w:b w:val="0"/>
          <w:bCs w:val="0"/>
          <w:sz w:val="32"/>
          <w:szCs w:val="32"/>
          <w:shd w:val="clear" w:color="auto" w:fill="auto"/>
          <w:lang w:val="en-US" w:eastAsia="zh-CN"/>
        </w:rPr>
        <w:t>建立政府主导、多</w:t>
      </w:r>
    </w:p>
    <w:p>
      <w:pPr>
        <w:numPr>
          <w:ilvl w:val="0"/>
          <w:numId w:val="0"/>
        </w:numPr>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方参与的数据分类分级保护制度, 厘清各方权责边界。健全数据隐私保护和安全审查制度, 落实政府部门、企事业单位、社会公众等数据安全保护责任, 加强对个人隐私、个人信息、商业秘密、保密商务信息等数据的保护。</w:t>
      </w:r>
    </w:p>
    <w:p>
      <w:pPr>
        <w:numPr>
          <w:ilvl w:val="0"/>
          <w:numId w:val="0"/>
        </w:numPr>
        <w:ind w:firstLine="640"/>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健全数据安全管理机制。</w:t>
      </w:r>
      <w:r>
        <w:rPr>
          <w:rFonts w:hint="eastAsia" w:ascii="仿宋" w:hAnsi="仿宋" w:eastAsia="仿宋" w:cs="仿宋"/>
          <w:b w:val="0"/>
          <w:bCs w:val="0"/>
          <w:sz w:val="32"/>
          <w:szCs w:val="32"/>
          <w:shd w:val="clear" w:color="auto" w:fill="auto"/>
          <w:lang w:val="en-US" w:eastAsia="zh-CN"/>
        </w:rPr>
        <w:t>健全数据安全风险评估、报告、信息共享、监测预警和应急处置机制。支持有关部门、行业组织、企业、教育和科研机构、有关专业机构等在数据安全风险评估、防范、处置等方面开展协作。</w:t>
      </w:r>
    </w:p>
    <w:p>
      <w:pPr>
        <w:numPr>
          <w:ilvl w:val="0"/>
          <w:numId w:val="0"/>
        </w:numPr>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 xml:space="preserve">    </w:t>
      </w:r>
      <w:r>
        <w:rPr>
          <w:rFonts w:hint="eastAsia" w:ascii="仿宋" w:hAnsi="仿宋" w:eastAsia="仿宋" w:cs="仿宋"/>
          <w:b/>
          <w:bCs/>
          <w:sz w:val="32"/>
          <w:szCs w:val="32"/>
          <w:shd w:val="clear" w:color="auto" w:fill="auto"/>
          <w:lang w:val="en-US" w:eastAsia="zh-CN"/>
        </w:rPr>
        <w:t>完善数据安全技术体系。</w:t>
      </w:r>
      <w:r>
        <w:rPr>
          <w:rFonts w:hint="eastAsia" w:ascii="仿宋" w:hAnsi="仿宋" w:eastAsia="仿宋" w:cs="仿宋"/>
          <w:b w:val="0"/>
          <w:bCs w:val="0"/>
          <w:sz w:val="32"/>
          <w:szCs w:val="32"/>
          <w:shd w:val="clear" w:color="auto" w:fill="auto"/>
          <w:lang w:val="en-US" w:eastAsia="zh-CN"/>
        </w:rPr>
        <w:t>构建云网数一体化协同安全保</w:t>
      </w:r>
    </w:p>
    <w:p>
      <w:pPr>
        <w:numPr>
          <w:ilvl w:val="0"/>
          <w:numId w:val="0"/>
        </w:numPr>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障体系, 运用可信身份认证、数据签名、接口鉴权、数据溯源等数据保护措施和区块链等新技术, 强化对算力资源和数据资源的安全防护, 提高数据安全保障能力。</w:t>
      </w:r>
    </w:p>
    <w:p>
      <w:pPr>
        <w:numPr>
          <w:ilvl w:val="0"/>
          <w:numId w:val="9"/>
        </w:numPr>
        <w:ind w:firstLine="64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建设活力特区、法治城市、文明窗口、和美侨乡、智慧都市</w:t>
      </w:r>
    </w:p>
    <w:p>
      <w:pPr>
        <w:numPr>
          <w:ilvl w:val="0"/>
          <w:numId w:val="0"/>
        </w:numPr>
        <w:jc w:val="left"/>
        <w:rPr>
          <w:rFonts w:hint="eastAsia" w:ascii="仿宋" w:hAnsi="仿宋" w:eastAsia="仿宋" w:cs="仿宋"/>
          <w:b w:val="0"/>
          <w:bCs w:val="0"/>
          <w:sz w:val="32"/>
          <w:szCs w:val="32"/>
          <w:shd w:val="clear" w:color="auto" w:fill="auto"/>
          <w:lang w:val="en-US" w:eastAsia="zh-CN"/>
        </w:rPr>
      </w:pPr>
      <w:r>
        <w:rPr>
          <w:rFonts w:hint="eastAsia" w:ascii="黑体" w:hAnsi="黑体" w:eastAsia="黑体" w:cs="黑体"/>
          <w:sz w:val="32"/>
          <w:szCs w:val="32"/>
          <w:lang w:val="en-US" w:eastAsia="zh-CN"/>
        </w:rPr>
        <w:t xml:space="preserve">   </w:t>
      </w:r>
      <w:r>
        <w:rPr>
          <w:rFonts w:hint="eastAsia" w:ascii="黑体" w:hAnsi="黑体" w:eastAsia="黑体" w:cs="黑体"/>
          <w:b/>
          <w:bCs/>
          <w:sz w:val="32"/>
          <w:szCs w:val="32"/>
          <w:lang w:val="en-US" w:eastAsia="zh-CN"/>
        </w:rPr>
        <w:t xml:space="preserve"> </w:t>
      </w:r>
      <w:r>
        <w:rPr>
          <w:rFonts w:hint="eastAsia" w:ascii="仿宋" w:hAnsi="仿宋" w:eastAsia="仿宋" w:cs="仿宋"/>
          <w:b/>
          <w:bCs/>
          <w:sz w:val="32"/>
          <w:szCs w:val="32"/>
          <w:shd w:val="clear" w:color="auto" w:fill="auto"/>
          <w:lang w:val="en-US" w:eastAsia="zh-CN"/>
        </w:rPr>
        <w:t>建设高质量发展的活力特区。</w:t>
      </w:r>
      <w:r>
        <w:rPr>
          <w:rFonts w:hint="eastAsia" w:ascii="仿宋" w:hAnsi="仿宋" w:eastAsia="仿宋" w:cs="仿宋"/>
          <w:b w:val="0"/>
          <w:bCs w:val="0"/>
          <w:sz w:val="32"/>
          <w:szCs w:val="32"/>
          <w:shd w:val="clear" w:color="auto" w:fill="auto"/>
          <w:lang w:val="en-US" w:eastAsia="zh-CN"/>
        </w:rPr>
        <w:t>通过营造重商安商亲商和公平公正的市场环境、提升政务服务质量效率、全面提升企业开办便利度和工程建设项目审批效率、进一步优化纳税服务、运用大数据等手段提高社会治理现代化水平等措施，加快打造市场化法治化国际化便利化营商环境，建设高质量发展的活力特区。</w:t>
      </w:r>
    </w:p>
    <w:p>
      <w:pPr>
        <w:numPr>
          <w:ilvl w:val="0"/>
          <w:numId w:val="0"/>
        </w:numPr>
        <w:ind w:firstLine="640"/>
        <w:jc w:val="left"/>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挖掘保护华侨特色历史文化遗存。</w:t>
      </w:r>
      <w:r>
        <w:rPr>
          <w:rFonts w:hint="eastAsia" w:ascii="仿宋" w:hAnsi="仿宋" w:eastAsia="仿宋" w:cs="仿宋"/>
          <w:b w:val="0"/>
          <w:bCs w:val="0"/>
          <w:sz w:val="32"/>
          <w:szCs w:val="32"/>
          <w:shd w:val="clear" w:color="auto" w:fill="auto"/>
          <w:lang w:val="en-US" w:eastAsia="zh-CN"/>
        </w:rPr>
        <w:t>整合民间优秀文化，以电影、动漫、网剧、短视频等形式打造一批华侨文化精品。加强侨批档案工作，持续推进侨批数字化保护，搭建侨批登记及运用平台，弘扬爱国奉献的华侨精神。</w:t>
      </w:r>
    </w:p>
    <w:p>
      <w:pPr>
        <w:numPr>
          <w:ilvl w:val="0"/>
          <w:numId w:val="0"/>
        </w:numPr>
        <w:ind w:firstLine="640"/>
        <w:jc w:val="left"/>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构建汕头亚青会信息技术与通信系统。</w:t>
      </w:r>
      <w:r>
        <w:rPr>
          <w:rFonts w:hint="eastAsia" w:ascii="仿宋" w:hAnsi="仿宋" w:eastAsia="仿宋" w:cs="仿宋"/>
          <w:b w:val="0"/>
          <w:bCs w:val="0"/>
          <w:sz w:val="32"/>
          <w:szCs w:val="32"/>
          <w:shd w:val="clear" w:color="auto" w:fill="auto"/>
          <w:lang w:val="en-US" w:eastAsia="zh-CN"/>
        </w:rPr>
        <w:t>围绕“标准统一开放、技术先进适用、资源有效整合、信息高度共享、软件系统关联”的建设目标，以竞赛为核心，采用“1241”的一体化建设架构，统筹建设“一云、二网、四应用、一中心”， 包括：搭建绿色集约、弹性扩展的云计算中心，构建有线（AYGIS专网、ADMIN专网、转播专网、互联网）和无线（WIFI）两大核心网络，建设赛事成绩系统、赛事管理系统、赛事支持系统和公众服务系统，建设亚青会主运行中心（MOC）系统，为竞赛提供全程信息化服务、IT基础设施和通信网络支撑保障以及各类信息及网络安全保障。将汕头亚青会办成一个“安全稳定、成熟先进、满足需求、体现水平、展示亮点”的综合性国际性的赛事活动。</w:t>
      </w:r>
    </w:p>
    <w:p>
      <w:pPr>
        <w:numPr>
          <w:ilvl w:val="0"/>
          <w:numId w:val="0"/>
        </w:numPr>
        <w:ind w:firstLine="640" w:firstLineChars="200"/>
        <w:rPr>
          <w:rFonts w:hint="eastAsia" w:ascii="黑体" w:hAnsi="黑体" w:eastAsia="黑体" w:cs="黑体"/>
          <w:sz w:val="32"/>
          <w:szCs w:val="32"/>
          <w:lang w:val="en-US" w:eastAsia="zh-CN"/>
        </w:rPr>
      </w:pPr>
    </w:p>
    <w:p>
      <w:pPr>
        <w:numPr>
          <w:ilvl w:val="0"/>
          <w:numId w:val="0"/>
        </w:numPr>
        <w:ind w:firstLine="640" w:firstLineChars="200"/>
        <w:jc w:val="center"/>
        <w:outlineLvl w:val="1"/>
        <w:rPr>
          <w:rFonts w:hint="eastAsia" w:ascii="黑体" w:hAnsi="黑体" w:eastAsia="黑体" w:cs="黑体"/>
          <w:sz w:val="32"/>
          <w:szCs w:val="32"/>
          <w:lang w:val="en-US" w:eastAsia="zh-CN"/>
        </w:rPr>
      </w:pPr>
      <w:bookmarkStart w:id="35" w:name="_Toc15971"/>
      <w:bookmarkStart w:id="36" w:name="_Toc19481"/>
      <w:r>
        <w:rPr>
          <w:rFonts w:hint="eastAsia" w:ascii="黑体" w:hAnsi="黑体" w:eastAsia="黑体" w:cs="黑体"/>
          <w:sz w:val="32"/>
          <w:szCs w:val="32"/>
          <w:lang w:val="en-US" w:eastAsia="zh-CN"/>
        </w:rPr>
        <w:t>第四节 构建“三横四纵”数字政府安全体系</w:t>
      </w:r>
      <w:bookmarkEnd w:id="35"/>
      <w:bookmarkEnd w:id="36"/>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格遵循国家有关信息系统安全等级保护要求，以全局、整体的思路整合资源、优化流程，加强网络安全机制建设，落实网络安全责任。“三横”是数字政府安全防护的主体对象，包括政务云平台、政务大数据中心及政务应用三大部分。“四纵”是数字政府安全建设的核心支柱，包括安全管理体系、安全技术体系、安全运营体系、安全监管体系四大安全体系。针对“三横”所包含的核心安全建设内容，最终将通过“四纵”所覆盖的体系进行落地、实施和完善，构建汕头市数字政府安全体系。</w:t>
      </w:r>
    </w:p>
    <w:p>
      <w:pPr>
        <w:numPr>
          <w:ilvl w:val="0"/>
          <w:numId w:val="0"/>
        </w:numPr>
        <w:ind w:firstLine="640" w:firstLineChars="200"/>
        <w:rPr>
          <w:rFonts w:hint="eastAsia" w:ascii="楷体" w:hAnsi="楷体" w:eastAsia="楷体" w:cs="楷体"/>
          <w:b w:val="0"/>
          <w:bCs w:val="0"/>
          <w:sz w:val="32"/>
          <w:szCs w:val="32"/>
          <w:lang w:val="en-US" w:eastAsia="zh-CN"/>
        </w:rPr>
      </w:pPr>
      <w:r>
        <w:rPr>
          <w:rFonts w:hint="eastAsia" w:ascii="黑体" w:hAnsi="黑体" w:eastAsia="黑体" w:cs="黑体"/>
          <w:b w:val="0"/>
          <w:bCs w:val="0"/>
          <w:sz w:val="32"/>
          <w:szCs w:val="32"/>
          <w:lang w:val="en-US" w:eastAsia="zh-CN"/>
        </w:rPr>
        <w:t>一、政务云平台安全体系</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建立云平台安全运营机制，完善外部单位至政务云、政务大数据中心以及政务云、政务大数据中心不同业务区之间的安全隔离，强化租户安全责任划分、虚拟化安全工具及公共组件防护，优化云平台安全运营优化体系，为我市“数字政府”提供安全、高效的云服务。</w:t>
      </w: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二、政务大数据中心安全体系</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结合政务信息数据安全要求，与相关部门建立安全联动机制，建立安全的数据环境。结合数据采集，传输，存储、使用、交换以及销毁等各个阶段所面临的安全风险，从安全管理、安全技术、安全运营、安全监管四个维度为“数字政府”提供基于政务大数据场景的安全防御体系，保障政务数据的安全。</w:t>
      </w: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三、政务系统应用安全体系</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基于软件研发生命周期，将安全管理、安全技术、安全运营、安全监管四大安全体系的工作要求融会贯通于整个应用开发的各个阶段，形成应用安全体系架构。通过要求各业主单位组织开展安全评估，强化本部门政务信息化系统的设计、开发、建设的全流程的安全管理，将“安全基因”内置到本部门政务应用的全生命周期，切实提升我市“数字政府”政务应用整体安全防护能力。</w:t>
      </w: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四、网络安全监管体系</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建立“业务监管与行业监管有机结合”的安全监管机制；建立健全“事前、事中、事后”全程安全监管的联动机制；建立跨行业网络安全通报和事件反馈工作机制，配合网信、公安等有关部门处置各类信息安全事件；提高处置网络与信息安全突发公共事件能力，为我市“数字政府”网络安全提供内部控制和外部监管两个层面的保障，实现“层层监管、层层把控、层层防护”。</w:t>
      </w: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五、网络安全管理体系</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通过构建涵盖设计、执行、监督三个维度的“数字政府”安全组织架构，加强对人员的背景调查和安全保密管理，建立行之有效和及时响应的合规管理机制，建立确保网络安全总体方针和安全策略实施的安全管理制度，建立完善的网络安全管理体系。</w:t>
      </w: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六、网络安全运营体系</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建立7＊24小时的信息安全监控运营机制，为政务云、政务大数据中心、政务外网等关键信息基础设施建立网络安全监测、信息通报、安全分析和应急处置机制，实现对各类网络安全行为的监测要求、重大网络安全事件响应和处理能力，以应对不断变化的网络威胁形势，有效提升网络安全保障能力。</w:t>
      </w: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七、网络安全技术体系</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遵循“立体防护、纵深防御”理念，采用成熟、自主、可控的安全防护技术，构建涵盖物理安全、平台安全、网络安全、主机安全、数据安全、应用安全等技术能力的政务外网安全6层防护体系。在不同业务区域之间和数据中心出口等位置部署安全设备，包括防火墙、IPS、网络防病毒、负载均衡等，实现业务安全访问数据安全保障。在虚拟资源区，部署虚拟化安全设备，保障多租户之间的业务隔离和数据隔离。</w:t>
      </w:r>
    </w:p>
    <w:p>
      <w:pPr>
        <w:numPr>
          <w:ilvl w:val="0"/>
          <w:numId w:val="0"/>
        </w:numPr>
        <w:jc w:val="both"/>
        <w:rPr>
          <w:rFonts w:hint="eastAsia" w:ascii="仿宋" w:hAnsi="仿宋" w:eastAsia="仿宋" w:cs="仿宋"/>
          <w:b/>
          <w:bCs/>
          <w:sz w:val="32"/>
          <w:szCs w:val="32"/>
          <w:lang w:val="en-US" w:eastAsia="zh-CN"/>
        </w:rPr>
      </w:pPr>
    </w:p>
    <w:p>
      <w:pPr>
        <w:numPr>
          <w:ilvl w:val="0"/>
          <w:numId w:val="0"/>
        </w:numPr>
        <w:jc w:val="center"/>
        <w:outlineLvl w:val="0"/>
        <w:rPr>
          <w:rFonts w:hint="eastAsia" w:ascii="黑体" w:hAnsi="黑体" w:eastAsia="黑体" w:cs="黑体"/>
          <w:b w:val="0"/>
          <w:bCs w:val="0"/>
          <w:sz w:val="32"/>
          <w:szCs w:val="32"/>
          <w:lang w:val="en-US" w:eastAsia="zh-CN"/>
        </w:rPr>
      </w:pPr>
      <w:bookmarkStart w:id="37" w:name="_Toc15237"/>
      <w:bookmarkStart w:id="38" w:name="_Toc28359"/>
      <w:r>
        <w:rPr>
          <w:rFonts w:hint="eastAsia" w:ascii="黑体" w:hAnsi="黑体" w:eastAsia="黑体" w:cs="黑体"/>
          <w:b w:val="0"/>
          <w:bCs w:val="0"/>
          <w:sz w:val="32"/>
          <w:szCs w:val="32"/>
          <w:lang w:val="en-US" w:eastAsia="zh-CN"/>
        </w:rPr>
        <w:t>第五章  实施步骤</w:t>
      </w:r>
      <w:bookmarkEnd w:id="37"/>
      <w:bookmarkEnd w:id="38"/>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按照“一年谋突破、三年见成效、五年大提升”的路径，</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统筹推进“十四五”期间全市数字政府改革建设工作。</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一、2021-2022夯实基础，改革攻坚</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完善一系列配套的制度设计，理顺管运分离、购买服务模式下，市政务服务数据管理局、各市直单位，以及“数字政府”建设运营中心各方的责任边界，梳理政务信息化项目,做好相关流程管理。</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继续加快“数字政府”政务云平台汕头节点应用，推动市、区两级非涉密政务信息系统迁移上云，构建集约化、一体化政务信息系统运行新模式。</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继续配合省完善广东省政务大数据中心汕头分节点部署，为汕头市政务大数据中心建设夯实基础，开展部门间数据共享应用。</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持续做好“粤政易”、“粤商通”、“粤省事”和“粤省心”平台的宣传推广，逐步深化手机移动端办事，配合有关部门向各类公共场所普及“粤康码”和健康防疫核验系统，助力信息化防疫抗疫。</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推进全市政务服务一体机应用推广，并与各大金融机构开展“政银合作”，充分依托银行服务网络优势，推动高频政务服务事项入驻银行智能服务终端。</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推动电子证照种类的开通和签发，推动政务服务事项在业务办理过程中使用电子证照，并建立电子证照常态化管理机制。</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二、2023-2024示范突破，深化应用</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继续强化衔接，以数据普查工作为切入点，提高数据采集能力，深化数据治理应用。</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深化政务服务、营商环境和社会治理等领域应用建设，并同步推动其他各部门在全市“数字政府”技术架构下的信息化建设,提升全市政务信息化水平。</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三、2025融合创新，全面提升</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根据国家、省数字政府建设的新要求，促进云计算、移动互联网、大数据、人工智能、区块链等新技术与数字政府各项业务应用的创新融合和相互牵引迭代发展，不断提升汕头市数字政府改革建设水平。</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至2025年底，数字政府能力全面提升，数字技术与政府履职全面深度融合，全面提升政务服务效能，创新社会治理模式、营造良好营商环境、提升民生服务水平，为全市经济社会高质量发展提供强有力的信息化支撑，完成本规划确定的目标任务。</w:t>
      </w:r>
    </w:p>
    <w:p>
      <w:pPr>
        <w:numPr>
          <w:ilvl w:val="0"/>
          <w:numId w:val="0"/>
        </w:numPr>
        <w:jc w:val="center"/>
        <w:rPr>
          <w:rFonts w:hint="eastAsia" w:ascii="黑体" w:hAnsi="黑体" w:eastAsia="黑体" w:cs="黑体"/>
          <w:b w:val="0"/>
          <w:bCs w:val="0"/>
          <w:sz w:val="32"/>
          <w:szCs w:val="32"/>
          <w:lang w:val="en-US" w:eastAsia="zh-CN"/>
        </w:rPr>
      </w:pPr>
    </w:p>
    <w:p>
      <w:pPr>
        <w:numPr>
          <w:ilvl w:val="0"/>
          <w:numId w:val="0"/>
        </w:numPr>
        <w:jc w:val="center"/>
        <w:outlineLvl w:val="0"/>
        <w:rPr>
          <w:rFonts w:hint="eastAsia" w:ascii="黑体" w:hAnsi="黑体" w:eastAsia="黑体" w:cs="黑体"/>
          <w:b w:val="0"/>
          <w:bCs w:val="0"/>
          <w:sz w:val="32"/>
          <w:szCs w:val="32"/>
          <w:lang w:val="en-US" w:eastAsia="zh-CN"/>
        </w:rPr>
      </w:pPr>
      <w:bookmarkStart w:id="39" w:name="_Toc21717"/>
      <w:bookmarkStart w:id="40" w:name="_Toc17180"/>
      <w:r>
        <w:rPr>
          <w:rFonts w:hint="eastAsia" w:ascii="黑体" w:hAnsi="黑体" w:eastAsia="黑体" w:cs="黑体"/>
          <w:b w:val="0"/>
          <w:bCs w:val="0"/>
          <w:sz w:val="32"/>
          <w:szCs w:val="32"/>
          <w:lang w:val="en-US" w:eastAsia="zh-CN"/>
        </w:rPr>
        <w:t>第六章  保障措施</w:t>
      </w:r>
      <w:bookmarkEnd w:id="39"/>
      <w:bookmarkEnd w:id="40"/>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一、完善组织保障</w:t>
      </w:r>
    </w:p>
    <w:p>
      <w:pPr>
        <w:numPr>
          <w:ilvl w:val="0"/>
          <w:numId w:val="0"/>
        </w:numPr>
        <w:ind w:firstLine="640"/>
        <w:jc w:val="both"/>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在汕头市“数字政府”改革建设工作领导小组统筹领导下，市政数局按照“全市一盘棋”的原则，加强组织协调，统筹推动数字政府改革建设工作。各级各部门建立健全主要了领导负责制，严格落实“数字政府”改革建设主体责任，做好本地区本部门数字政府改革推进工作，确保“数字政府”各项改革建设任务落实到位。探索设立首席数据官，作为我市数字政府改革建设负责人，统筹信息化和数据管理工作。发挥市“数字政府”改革建设专家委员会的作用，为我市“数字政府”改革建设工作提供决策咨询和智力支持。进一步优化数字广东网络建设有限公司汕头分公司的运营服务，为我市“数字政府”改革建设工作提供技术支撑服务。形成统一部署、责任明确、分工合理的全市数字政府建设管理组织体系。</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二、健全机制保障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 w:hAnsi="仿宋" w:eastAsia="仿宋" w:cs="仿宋"/>
          <w:sz w:val="32"/>
          <w:szCs w:val="32"/>
          <w:lang w:val="en-US" w:eastAsia="zh-CN"/>
        </w:rPr>
        <w:t>贯彻落实国家、省数字政府各项政策、管理规范和制度文件，制定实施汕头市数字政府改革建设规划，加强对数字政府发展的战略指引。出台与“数字政府”改革建设相适应的配套制度，构建各级各部门协同联动的综合协调机制，保障数字政府改革建设顺利推进。建立健全电子政务项目管理、运营、服务、网络和信息安全保障等管理机制，持续完善数字政府本地推进机制与规章制度，</w:t>
      </w:r>
      <w:r>
        <w:rPr>
          <w:rFonts w:hint="eastAsia" w:ascii="仿宋_GB2312" w:hAnsi="仿宋_GB2312" w:eastAsia="仿宋_GB2312" w:cs="仿宋_GB2312"/>
          <w:sz w:val="32"/>
          <w:szCs w:val="32"/>
          <w:highlight w:val="none"/>
          <w:lang w:val="en-US" w:eastAsia="zh-CN"/>
        </w:rPr>
        <w:t>为“数字政府”建设提供制度保障。</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三、加大资金保障</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各级各部门要积极争取上级部门的资金扶持，利用现有各类信息化建设资金，投入数字政府改革建设。各级财政部门要统筹各级各部门政务信息化建设和运营服务资金，加大“数字政府”建设资金支持力度，优先保障重点领域和重大项目的投入，强化对资金使用过程的动态监控。对没有纳入“数字政府”建设规划的项目，原则上不予安排资金；对不按要求与市政务信息资源平台共享数据的，原则上不予保障经费。引导社会力量参与数字政府建设，加大数字政府建设向社会购买服务的力度，发挥企业动能和市场机制推动作用，提升数字政府建设活力。</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四、强化人才保障</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制定适应我市数字政府建设的人才引进战略，增强对高</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端创新型人才的吸引力和凝聚力，引进国内外优质人才参与</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highlight w:val="none"/>
          <w:lang w:val="en-US" w:eastAsia="zh-CN"/>
        </w:rPr>
        <w:t>数字政府改革建设。实行更加积极、开放、有效的人才政策，通过举办人才交流会等形式，引进数字政府专项人才。定期组织相关部门进行“数字政府”和信息化发展培训活动，培养既精通政府业务，又善于使用信息化手段开展工作的综合型人才。将“数字政府”改革建设纳入领导干部和公务员学习培训内容，建立普及性与针对性相结合的培训机制，提高对“数字政府”改革建设工作的认识和相关专业素养。鼓励高校、科研院所和相关单位参与到“数字政府”改革建设中，更好发挥智库作用和人才优势，为我市“数字政府”建设提供人才支撑。</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五、加强考核评估</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建立“数字政府”建设和运营情况考核指标，作为科学评价建设成果、运营情况、投资效益的主要依据，探索进一步细化拓展量化考核范围，覆盖市直部门和各区县、各级工作人员。将“数字政府”改革建设工作列入市政府重点督查事项，并列入年度绩效考核，建立健全绩效考核体系和表彰奖励机制，加强考核结果运用，加强正向激励，对工作落实不力的予以通报。</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numPr>
          <w:ilvl w:val="0"/>
          <w:numId w:val="0"/>
        </w:numPr>
        <w:ind w:firstLine="640"/>
        <w:outlineLvl w:val="0"/>
        <w:rPr>
          <w:rFonts w:hint="eastAsia" w:ascii="仿宋" w:hAnsi="仿宋" w:eastAsia="仿宋" w:cs="仿宋"/>
          <w:sz w:val="32"/>
          <w:szCs w:val="32"/>
          <w:lang w:val="en-US" w:eastAsia="zh-CN"/>
        </w:rPr>
      </w:pPr>
      <w:bookmarkStart w:id="41" w:name="_Toc21684"/>
      <w:r>
        <w:rPr>
          <w:rFonts w:hint="eastAsia" w:ascii="仿宋" w:hAnsi="仿宋" w:eastAsia="仿宋" w:cs="仿宋"/>
          <w:sz w:val="32"/>
          <w:szCs w:val="32"/>
          <w:lang w:val="en-US" w:eastAsia="zh-CN"/>
        </w:rPr>
        <w:t>附件：指标计算方法</w:t>
      </w:r>
      <w:bookmarkEnd w:id="41"/>
    </w:p>
    <w:p>
      <w:pPr>
        <w:numPr>
          <w:ilvl w:val="0"/>
          <w:numId w:val="0"/>
        </w:numPr>
        <w:ind w:firstLine="640"/>
        <w:rPr>
          <w:rFonts w:hint="eastAsia" w:ascii="仿宋" w:hAnsi="仿宋" w:eastAsia="仿宋" w:cs="仿宋"/>
          <w:sz w:val="32"/>
          <w:szCs w:val="32"/>
          <w:lang w:val="en-US" w:eastAsia="zh-CN"/>
        </w:rPr>
      </w:pPr>
    </w:p>
    <w:p>
      <w:pPr>
        <w:numPr>
          <w:ilvl w:val="0"/>
          <w:numId w:val="0"/>
        </w:numPr>
        <w:ind w:firstLine="640"/>
        <w:rPr>
          <w:rFonts w:hint="eastAsia" w:ascii="仿宋" w:hAnsi="仿宋" w:eastAsia="仿宋" w:cs="仿宋"/>
          <w:sz w:val="32"/>
          <w:szCs w:val="32"/>
          <w:lang w:val="en-US" w:eastAsia="zh-CN"/>
        </w:rPr>
      </w:pPr>
    </w:p>
    <w:p>
      <w:pPr>
        <w:numPr>
          <w:ilvl w:val="0"/>
          <w:numId w:val="0"/>
        </w:numPr>
        <w:ind w:firstLine="640"/>
        <w:rPr>
          <w:rFonts w:hint="eastAsia" w:ascii="仿宋" w:hAnsi="仿宋" w:eastAsia="仿宋" w:cs="仿宋"/>
          <w:sz w:val="32"/>
          <w:szCs w:val="32"/>
          <w:lang w:val="en-US" w:eastAsia="zh-CN"/>
        </w:rPr>
      </w:pPr>
    </w:p>
    <w:p>
      <w:pPr>
        <w:numPr>
          <w:ilvl w:val="0"/>
          <w:numId w:val="0"/>
        </w:num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 xml:space="preserve">附件 </w:t>
      </w:r>
    </w:p>
    <w:p>
      <w:pPr>
        <w:numPr>
          <w:ilvl w:val="0"/>
          <w:numId w:val="0"/>
        </w:numPr>
        <w:ind w:firstLine="640"/>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指标计算方法</w:t>
      </w:r>
    </w:p>
    <w:tbl>
      <w:tblPr>
        <w:tblStyle w:val="8"/>
        <w:tblW w:w="9098"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4269"/>
        <w:gridCol w:w="4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704" w:type="dxa"/>
            <w:shd w:val="clear" w:color="auto" w:fill="DADAD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50" w:right="44"/>
              <w:jc w:val="center"/>
              <w:textAlignment w:val="auto"/>
              <w:rPr>
                <w:rFonts w:hint="eastAsia" w:ascii="仿宋" w:hAnsi="仿宋" w:eastAsia="仿宋" w:cs="仿宋"/>
                <w:b/>
                <w:bCs/>
                <w:sz w:val="28"/>
              </w:rPr>
            </w:pPr>
            <w:r>
              <w:rPr>
                <w:rFonts w:hint="eastAsia" w:ascii="仿宋" w:hAnsi="仿宋" w:eastAsia="仿宋" w:cs="仿宋"/>
                <w:b/>
                <w:bCs/>
                <w:sz w:val="28"/>
              </w:rPr>
              <w:t>序号</w:t>
            </w:r>
          </w:p>
        </w:tc>
        <w:tc>
          <w:tcPr>
            <w:tcW w:w="4269" w:type="dxa"/>
            <w:shd w:val="clear" w:color="auto" w:fill="DADAD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75" w:right="63"/>
              <w:jc w:val="center"/>
              <w:textAlignment w:val="auto"/>
              <w:rPr>
                <w:rFonts w:hint="eastAsia" w:ascii="仿宋" w:hAnsi="仿宋" w:eastAsia="仿宋" w:cs="仿宋"/>
                <w:b/>
                <w:bCs/>
                <w:sz w:val="28"/>
              </w:rPr>
            </w:pPr>
            <w:r>
              <w:rPr>
                <w:rFonts w:hint="eastAsia" w:ascii="仿宋" w:hAnsi="仿宋" w:eastAsia="仿宋" w:cs="仿宋"/>
                <w:b/>
                <w:bCs/>
                <w:sz w:val="28"/>
              </w:rPr>
              <w:t>主要指标</w:t>
            </w:r>
          </w:p>
        </w:tc>
        <w:tc>
          <w:tcPr>
            <w:tcW w:w="4125" w:type="dxa"/>
            <w:shd w:val="clear" w:color="auto" w:fill="DADAD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1449" w:right="1438"/>
              <w:jc w:val="center"/>
              <w:textAlignment w:val="auto"/>
              <w:rPr>
                <w:rFonts w:hint="eastAsia" w:ascii="仿宋" w:hAnsi="仿宋" w:eastAsia="仿宋" w:cs="仿宋"/>
                <w:b/>
                <w:bCs/>
                <w:sz w:val="28"/>
              </w:rPr>
            </w:pPr>
            <w:r>
              <w:rPr>
                <w:rFonts w:hint="eastAsia" w:ascii="仿宋" w:hAnsi="仿宋" w:eastAsia="仿宋" w:cs="仿宋"/>
                <w:b/>
                <w:bCs/>
                <w:sz w:val="28"/>
              </w:rPr>
              <w:t>计算方法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5" w:hRule="atLeast"/>
        </w:trPr>
        <w:tc>
          <w:tcPr>
            <w:tcW w:w="704"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right="2"/>
              <w:jc w:val="center"/>
              <w:textAlignment w:val="auto"/>
              <w:rPr>
                <w:rFonts w:hint="eastAsia" w:ascii="仿宋" w:hAnsi="仿宋" w:eastAsia="仿宋" w:cs="仿宋"/>
                <w:sz w:val="28"/>
              </w:rPr>
            </w:pPr>
            <w:r>
              <w:rPr>
                <w:rFonts w:hint="eastAsia" w:ascii="仿宋" w:hAnsi="仿宋" w:eastAsia="仿宋" w:cs="仿宋"/>
                <w:sz w:val="28"/>
              </w:rPr>
              <w:t>1</w:t>
            </w:r>
          </w:p>
        </w:tc>
        <w:tc>
          <w:tcPr>
            <w:tcW w:w="4269"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258"/>
              <w:jc w:val="center"/>
              <w:textAlignment w:val="auto"/>
              <w:rPr>
                <w:rFonts w:hint="eastAsia" w:ascii="仿宋" w:hAnsi="仿宋" w:eastAsia="仿宋" w:cs="仿宋"/>
                <w:sz w:val="28"/>
              </w:rPr>
            </w:pPr>
            <w:r>
              <w:rPr>
                <w:rFonts w:hint="eastAsia" w:ascii="仿宋" w:hAnsi="仿宋" w:eastAsia="仿宋" w:cs="仿宋"/>
                <w:sz w:val="28"/>
              </w:rPr>
              <w:t>“零跑动”事项覆盖率（%）</w:t>
            </w:r>
          </w:p>
        </w:tc>
        <w:tc>
          <w:tcPr>
            <w:tcW w:w="412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108"/>
              <w:jc w:val="center"/>
              <w:textAlignment w:val="auto"/>
              <w:rPr>
                <w:rFonts w:hint="eastAsia" w:ascii="仿宋" w:hAnsi="仿宋" w:eastAsia="仿宋" w:cs="仿宋"/>
                <w:sz w:val="28"/>
              </w:rPr>
            </w:pPr>
            <w:r>
              <w:rPr>
                <w:rFonts w:hint="eastAsia" w:ascii="仿宋" w:hAnsi="仿宋" w:eastAsia="仿宋" w:cs="仿宋"/>
                <w:sz w:val="28"/>
              </w:rPr>
              <w:t>省市县三级“零跑动”事项数/</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108"/>
              <w:jc w:val="center"/>
              <w:textAlignment w:val="auto"/>
              <w:rPr>
                <w:rFonts w:hint="eastAsia" w:ascii="仿宋" w:hAnsi="仿宋" w:eastAsia="仿宋" w:cs="仿宋"/>
                <w:sz w:val="28"/>
              </w:rPr>
            </w:pPr>
            <w:r>
              <w:rPr>
                <w:rFonts w:hint="eastAsia" w:ascii="仿宋" w:hAnsi="仿宋" w:eastAsia="仿宋" w:cs="仿宋"/>
                <w:sz w:val="28"/>
              </w:rPr>
              <w:t>许可事项总数×100%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704"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rFonts w:hint="eastAsia" w:ascii="仿宋" w:hAnsi="仿宋" w:eastAsia="仿宋" w:cs="仿宋"/>
                <w:sz w:val="27"/>
              </w:rPr>
            </w:pP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right="2"/>
              <w:jc w:val="center"/>
              <w:textAlignment w:val="auto"/>
              <w:rPr>
                <w:rFonts w:hint="eastAsia" w:ascii="仿宋" w:hAnsi="仿宋" w:eastAsia="仿宋" w:cs="仿宋"/>
                <w:sz w:val="28"/>
              </w:rPr>
            </w:pPr>
            <w:r>
              <w:rPr>
                <w:rFonts w:hint="eastAsia" w:ascii="仿宋" w:hAnsi="仿宋" w:eastAsia="仿宋" w:cs="仿宋"/>
                <w:sz w:val="28"/>
              </w:rPr>
              <w:t>2</w:t>
            </w:r>
          </w:p>
        </w:tc>
        <w:tc>
          <w:tcPr>
            <w:tcW w:w="4269"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rFonts w:hint="eastAsia" w:ascii="仿宋" w:hAnsi="仿宋" w:eastAsia="仿宋" w:cs="仿宋"/>
                <w:sz w:val="25"/>
              </w:rPr>
            </w:pP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678"/>
              <w:jc w:val="center"/>
              <w:textAlignment w:val="auto"/>
              <w:rPr>
                <w:rFonts w:hint="eastAsia" w:ascii="仿宋" w:hAnsi="仿宋" w:eastAsia="仿宋" w:cs="仿宋"/>
                <w:sz w:val="28"/>
              </w:rPr>
            </w:pPr>
            <w:r>
              <w:rPr>
                <w:rFonts w:hint="eastAsia" w:ascii="仿宋" w:hAnsi="仿宋" w:eastAsia="仿宋" w:cs="仿宋"/>
                <w:sz w:val="28"/>
              </w:rPr>
              <w:t>一窗综合受理率（%）</w:t>
            </w:r>
          </w:p>
        </w:tc>
        <w:tc>
          <w:tcPr>
            <w:tcW w:w="412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108" w:right="80"/>
              <w:jc w:val="center"/>
              <w:textAlignment w:val="auto"/>
              <w:rPr>
                <w:rFonts w:hint="eastAsia" w:ascii="仿宋" w:hAnsi="仿宋" w:eastAsia="仿宋" w:cs="仿宋"/>
                <w:sz w:val="28"/>
              </w:rPr>
            </w:pPr>
            <w:r>
              <w:rPr>
                <w:rFonts w:hint="eastAsia" w:ascii="仿宋" w:hAnsi="仿宋" w:eastAsia="仿宋" w:cs="仿宋"/>
                <w:sz w:val="28"/>
              </w:rPr>
              <w:t>依申请政务服务事项纳入综合窗口办理的事项数/依申请政务</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108"/>
              <w:jc w:val="center"/>
              <w:textAlignment w:val="auto"/>
              <w:rPr>
                <w:rFonts w:hint="eastAsia" w:ascii="仿宋" w:hAnsi="仿宋" w:eastAsia="仿宋" w:cs="仿宋"/>
                <w:sz w:val="28"/>
              </w:rPr>
            </w:pPr>
            <w:r>
              <w:rPr>
                <w:rFonts w:hint="eastAsia" w:ascii="仿宋" w:hAnsi="仿宋" w:eastAsia="仿宋" w:cs="仿宋"/>
                <w:sz w:val="28"/>
              </w:rPr>
              <w:t>服务事项总数×100%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704"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right="2"/>
              <w:jc w:val="center"/>
              <w:textAlignment w:val="auto"/>
              <w:rPr>
                <w:rFonts w:hint="eastAsia" w:ascii="仿宋" w:hAnsi="仿宋" w:eastAsia="仿宋" w:cs="仿宋"/>
                <w:sz w:val="28"/>
              </w:rPr>
            </w:pPr>
            <w:r>
              <w:rPr>
                <w:rFonts w:hint="eastAsia" w:ascii="仿宋" w:hAnsi="仿宋" w:eastAsia="仿宋" w:cs="仿宋"/>
                <w:sz w:val="28"/>
              </w:rPr>
              <w:t>3</w:t>
            </w:r>
          </w:p>
        </w:tc>
        <w:tc>
          <w:tcPr>
            <w:tcW w:w="4269"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4"/>
              <w:jc w:val="center"/>
              <w:textAlignment w:val="auto"/>
              <w:rPr>
                <w:rFonts w:hint="eastAsia" w:ascii="仿宋" w:hAnsi="仿宋" w:eastAsia="仿宋" w:cs="仿宋"/>
                <w:sz w:val="28"/>
                <w:lang w:val="en-US" w:eastAsia="zh-CN"/>
              </w:rPr>
            </w:pPr>
            <w:r>
              <w:rPr>
                <w:rFonts w:hint="eastAsia" w:ascii="仿宋" w:hAnsi="仿宋" w:eastAsia="仿宋" w:cs="仿宋"/>
                <w:spacing w:val="-21"/>
                <w:sz w:val="28"/>
              </w:rPr>
              <w:t>“一件事”主题集成服务数量</w:t>
            </w:r>
            <w:r>
              <w:rPr>
                <w:rFonts w:hint="eastAsia" w:ascii="仿宋" w:hAnsi="仿宋" w:eastAsia="仿宋" w:cs="仿宋"/>
                <w:sz w:val="28"/>
              </w:rPr>
              <w:t>（件</w:t>
            </w:r>
            <w:r>
              <w:rPr>
                <w:rFonts w:hint="eastAsia" w:ascii="仿宋" w:hAnsi="仿宋" w:eastAsia="仿宋" w:cs="仿宋"/>
                <w:sz w:val="28"/>
                <w:lang w:val="en-US" w:eastAsia="zh-CN"/>
              </w:rPr>
              <w:t>）</w:t>
            </w:r>
          </w:p>
        </w:tc>
        <w:tc>
          <w:tcPr>
            <w:tcW w:w="412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118"/>
              <w:jc w:val="center"/>
              <w:textAlignment w:val="auto"/>
              <w:rPr>
                <w:rFonts w:hint="eastAsia" w:ascii="仿宋" w:hAnsi="仿宋" w:eastAsia="仿宋" w:cs="仿宋"/>
                <w:sz w:val="28"/>
              </w:rPr>
            </w:pPr>
            <w:r>
              <w:rPr>
                <w:rFonts w:hint="eastAsia" w:ascii="仿宋" w:hAnsi="仿宋" w:eastAsia="仿宋" w:cs="仿宋"/>
                <w:sz w:val="28"/>
              </w:rPr>
              <w:t>数据统计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5" w:hRule="atLeast"/>
        </w:trPr>
        <w:tc>
          <w:tcPr>
            <w:tcW w:w="704"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right="2"/>
              <w:jc w:val="center"/>
              <w:textAlignment w:val="auto"/>
              <w:rPr>
                <w:rFonts w:hint="eastAsia" w:ascii="仿宋" w:hAnsi="仿宋" w:eastAsia="仿宋" w:cs="仿宋"/>
                <w:sz w:val="28"/>
              </w:rPr>
            </w:pPr>
            <w:r>
              <w:rPr>
                <w:rFonts w:hint="eastAsia" w:ascii="仿宋" w:hAnsi="仿宋" w:eastAsia="仿宋" w:cs="仿宋"/>
                <w:sz w:val="28"/>
              </w:rPr>
              <w:t>4</w:t>
            </w:r>
          </w:p>
        </w:tc>
        <w:tc>
          <w:tcPr>
            <w:tcW w:w="4269"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4"/>
              <w:jc w:val="center"/>
              <w:textAlignment w:val="auto"/>
              <w:rPr>
                <w:rFonts w:hint="eastAsia" w:ascii="仿宋" w:hAnsi="仿宋" w:eastAsia="仿宋" w:cs="仿宋"/>
                <w:sz w:val="28"/>
                <w:lang w:eastAsia="zh-CN"/>
              </w:rPr>
            </w:pPr>
            <w:r>
              <w:rPr>
                <w:rFonts w:hint="eastAsia" w:ascii="仿宋" w:hAnsi="仿宋" w:eastAsia="仿宋" w:cs="仿宋"/>
                <w:sz w:val="28"/>
              </w:rPr>
              <w:t>政务服务一体机镇街覆盖率（%</w:t>
            </w:r>
            <w:r>
              <w:rPr>
                <w:rFonts w:hint="eastAsia" w:ascii="仿宋" w:hAnsi="仿宋" w:eastAsia="仿宋" w:cs="仿宋"/>
                <w:sz w:val="28"/>
                <w:lang w:eastAsia="zh-CN"/>
              </w:rPr>
              <w:t>）</w:t>
            </w:r>
          </w:p>
        </w:tc>
        <w:tc>
          <w:tcPr>
            <w:tcW w:w="412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240" w:lineRule="auto"/>
              <w:ind w:left="108" w:right="80" w:hanging="340"/>
              <w:jc w:val="center"/>
              <w:textAlignment w:val="auto"/>
              <w:rPr>
                <w:rFonts w:hint="eastAsia" w:ascii="仿宋" w:hAnsi="仿宋" w:eastAsia="仿宋" w:cs="仿宋"/>
                <w:sz w:val="28"/>
              </w:rPr>
            </w:pPr>
            <w:r>
              <w:rPr>
                <w:rFonts w:hint="eastAsia" w:ascii="仿宋" w:hAnsi="仿宋" w:eastAsia="仿宋" w:cs="仿宋"/>
                <w:position w:val="-17"/>
                <w:sz w:val="28"/>
              </w:rPr>
              <w:t>）</w:t>
            </w:r>
            <w:r>
              <w:rPr>
                <w:rFonts w:hint="eastAsia" w:ascii="仿宋" w:hAnsi="仿宋" w:eastAsia="仿宋" w:cs="仿宋"/>
                <w:spacing w:val="-72"/>
                <w:position w:val="-17"/>
                <w:sz w:val="28"/>
              </w:rPr>
              <w:t xml:space="preserve"> </w:t>
            </w:r>
            <w:r>
              <w:rPr>
                <w:rFonts w:hint="eastAsia" w:ascii="仿宋" w:hAnsi="仿宋" w:eastAsia="仿宋" w:cs="仿宋"/>
                <w:spacing w:val="15"/>
                <w:sz w:val="28"/>
              </w:rPr>
              <w:t>已投放政务服务一体机的镇街</w:t>
            </w:r>
            <w:r>
              <w:rPr>
                <w:rFonts w:hint="eastAsia" w:ascii="仿宋" w:hAnsi="仿宋" w:eastAsia="仿宋" w:cs="仿宋"/>
                <w:sz w:val="28"/>
              </w:rPr>
              <w:t>数量/</w:t>
            </w:r>
            <w:r>
              <w:rPr>
                <w:rFonts w:hint="eastAsia" w:ascii="仿宋" w:hAnsi="仿宋" w:eastAsia="仿宋" w:cs="仿宋"/>
                <w:spacing w:val="-1"/>
                <w:sz w:val="28"/>
              </w:rPr>
              <w:t>全省镇街总数</w:t>
            </w:r>
            <w:r>
              <w:rPr>
                <w:rFonts w:hint="eastAsia" w:ascii="仿宋" w:hAnsi="仿宋" w:eastAsia="仿宋" w:cs="仿宋"/>
                <w:sz w:val="2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6" w:hRule="atLeast"/>
        </w:trPr>
        <w:tc>
          <w:tcPr>
            <w:tcW w:w="704"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right="2"/>
              <w:jc w:val="center"/>
              <w:textAlignment w:val="auto"/>
              <w:rPr>
                <w:rFonts w:hint="eastAsia" w:ascii="仿宋" w:hAnsi="仿宋" w:eastAsia="仿宋" w:cs="仿宋"/>
                <w:sz w:val="28"/>
              </w:rPr>
            </w:pPr>
            <w:r>
              <w:rPr>
                <w:rFonts w:hint="eastAsia" w:ascii="仿宋" w:hAnsi="仿宋" w:eastAsia="仿宋" w:cs="仿宋"/>
                <w:sz w:val="28"/>
              </w:rPr>
              <w:t>5</w:t>
            </w:r>
          </w:p>
        </w:tc>
        <w:tc>
          <w:tcPr>
            <w:tcW w:w="4269"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73" w:right="63"/>
              <w:jc w:val="center"/>
              <w:textAlignment w:val="auto"/>
              <w:rPr>
                <w:rFonts w:hint="eastAsia" w:ascii="仿宋" w:hAnsi="仿宋" w:eastAsia="仿宋" w:cs="仿宋"/>
                <w:sz w:val="28"/>
              </w:rPr>
            </w:pPr>
            <w:r>
              <w:rPr>
                <w:rFonts w:hint="eastAsia" w:ascii="仿宋" w:hAnsi="仿宋" w:eastAsia="仿宋" w:cs="仿宋"/>
                <w:sz w:val="28"/>
              </w:rPr>
              <w:t>高频服务事项“跨省通办”比例</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72" w:right="63"/>
              <w:jc w:val="center"/>
              <w:textAlignment w:val="auto"/>
              <w:rPr>
                <w:rFonts w:hint="eastAsia" w:ascii="仿宋" w:hAnsi="仿宋" w:eastAsia="仿宋" w:cs="仿宋"/>
                <w:sz w:val="28"/>
              </w:rPr>
            </w:pPr>
            <w:r>
              <w:rPr>
                <w:rFonts w:hint="eastAsia" w:ascii="仿宋" w:hAnsi="仿宋" w:eastAsia="仿宋" w:cs="仿宋"/>
                <w:sz w:val="28"/>
              </w:rPr>
              <w:t>（%）</w:t>
            </w:r>
          </w:p>
        </w:tc>
        <w:tc>
          <w:tcPr>
            <w:tcW w:w="412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108"/>
              <w:jc w:val="center"/>
              <w:textAlignment w:val="auto"/>
              <w:rPr>
                <w:rFonts w:hint="eastAsia" w:ascii="仿宋" w:hAnsi="仿宋" w:eastAsia="仿宋" w:cs="仿宋"/>
                <w:sz w:val="28"/>
              </w:rPr>
            </w:pPr>
            <w:r>
              <w:rPr>
                <w:rFonts w:hint="eastAsia" w:ascii="仿宋" w:hAnsi="仿宋" w:eastAsia="仿宋" w:cs="仿宋"/>
                <w:sz w:val="28"/>
              </w:rPr>
              <w:t>纳入高频事项清单里已实现跨</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108"/>
              <w:jc w:val="center"/>
              <w:textAlignment w:val="auto"/>
              <w:rPr>
                <w:rFonts w:hint="eastAsia" w:ascii="仿宋" w:hAnsi="仿宋" w:eastAsia="仿宋" w:cs="仿宋"/>
                <w:sz w:val="28"/>
              </w:rPr>
            </w:pPr>
            <w:r>
              <w:rPr>
                <w:rFonts w:hint="eastAsia" w:ascii="仿宋" w:hAnsi="仿宋" w:eastAsia="仿宋" w:cs="仿宋"/>
                <w:sz w:val="28"/>
              </w:rPr>
              <w:t>省通办事项/清单总数×100%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704"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right="2"/>
              <w:jc w:val="center"/>
              <w:textAlignment w:val="auto"/>
              <w:rPr>
                <w:rFonts w:hint="eastAsia" w:ascii="仿宋" w:hAnsi="仿宋" w:eastAsia="仿宋" w:cs="仿宋"/>
                <w:sz w:val="28"/>
              </w:rPr>
            </w:pPr>
            <w:r>
              <w:rPr>
                <w:rFonts w:hint="eastAsia" w:ascii="仿宋" w:hAnsi="仿宋" w:eastAsia="仿宋" w:cs="仿宋"/>
                <w:sz w:val="28"/>
              </w:rPr>
              <w:t>6</w:t>
            </w:r>
          </w:p>
        </w:tc>
        <w:tc>
          <w:tcPr>
            <w:tcW w:w="4269"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374"/>
              <w:jc w:val="center"/>
              <w:textAlignment w:val="auto"/>
              <w:rPr>
                <w:rFonts w:hint="eastAsia" w:ascii="仿宋" w:hAnsi="仿宋" w:eastAsia="仿宋" w:cs="仿宋"/>
                <w:sz w:val="28"/>
              </w:rPr>
            </w:pPr>
            <w:r>
              <w:rPr>
                <w:rFonts w:hint="eastAsia" w:ascii="仿宋" w:hAnsi="仿宋" w:eastAsia="仿宋" w:cs="仿宋"/>
                <w:sz w:val="28"/>
              </w:rPr>
              <w:t>政务服务“好差评”（分）</w:t>
            </w:r>
          </w:p>
        </w:tc>
        <w:tc>
          <w:tcPr>
            <w:tcW w:w="412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108"/>
              <w:jc w:val="center"/>
              <w:textAlignment w:val="auto"/>
              <w:rPr>
                <w:rFonts w:hint="eastAsia" w:ascii="仿宋" w:hAnsi="仿宋" w:eastAsia="仿宋" w:cs="仿宋"/>
                <w:sz w:val="28"/>
              </w:rPr>
            </w:pPr>
            <w:r>
              <w:rPr>
                <w:rFonts w:hint="eastAsia" w:ascii="仿宋" w:hAnsi="仿宋" w:eastAsia="仿宋" w:cs="仿宋"/>
                <w:sz w:val="28"/>
              </w:rPr>
              <w:t>数据统计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5" w:hRule="atLeast"/>
        </w:trPr>
        <w:tc>
          <w:tcPr>
            <w:tcW w:w="704"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right="2"/>
              <w:jc w:val="center"/>
              <w:textAlignment w:val="auto"/>
              <w:rPr>
                <w:rFonts w:hint="eastAsia" w:ascii="仿宋" w:hAnsi="仿宋" w:eastAsia="仿宋" w:cs="仿宋"/>
                <w:sz w:val="28"/>
              </w:rPr>
            </w:pPr>
            <w:r>
              <w:rPr>
                <w:rFonts w:hint="eastAsia" w:ascii="仿宋" w:hAnsi="仿宋" w:eastAsia="仿宋" w:cs="仿宋"/>
                <w:sz w:val="28"/>
              </w:rPr>
              <w:t>7</w:t>
            </w:r>
          </w:p>
        </w:tc>
        <w:tc>
          <w:tcPr>
            <w:tcW w:w="4269"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74" w:right="63"/>
              <w:jc w:val="center"/>
              <w:textAlignment w:val="auto"/>
              <w:rPr>
                <w:rFonts w:hint="eastAsia" w:ascii="仿宋" w:hAnsi="仿宋" w:eastAsia="仿宋" w:cs="仿宋"/>
                <w:sz w:val="28"/>
              </w:rPr>
            </w:pPr>
            <w:r>
              <w:rPr>
                <w:rFonts w:hint="eastAsia" w:ascii="仿宋" w:hAnsi="仿宋" w:eastAsia="仿宋" w:cs="仿宋"/>
                <w:sz w:val="28"/>
              </w:rPr>
              <w:t>“粤省事”日均活跃用户数</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75" w:right="63"/>
              <w:jc w:val="center"/>
              <w:textAlignment w:val="auto"/>
              <w:rPr>
                <w:rFonts w:hint="eastAsia" w:ascii="仿宋" w:hAnsi="仿宋" w:eastAsia="仿宋" w:cs="仿宋"/>
                <w:sz w:val="28"/>
              </w:rPr>
            </w:pPr>
            <w:r>
              <w:rPr>
                <w:rFonts w:hint="eastAsia" w:ascii="仿宋" w:hAnsi="仿宋" w:eastAsia="仿宋" w:cs="仿宋"/>
                <w:sz w:val="28"/>
              </w:rPr>
              <w:t>（万名）</w:t>
            </w:r>
          </w:p>
        </w:tc>
        <w:tc>
          <w:tcPr>
            <w:tcW w:w="412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108"/>
              <w:jc w:val="center"/>
              <w:textAlignment w:val="auto"/>
              <w:rPr>
                <w:rFonts w:hint="eastAsia" w:ascii="仿宋" w:hAnsi="仿宋" w:eastAsia="仿宋" w:cs="仿宋"/>
                <w:sz w:val="28"/>
              </w:rPr>
            </w:pPr>
            <w:r>
              <w:rPr>
                <w:rFonts w:hint="eastAsia" w:ascii="仿宋" w:hAnsi="仿宋" w:eastAsia="仿宋" w:cs="仿宋"/>
                <w:sz w:val="28"/>
              </w:rPr>
              <w:t>数据统计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6" w:hRule="atLeast"/>
        </w:trPr>
        <w:tc>
          <w:tcPr>
            <w:tcW w:w="704"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right="2"/>
              <w:jc w:val="center"/>
              <w:textAlignment w:val="auto"/>
              <w:rPr>
                <w:rFonts w:hint="eastAsia" w:ascii="仿宋" w:hAnsi="仿宋" w:eastAsia="仿宋" w:cs="仿宋"/>
                <w:sz w:val="28"/>
              </w:rPr>
            </w:pPr>
            <w:r>
              <w:rPr>
                <w:rFonts w:hint="eastAsia" w:ascii="仿宋" w:hAnsi="仿宋" w:eastAsia="仿宋" w:cs="仿宋"/>
                <w:sz w:val="28"/>
              </w:rPr>
              <w:t>8</w:t>
            </w:r>
          </w:p>
        </w:tc>
        <w:tc>
          <w:tcPr>
            <w:tcW w:w="4269"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74" w:right="63"/>
              <w:jc w:val="center"/>
              <w:textAlignment w:val="auto"/>
              <w:rPr>
                <w:rFonts w:hint="eastAsia" w:ascii="仿宋" w:hAnsi="仿宋" w:eastAsia="仿宋" w:cs="仿宋"/>
                <w:sz w:val="28"/>
              </w:rPr>
            </w:pPr>
            <w:r>
              <w:rPr>
                <w:rFonts w:hint="eastAsia" w:ascii="仿宋" w:hAnsi="仿宋" w:eastAsia="仿宋" w:cs="仿宋"/>
                <w:sz w:val="28"/>
              </w:rPr>
              <w:t>“粤商通”日均活跃用户数</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75" w:right="63"/>
              <w:jc w:val="center"/>
              <w:textAlignment w:val="auto"/>
              <w:rPr>
                <w:rFonts w:hint="eastAsia" w:ascii="仿宋" w:hAnsi="仿宋" w:eastAsia="仿宋" w:cs="仿宋"/>
                <w:sz w:val="28"/>
              </w:rPr>
            </w:pPr>
            <w:r>
              <w:rPr>
                <w:rFonts w:hint="eastAsia" w:ascii="仿宋" w:hAnsi="仿宋" w:eastAsia="仿宋" w:cs="仿宋"/>
                <w:sz w:val="28"/>
              </w:rPr>
              <w:t>（万名）</w:t>
            </w:r>
          </w:p>
        </w:tc>
        <w:tc>
          <w:tcPr>
            <w:tcW w:w="412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108"/>
              <w:jc w:val="center"/>
              <w:textAlignment w:val="auto"/>
              <w:rPr>
                <w:rFonts w:hint="eastAsia" w:ascii="仿宋" w:hAnsi="仿宋" w:eastAsia="仿宋" w:cs="仿宋"/>
                <w:sz w:val="28"/>
              </w:rPr>
            </w:pPr>
            <w:r>
              <w:rPr>
                <w:rFonts w:hint="eastAsia" w:ascii="仿宋" w:hAnsi="仿宋" w:eastAsia="仿宋" w:cs="仿宋"/>
                <w:sz w:val="28"/>
              </w:rPr>
              <w:t>数据统计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6" w:hRule="atLeast"/>
        </w:trPr>
        <w:tc>
          <w:tcPr>
            <w:tcW w:w="704"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right="2"/>
              <w:jc w:val="center"/>
              <w:textAlignment w:val="auto"/>
              <w:rPr>
                <w:rFonts w:hint="eastAsia" w:ascii="仿宋" w:hAnsi="仿宋" w:eastAsia="仿宋" w:cs="仿宋"/>
                <w:sz w:val="28"/>
              </w:rPr>
            </w:pPr>
            <w:r>
              <w:rPr>
                <w:rFonts w:hint="eastAsia" w:ascii="仿宋" w:hAnsi="仿宋" w:eastAsia="仿宋" w:cs="仿宋"/>
                <w:sz w:val="28"/>
              </w:rPr>
              <w:t>9</w:t>
            </w:r>
          </w:p>
        </w:tc>
        <w:tc>
          <w:tcPr>
            <w:tcW w:w="4269"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73" w:right="63"/>
              <w:jc w:val="center"/>
              <w:textAlignment w:val="auto"/>
              <w:rPr>
                <w:rFonts w:hint="eastAsia" w:ascii="仿宋" w:hAnsi="仿宋" w:eastAsia="仿宋" w:cs="仿宋"/>
                <w:sz w:val="28"/>
              </w:rPr>
            </w:pPr>
            <w:r>
              <w:rPr>
                <w:rFonts w:hint="eastAsia" w:ascii="仿宋" w:hAnsi="仿宋" w:eastAsia="仿宋" w:cs="仿宋"/>
                <w:sz w:val="28"/>
              </w:rPr>
              <w:t>“粤政易”日均活跃用户数</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75" w:right="63"/>
              <w:jc w:val="center"/>
              <w:textAlignment w:val="auto"/>
              <w:rPr>
                <w:rFonts w:hint="eastAsia" w:ascii="仿宋" w:hAnsi="仿宋" w:eastAsia="仿宋" w:cs="仿宋"/>
                <w:sz w:val="28"/>
              </w:rPr>
            </w:pPr>
            <w:r>
              <w:rPr>
                <w:rFonts w:hint="eastAsia" w:ascii="仿宋" w:hAnsi="仿宋" w:eastAsia="仿宋" w:cs="仿宋"/>
                <w:sz w:val="28"/>
              </w:rPr>
              <w:t>（万名）</w:t>
            </w:r>
          </w:p>
        </w:tc>
        <w:tc>
          <w:tcPr>
            <w:tcW w:w="412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108"/>
              <w:jc w:val="center"/>
              <w:textAlignment w:val="auto"/>
              <w:rPr>
                <w:rFonts w:hint="eastAsia" w:ascii="仿宋" w:hAnsi="仿宋" w:eastAsia="仿宋" w:cs="仿宋"/>
                <w:sz w:val="28"/>
              </w:rPr>
            </w:pPr>
            <w:r>
              <w:rPr>
                <w:rFonts w:hint="eastAsia" w:ascii="仿宋" w:hAnsi="仿宋" w:eastAsia="仿宋" w:cs="仿宋"/>
                <w:sz w:val="28"/>
              </w:rPr>
              <w:t>数据统计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5" w:hRule="atLeast"/>
        </w:trPr>
        <w:tc>
          <w:tcPr>
            <w:tcW w:w="704"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29" w:right="44"/>
              <w:jc w:val="center"/>
              <w:textAlignment w:val="auto"/>
              <w:rPr>
                <w:rFonts w:hint="eastAsia" w:ascii="仿宋" w:hAnsi="仿宋" w:eastAsia="仿宋" w:cs="仿宋"/>
                <w:sz w:val="28"/>
              </w:rPr>
            </w:pPr>
            <w:r>
              <w:rPr>
                <w:rFonts w:hint="eastAsia" w:ascii="仿宋" w:hAnsi="仿宋" w:eastAsia="仿宋" w:cs="仿宋"/>
                <w:sz w:val="28"/>
              </w:rPr>
              <w:t>10</w:t>
            </w:r>
          </w:p>
        </w:tc>
        <w:tc>
          <w:tcPr>
            <w:tcW w:w="4269"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right="107"/>
              <w:jc w:val="center"/>
              <w:textAlignment w:val="auto"/>
              <w:rPr>
                <w:rFonts w:hint="eastAsia" w:ascii="仿宋" w:hAnsi="仿宋" w:eastAsia="仿宋" w:cs="仿宋"/>
                <w:sz w:val="28"/>
              </w:rPr>
            </w:pPr>
            <w:r>
              <w:rPr>
                <w:rFonts w:hint="eastAsia" w:ascii="仿宋" w:hAnsi="仿宋" w:eastAsia="仿宋" w:cs="仿宋"/>
                <w:sz w:val="28"/>
              </w:rPr>
              <w:t>“一网统管”行业覆盖率（%）</w:t>
            </w:r>
          </w:p>
        </w:tc>
        <w:tc>
          <w:tcPr>
            <w:tcW w:w="412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108"/>
              <w:jc w:val="center"/>
              <w:textAlignment w:val="auto"/>
              <w:rPr>
                <w:rFonts w:hint="eastAsia" w:ascii="仿宋" w:hAnsi="仿宋" w:eastAsia="仿宋" w:cs="仿宋"/>
                <w:sz w:val="28"/>
              </w:rPr>
            </w:pPr>
            <w:r>
              <w:rPr>
                <w:rFonts w:hint="eastAsia" w:ascii="仿宋" w:hAnsi="仿宋" w:eastAsia="仿宋" w:cs="仿宋"/>
                <w:sz w:val="28"/>
              </w:rPr>
              <w:t>“一网统管”覆盖政府行业数/</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108"/>
              <w:jc w:val="center"/>
              <w:textAlignment w:val="auto"/>
              <w:rPr>
                <w:rFonts w:hint="eastAsia" w:ascii="仿宋" w:hAnsi="仿宋" w:eastAsia="仿宋" w:cs="仿宋"/>
                <w:sz w:val="28"/>
              </w:rPr>
            </w:pPr>
            <w:r>
              <w:rPr>
                <w:rFonts w:hint="eastAsia" w:ascii="仿宋" w:hAnsi="仿宋" w:eastAsia="仿宋" w:cs="仿宋"/>
                <w:sz w:val="28"/>
              </w:rPr>
              <w:t>政府行业总数×100%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704"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29" w:right="44"/>
              <w:jc w:val="center"/>
              <w:textAlignment w:val="auto"/>
              <w:rPr>
                <w:rFonts w:hint="eastAsia" w:ascii="仿宋" w:hAnsi="仿宋" w:eastAsia="仿宋" w:cs="仿宋"/>
                <w:sz w:val="28"/>
              </w:rPr>
            </w:pPr>
            <w:r>
              <w:rPr>
                <w:rFonts w:hint="eastAsia" w:ascii="仿宋" w:hAnsi="仿宋" w:eastAsia="仿宋" w:cs="仿宋"/>
                <w:sz w:val="28"/>
              </w:rPr>
              <w:t>11</w:t>
            </w:r>
          </w:p>
        </w:tc>
        <w:tc>
          <w:tcPr>
            <w:tcW w:w="4269"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right="107"/>
              <w:jc w:val="center"/>
              <w:textAlignment w:val="auto"/>
              <w:rPr>
                <w:rFonts w:hint="eastAsia" w:ascii="仿宋" w:hAnsi="仿宋" w:eastAsia="仿宋" w:cs="仿宋"/>
                <w:sz w:val="28"/>
              </w:rPr>
            </w:pPr>
            <w:r>
              <w:rPr>
                <w:rFonts w:hint="eastAsia" w:ascii="仿宋" w:hAnsi="仿宋" w:eastAsia="仿宋" w:cs="仿宋"/>
                <w:sz w:val="28"/>
              </w:rPr>
              <w:t>应共享的数据需求满足率（%）</w:t>
            </w:r>
          </w:p>
        </w:tc>
        <w:tc>
          <w:tcPr>
            <w:tcW w:w="412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108"/>
              <w:jc w:val="center"/>
              <w:textAlignment w:val="auto"/>
              <w:rPr>
                <w:rFonts w:hint="eastAsia" w:ascii="仿宋" w:hAnsi="仿宋" w:eastAsia="仿宋" w:cs="仿宋"/>
                <w:sz w:val="28"/>
              </w:rPr>
            </w:pPr>
            <w:r>
              <w:rPr>
                <w:rFonts w:hint="eastAsia" w:ascii="仿宋" w:hAnsi="仿宋" w:eastAsia="仿宋" w:cs="仿宋"/>
                <w:sz w:val="28"/>
              </w:rPr>
              <w:t>数据统计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6" w:hRule="atLeast"/>
        </w:trPr>
        <w:tc>
          <w:tcPr>
            <w:tcW w:w="704"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29" w:right="44"/>
              <w:jc w:val="center"/>
              <w:textAlignment w:val="auto"/>
              <w:rPr>
                <w:rFonts w:hint="eastAsia" w:ascii="仿宋" w:hAnsi="仿宋" w:eastAsia="仿宋" w:cs="仿宋"/>
                <w:sz w:val="28"/>
              </w:rPr>
            </w:pPr>
            <w:r>
              <w:rPr>
                <w:rFonts w:hint="eastAsia" w:ascii="仿宋" w:hAnsi="仿宋" w:eastAsia="仿宋" w:cs="仿宋"/>
                <w:sz w:val="28"/>
              </w:rPr>
              <w:t>12</w:t>
            </w:r>
          </w:p>
        </w:tc>
        <w:tc>
          <w:tcPr>
            <w:tcW w:w="4269"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75" w:right="61"/>
              <w:jc w:val="center"/>
              <w:textAlignment w:val="auto"/>
              <w:rPr>
                <w:rFonts w:hint="eastAsia" w:ascii="仿宋" w:hAnsi="仿宋" w:eastAsia="仿宋" w:cs="仿宋"/>
                <w:sz w:val="28"/>
              </w:rPr>
            </w:pPr>
            <w:r>
              <w:rPr>
                <w:rFonts w:hint="eastAsia" w:ascii="仿宋" w:hAnsi="仿宋" w:eastAsia="仿宋" w:cs="仿宋"/>
                <w:sz w:val="28"/>
              </w:rPr>
              <w:t>公共数据资源社会开放数据集</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72" w:right="63"/>
              <w:jc w:val="center"/>
              <w:textAlignment w:val="auto"/>
              <w:rPr>
                <w:rFonts w:hint="eastAsia" w:ascii="仿宋" w:hAnsi="仿宋" w:eastAsia="仿宋" w:cs="仿宋"/>
                <w:sz w:val="28"/>
              </w:rPr>
            </w:pPr>
            <w:r>
              <w:rPr>
                <w:rFonts w:hint="eastAsia" w:ascii="仿宋" w:hAnsi="仿宋" w:eastAsia="仿宋" w:cs="仿宋"/>
                <w:sz w:val="28"/>
              </w:rPr>
              <w:t>（个）</w:t>
            </w:r>
          </w:p>
        </w:tc>
        <w:tc>
          <w:tcPr>
            <w:tcW w:w="412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108"/>
              <w:jc w:val="center"/>
              <w:textAlignment w:val="auto"/>
              <w:rPr>
                <w:rFonts w:hint="eastAsia" w:ascii="仿宋" w:hAnsi="仿宋" w:eastAsia="仿宋" w:cs="仿宋"/>
                <w:sz w:val="28"/>
              </w:rPr>
            </w:pPr>
            <w:r>
              <w:rPr>
                <w:rFonts w:hint="eastAsia" w:ascii="仿宋" w:hAnsi="仿宋" w:eastAsia="仿宋" w:cs="仿宋"/>
                <w:sz w:val="28"/>
              </w:rPr>
              <w:t>数据统计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5" w:hRule="atLeast"/>
        </w:trPr>
        <w:tc>
          <w:tcPr>
            <w:tcW w:w="704"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rFonts w:hint="eastAsia" w:ascii="仿宋" w:hAnsi="仿宋" w:eastAsia="仿宋" w:cs="仿宋"/>
                <w:sz w:val="27"/>
              </w:rPr>
            </w:pP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29" w:leftChars="0" w:right="44" w:rightChars="0"/>
              <w:jc w:val="center"/>
              <w:textAlignment w:val="auto"/>
              <w:rPr>
                <w:rFonts w:hint="eastAsia" w:ascii="仿宋" w:hAnsi="仿宋" w:eastAsia="仿宋" w:cs="仿宋"/>
                <w:sz w:val="28"/>
                <w:szCs w:val="22"/>
                <w:lang w:val="en-US" w:eastAsia="en-US" w:bidi="ar-SA"/>
              </w:rPr>
            </w:pPr>
            <w:r>
              <w:rPr>
                <w:rFonts w:hint="eastAsia" w:ascii="仿宋" w:hAnsi="仿宋" w:eastAsia="仿宋" w:cs="仿宋"/>
                <w:sz w:val="28"/>
              </w:rPr>
              <w:t>13</w:t>
            </w:r>
          </w:p>
        </w:tc>
        <w:tc>
          <w:tcPr>
            <w:tcW w:w="4269"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75" w:right="61"/>
              <w:jc w:val="center"/>
              <w:textAlignment w:val="auto"/>
              <w:rPr>
                <w:rFonts w:hint="eastAsia" w:ascii="仿宋" w:hAnsi="仿宋" w:eastAsia="仿宋" w:cs="仿宋"/>
                <w:sz w:val="28"/>
              </w:rPr>
            </w:pPr>
            <w:r>
              <w:rPr>
                <w:rFonts w:hint="eastAsia" w:ascii="仿宋" w:hAnsi="仿宋" w:eastAsia="仿宋" w:cs="仿宋"/>
                <w:sz w:val="28"/>
              </w:rPr>
              <w:t>视频终端接入大数据中心数量</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75" w:leftChars="0" w:right="63" w:rightChars="0"/>
              <w:jc w:val="center"/>
              <w:textAlignment w:val="auto"/>
              <w:rPr>
                <w:rFonts w:hint="eastAsia" w:ascii="仿宋" w:hAnsi="仿宋" w:eastAsia="仿宋" w:cs="仿宋"/>
                <w:sz w:val="28"/>
                <w:szCs w:val="22"/>
                <w:lang w:val="en-US" w:eastAsia="en-US" w:bidi="ar-SA"/>
              </w:rPr>
            </w:pPr>
            <w:r>
              <w:rPr>
                <w:rFonts w:hint="eastAsia" w:ascii="仿宋" w:hAnsi="仿宋" w:eastAsia="仿宋" w:cs="仿宋"/>
                <w:sz w:val="28"/>
              </w:rPr>
              <w:t>（万路）</w:t>
            </w:r>
          </w:p>
        </w:tc>
        <w:tc>
          <w:tcPr>
            <w:tcW w:w="412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108" w:right="81"/>
              <w:jc w:val="center"/>
              <w:textAlignment w:val="auto"/>
              <w:rPr>
                <w:rFonts w:hint="eastAsia" w:ascii="仿宋" w:hAnsi="仿宋" w:eastAsia="仿宋" w:cs="仿宋"/>
                <w:sz w:val="28"/>
              </w:rPr>
            </w:pPr>
            <w:r>
              <w:rPr>
                <w:rFonts w:hint="eastAsia" w:ascii="仿宋" w:hAnsi="仿宋" w:eastAsia="仿宋" w:cs="仿宋"/>
                <w:sz w:val="28"/>
              </w:rPr>
              <w:t>部门确认的数据共享需求满足情况的数量/部门数据共享需求</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108" w:leftChars="0" w:right="0" w:rightChars="0"/>
              <w:jc w:val="center"/>
              <w:textAlignment w:val="auto"/>
              <w:rPr>
                <w:rFonts w:hint="eastAsia" w:ascii="仿宋" w:hAnsi="仿宋" w:eastAsia="仿宋" w:cs="仿宋"/>
                <w:sz w:val="28"/>
                <w:szCs w:val="22"/>
                <w:lang w:val="en-US" w:eastAsia="en-US" w:bidi="ar-SA"/>
              </w:rPr>
            </w:pPr>
            <w:r>
              <w:rPr>
                <w:rFonts w:hint="eastAsia" w:ascii="仿宋" w:hAnsi="仿宋" w:eastAsia="仿宋" w:cs="仿宋"/>
                <w:sz w:val="28"/>
              </w:rPr>
              <w:t>总量×100%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5" w:hRule="atLeast"/>
        </w:trPr>
        <w:tc>
          <w:tcPr>
            <w:tcW w:w="704"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29" w:leftChars="0" w:right="44" w:rightChars="0"/>
              <w:jc w:val="center"/>
              <w:textAlignment w:val="auto"/>
              <w:rPr>
                <w:rFonts w:hint="eastAsia" w:ascii="仿宋" w:hAnsi="仿宋" w:eastAsia="仿宋" w:cs="仿宋"/>
                <w:sz w:val="28"/>
                <w:szCs w:val="22"/>
                <w:lang w:val="en-US" w:eastAsia="en-US" w:bidi="ar-SA"/>
              </w:rPr>
            </w:pPr>
            <w:r>
              <w:rPr>
                <w:rFonts w:hint="eastAsia" w:ascii="仿宋" w:hAnsi="仿宋" w:eastAsia="仿宋" w:cs="仿宋"/>
                <w:sz w:val="28"/>
              </w:rPr>
              <w:t>14</w:t>
            </w:r>
          </w:p>
        </w:tc>
        <w:tc>
          <w:tcPr>
            <w:tcW w:w="4269"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75" w:right="61"/>
              <w:jc w:val="center"/>
              <w:textAlignment w:val="auto"/>
              <w:rPr>
                <w:rFonts w:hint="eastAsia" w:ascii="仿宋" w:hAnsi="仿宋" w:eastAsia="仿宋" w:cs="仿宋"/>
                <w:sz w:val="28"/>
              </w:rPr>
            </w:pPr>
            <w:r>
              <w:rPr>
                <w:rFonts w:hint="eastAsia" w:ascii="仿宋" w:hAnsi="仿宋" w:eastAsia="仿宋" w:cs="仿宋"/>
                <w:sz w:val="28"/>
              </w:rPr>
              <w:t>感知终端接入大数据中心数量</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75" w:leftChars="0" w:right="63" w:rightChars="0"/>
              <w:jc w:val="center"/>
              <w:textAlignment w:val="auto"/>
              <w:rPr>
                <w:rFonts w:hint="eastAsia" w:ascii="仿宋" w:hAnsi="仿宋" w:eastAsia="仿宋" w:cs="仿宋"/>
                <w:sz w:val="28"/>
                <w:szCs w:val="22"/>
                <w:lang w:val="en-US" w:eastAsia="en-US" w:bidi="ar-SA"/>
              </w:rPr>
            </w:pPr>
            <w:r>
              <w:rPr>
                <w:rFonts w:hint="eastAsia" w:ascii="仿宋" w:hAnsi="仿宋" w:eastAsia="仿宋" w:cs="仿宋"/>
                <w:sz w:val="28"/>
              </w:rPr>
              <w:t>（万路）</w:t>
            </w:r>
          </w:p>
        </w:tc>
        <w:tc>
          <w:tcPr>
            <w:tcW w:w="412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108" w:leftChars="0" w:right="0" w:rightChars="0"/>
              <w:jc w:val="center"/>
              <w:textAlignment w:val="auto"/>
              <w:rPr>
                <w:rFonts w:hint="eastAsia" w:ascii="仿宋" w:hAnsi="仿宋" w:eastAsia="仿宋" w:cs="仿宋"/>
                <w:sz w:val="28"/>
                <w:szCs w:val="22"/>
                <w:lang w:val="en-US" w:eastAsia="en-US" w:bidi="ar-SA"/>
              </w:rPr>
            </w:pPr>
            <w:r>
              <w:rPr>
                <w:rFonts w:hint="eastAsia" w:ascii="仿宋" w:hAnsi="仿宋" w:eastAsia="仿宋" w:cs="仿宋"/>
                <w:sz w:val="28"/>
              </w:rPr>
              <w:t>数据统计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5" w:hRule="atLeast"/>
        </w:trPr>
        <w:tc>
          <w:tcPr>
            <w:tcW w:w="704"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29" w:leftChars="0" w:right="44" w:rightChars="0"/>
              <w:jc w:val="center"/>
              <w:textAlignment w:val="auto"/>
              <w:rPr>
                <w:rFonts w:hint="eastAsia" w:ascii="仿宋" w:hAnsi="仿宋" w:eastAsia="仿宋" w:cs="仿宋"/>
                <w:sz w:val="28"/>
                <w:szCs w:val="22"/>
                <w:lang w:val="en-US" w:eastAsia="en-US" w:bidi="ar-SA"/>
              </w:rPr>
            </w:pPr>
            <w:r>
              <w:rPr>
                <w:rFonts w:hint="eastAsia" w:ascii="仿宋" w:hAnsi="仿宋" w:eastAsia="仿宋" w:cs="仿宋"/>
                <w:sz w:val="28"/>
              </w:rPr>
              <w:t>15</w:t>
            </w:r>
          </w:p>
        </w:tc>
        <w:tc>
          <w:tcPr>
            <w:tcW w:w="4269"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235" w:leftChars="0" w:right="0" w:rightChars="0"/>
              <w:jc w:val="center"/>
              <w:textAlignment w:val="auto"/>
              <w:rPr>
                <w:rFonts w:hint="eastAsia" w:ascii="仿宋" w:hAnsi="仿宋" w:eastAsia="仿宋" w:cs="仿宋"/>
                <w:sz w:val="28"/>
                <w:szCs w:val="22"/>
                <w:lang w:val="en-US" w:eastAsia="en-US" w:bidi="ar-SA"/>
              </w:rPr>
            </w:pPr>
            <w:r>
              <w:rPr>
                <w:rFonts w:hint="eastAsia" w:ascii="仿宋" w:hAnsi="仿宋" w:eastAsia="仿宋" w:cs="仿宋"/>
                <w:sz w:val="28"/>
              </w:rPr>
              <w:t>政务云资源算力规模（万核）</w:t>
            </w:r>
          </w:p>
        </w:tc>
        <w:tc>
          <w:tcPr>
            <w:tcW w:w="412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105" w:leftChars="0" w:right="0" w:rightChars="0"/>
              <w:jc w:val="center"/>
              <w:textAlignment w:val="auto"/>
              <w:rPr>
                <w:rFonts w:hint="eastAsia" w:ascii="仿宋" w:hAnsi="仿宋" w:eastAsia="仿宋" w:cs="仿宋"/>
                <w:sz w:val="28"/>
                <w:szCs w:val="22"/>
                <w:lang w:val="en-US" w:eastAsia="en-US" w:bidi="ar-SA"/>
              </w:rPr>
            </w:pPr>
            <w:r>
              <w:rPr>
                <w:rFonts w:hint="eastAsia" w:ascii="仿宋" w:hAnsi="仿宋" w:eastAsia="仿宋" w:cs="仿宋"/>
                <w:sz w:val="28"/>
              </w:rPr>
              <w:t>数据统计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5" w:hRule="atLeast"/>
        </w:trPr>
        <w:tc>
          <w:tcPr>
            <w:tcW w:w="704"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29" w:leftChars="0" w:right="44" w:rightChars="0"/>
              <w:jc w:val="center"/>
              <w:textAlignment w:val="auto"/>
              <w:rPr>
                <w:rFonts w:hint="eastAsia" w:ascii="仿宋" w:hAnsi="仿宋" w:eastAsia="仿宋" w:cs="仿宋"/>
                <w:sz w:val="28"/>
                <w:szCs w:val="22"/>
                <w:lang w:val="en-US" w:eastAsia="en-US" w:bidi="ar-SA"/>
              </w:rPr>
            </w:pPr>
            <w:r>
              <w:rPr>
                <w:rFonts w:hint="eastAsia" w:ascii="仿宋" w:hAnsi="仿宋" w:eastAsia="仿宋" w:cs="仿宋"/>
                <w:sz w:val="28"/>
              </w:rPr>
              <w:t>16</w:t>
            </w:r>
          </w:p>
        </w:tc>
        <w:tc>
          <w:tcPr>
            <w:tcW w:w="4269"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678" w:leftChars="0" w:right="0" w:rightChars="0"/>
              <w:jc w:val="center"/>
              <w:textAlignment w:val="auto"/>
              <w:rPr>
                <w:rFonts w:hint="eastAsia" w:ascii="仿宋" w:hAnsi="仿宋" w:eastAsia="仿宋" w:cs="仿宋"/>
                <w:sz w:val="28"/>
                <w:szCs w:val="22"/>
                <w:lang w:val="en-US" w:eastAsia="en-US" w:bidi="ar-SA"/>
              </w:rPr>
            </w:pPr>
            <w:r>
              <w:rPr>
                <w:rFonts w:hint="eastAsia" w:ascii="仿宋" w:hAnsi="仿宋" w:eastAsia="仿宋" w:cs="仿宋"/>
                <w:sz w:val="28"/>
              </w:rPr>
              <w:t>政务外网接入率（%）</w:t>
            </w:r>
          </w:p>
        </w:tc>
        <w:tc>
          <w:tcPr>
            <w:tcW w:w="412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108"/>
              <w:jc w:val="center"/>
              <w:textAlignment w:val="auto"/>
              <w:rPr>
                <w:rFonts w:hint="eastAsia" w:ascii="仿宋" w:hAnsi="仿宋" w:eastAsia="仿宋" w:cs="仿宋"/>
                <w:sz w:val="28"/>
              </w:rPr>
            </w:pPr>
            <w:r>
              <w:rPr>
                <w:rFonts w:hint="eastAsia" w:ascii="仿宋" w:hAnsi="仿宋" w:eastAsia="仿宋" w:cs="仿宋"/>
                <w:sz w:val="28"/>
              </w:rPr>
              <w:t>财政预算单位接入数量/财政预</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108" w:leftChars="0" w:right="0" w:rightChars="0"/>
              <w:jc w:val="center"/>
              <w:textAlignment w:val="auto"/>
              <w:rPr>
                <w:rFonts w:hint="eastAsia" w:ascii="仿宋" w:hAnsi="仿宋" w:eastAsia="仿宋" w:cs="仿宋"/>
                <w:sz w:val="28"/>
                <w:szCs w:val="22"/>
                <w:lang w:val="en-US" w:eastAsia="en-US" w:bidi="ar-SA"/>
              </w:rPr>
            </w:pPr>
            <w:r>
              <w:rPr>
                <w:rFonts w:hint="eastAsia" w:ascii="仿宋" w:hAnsi="仿宋" w:eastAsia="仿宋" w:cs="仿宋"/>
                <w:sz w:val="28"/>
              </w:rPr>
              <w:t>算单位总数×100%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5" w:hRule="atLeast"/>
        </w:trPr>
        <w:tc>
          <w:tcPr>
            <w:tcW w:w="704"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29" w:right="44"/>
              <w:jc w:val="center"/>
              <w:textAlignment w:val="auto"/>
              <w:rPr>
                <w:rFonts w:hint="eastAsia" w:ascii="仿宋" w:hAnsi="仿宋" w:eastAsia="仿宋" w:cs="仿宋"/>
                <w:sz w:val="28"/>
              </w:rPr>
            </w:pPr>
            <w:r>
              <w:rPr>
                <w:rFonts w:hint="eastAsia" w:ascii="仿宋" w:hAnsi="仿宋" w:eastAsia="仿宋" w:cs="仿宋"/>
                <w:sz w:val="28"/>
              </w:rPr>
              <w:t>17</w:t>
            </w:r>
          </w:p>
        </w:tc>
        <w:tc>
          <w:tcPr>
            <w:tcW w:w="4269"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678"/>
              <w:jc w:val="center"/>
              <w:textAlignment w:val="auto"/>
              <w:rPr>
                <w:rFonts w:hint="eastAsia" w:ascii="仿宋" w:hAnsi="仿宋" w:eastAsia="仿宋" w:cs="仿宋"/>
                <w:sz w:val="28"/>
              </w:rPr>
            </w:pPr>
            <w:r>
              <w:rPr>
                <w:rFonts w:hint="eastAsia" w:ascii="仿宋" w:hAnsi="仿宋" w:eastAsia="仿宋" w:cs="仿宋"/>
                <w:sz w:val="28"/>
              </w:rPr>
              <w:t>电子证照用证率（%）</w:t>
            </w:r>
          </w:p>
        </w:tc>
        <w:tc>
          <w:tcPr>
            <w:tcW w:w="412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108"/>
              <w:jc w:val="center"/>
              <w:textAlignment w:val="auto"/>
              <w:rPr>
                <w:rFonts w:hint="eastAsia" w:ascii="仿宋" w:hAnsi="仿宋" w:eastAsia="仿宋" w:cs="仿宋"/>
                <w:sz w:val="28"/>
              </w:rPr>
            </w:pPr>
            <w:r>
              <w:rPr>
                <w:rFonts w:hint="eastAsia" w:ascii="仿宋" w:hAnsi="仿宋" w:eastAsia="仿宋" w:cs="仿宋"/>
                <w:sz w:val="28"/>
              </w:rPr>
              <w:t>使用电子证照行政许可的事项</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108"/>
              <w:jc w:val="center"/>
              <w:textAlignment w:val="auto"/>
              <w:rPr>
                <w:rFonts w:hint="eastAsia" w:ascii="仿宋" w:hAnsi="仿宋" w:eastAsia="仿宋" w:cs="仿宋"/>
                <w:sz w:val="28"/>
              </w:rPr>
            </w:pPr>
            <w:r>
              <w:rPr>
                <w:rFonts w:hint="eastAsia" w:ascii="仿宋" w:hAnsi="仿宋" w:eastAsia="仿宋" w:cs="仿宋"/>
                <w:sz w:val="28"/>
              </w:rPr>
              <w:t>数/行政许可事项数×100%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6" w:hRule="atLeast"/>
        </w:trPr>
        <w:tc>
          <w:tcPr>
            <w:tcW w:w="704"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29" w:right="44"/>
              <w:jc w:val="center"/>
              <w:textAlignment w:val="auto"/>
              <w:rPr>
                <w:rFonts w:hint="eastAsia" w:ascii="仿宋" w:hAnsi="仿宋" w:eastAsia="仿宋" w:cs="仿宋"/>
                <w:sz w:val="28"/>
              </w:rPr>
            </w:pPr>
            <w:r>
              <w:rPr>
                <w:rFonts w:hint="eastAsia" w:ascii="仿宋" w:hAnsi="仿宋" w:eastAsia="仿宋" w:cs="仿宋"/>
                <w:sz w:val="28"/>
              </w:rPr>
              <w:t>18</w:t>
            </w:r>
          </w:p>
        </w:tc>
        <w:tc>
          <w:tcPr>
            <w:tcW w:w="4269"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117"/>
              <w:jc w:val="center"/>
              <w:textAlignment w:val="auto"/>
              <w:rPr>
                <w:rFonts w:hint="eastAsia" w:ascii="仿宋" w:hAnsi="仿宋" w:eastAsia="仿宋" w:cs="仿宋"/>
                <w:sz w:val="28"/>
              </w:rPr>
            </w:pPr>
            <w:r>
              <w:rPr>
                <w:rFonts w:hint="eastAsia" w:ascii="仿宋" w:hAnsi="仿宋" w:eastAsia="仿宋" w:cs="仿宋"/>
                <w:sz w:val="28"/>
              </w:rPr>
              <w:t>政府部门电子印章覆盖率（%）</w:t>
            </w:r>
          </w:p>
        </w:tc>
        <w:tc>
          <w:tcPr>
            <w:tcW w:w="412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108"/>
              <w:jc w:val="center"/>
              <w:textAlignment w:val="auto"/>
              <w:rPr>
                <w:rFonts w:hint="eastAsia" w:ascii="仿宋" w:hAnsi="仿宋" w:eastAsia="仿宋" w:cs="仿宋"/>
                <w:sz w:val="28"/>
              </w:rPr>
            </w:pPr>
            <w:r>
              <w:rPr>
                <w:rFonts w:hint="eastAsia" w:ascii="仿宋" w:hAnsi="仿宋" w:eastAsia="仿宋" w:cs="仿宋"/>
                <w:sz w:val="28"/>
              </w:rPr>
              <w:t>已制发电子印章的部门数/部门</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108"/>
              <w:jc w:val="center"/>
              <w:textAlignment w:val="auto"/>
              <w:rPr>
                <w:rFonts w:hint="eastAsia" w:ascii="仿宋" w:hAnsi="仿宋" w:eastAsia="仿宋" w:cs="仿宋"/>
                <w:sz w:val="28"/>
              </w:rPr>
            </w:pPr>
            <w:r>
              <w:rPr>
                <w:rFonts w:hint="eastAsia" w:ascii="仿宋" w:hAnsi="仿宋" w:eastAsia="仿宋" w:cs="仿宋"/>
                <w:sz w:val="28"/>
              </w:rPr>
              <w:t>总数×100%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704"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29" w:right="44"/>
              <w:jc w:val="center"/>
              <w:textAlignment w:val="auto"/>
              <w:rPr>
                <w:rFonts w:hint="eastAsia" w:ascii="仿宋" w:hAnsi="仿宋" w:eastAsia="仿宋" w:cs="仿宋"/>
                <w:sz w:val="28"/>
              </w:rPr>
            </w:pPr>
            <w:r>
              <w:rPr>
                <w:rFonts w:hint="eastAsia" w:ascii="仿宋" w:hAnsi="仿宋" w:eastAsia="仿宋" w:cs="仿宋"/>
                <w:sz w:val="28"/>
              </w:rPr>
              <w:t>19</w:t>
            </w:r>
          </w:p>
        </w:tc>
        <w:tc>
          <w:tcPr>
            <w:tcW w:w="4269"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5"/>
              <w:jc w:val="center"/>
              <w:textAlignment w:val="auto"/>
              <w:rPr>
                <w:rFonts w:hint="eastAsia" w:ascii="仿宋" w:hAnsi="仿宋" w:eastAsia="仿宋" w:cs="仿宋"/>
                <w:sz w:val="28"/>
                <w:lang w:eastAsia="zh-CN"/>
              </w:rPr>
            </w:pPr>
            <w:r>
              <w:rPr>
                <w:rFonts w:hint="eastAsia" w:ascii="仿宋" w:hAnsi="仿宋" w:eastAsia="仿宋" w:cs="仿宋"/>
                <w:sz w:val="28"/>
              </w:rPr>
              <w:t>“粤政图”平台地图产品数（个</w:t>
            </w:r>
            <w:r>
              <w:rPr>
                <w:rFonts w:hint="eastAsia" w:ascii="仿宋" w:hAnsi="仿宋" w:eastAsia="仿宋" w:cs="仿宋"/>
                <w:sz w:val="28"/>
                <w:lang w:eastAsia="zh-CN"/>
              </w:rPr>
              <w:t>）</w:t>
            </w:r>
          </w:p>
        </w:tc>
        <w:tc>
          <w:tcPr>
            <w:tcW w:w="412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183"/>
              <w:jc w:val="center"/>
              <w:textAlignment w:val="auto"/>
              <w:rPr>
                <w:rFonts w:hint="eastAsia" w:ascii="仿宋" w:hAnsi="仿宋" w:eastAsia="仿宋" w:cs="仿宋"/>
                <w:sz w:val="28"/>
              </w:rPr>
            </w:pPr>
            <w:r>
              <w:rPr>
                <w:rFonts w:hint="eastAsia" w:ascii="仿宋" w:hAnsi="仿宋" w:eastAsia="仿宋" w:cs="仿宋"/>
                <w:sz w:val="28"/>
              </w:rPr>
              <w:t>数据统计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5" w:hRule="atLeast"/>
        </w:trPr>
        <w:tc>
          <w:tcPr>
            <w:tcW w:w="704"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29" w:right="44"/>
              <w:jc w:val="center"/>
              <w:textAlignment w:val="auto"/>
              <w:rPr>
                <w:rFonts w:hint="eastAsia" w:ascii="仿宋" w:hAnsi="仿宋" w:eastAsia="仿宋" w:cs="仿宋"/>
                <w:sz w:val="28"/>
              </w:rPr>
            </w:pPr>
            <w:r>
              <w:rPr>
                <w:rFonts w:hint="eastAsia" w:ascii="仿宋" w:hAnsi="仿宋" w:eastAsia="仿宋" w:cs="仿宋"/>
                <w:sz w:val="28"/>
              </w:rPr>
              <w:t>20</w:t>
            </w:r>
          </w:p>
        </w:tc>
        <w:tc>
          <w:tcPr>
            <w:tcW w:w="4269"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75" w:right="61"/>
              <w:jc w:val="center"/>
              <w:textAlignment w:val="auto"/>
              <w:rPr>
                <w:rFonts w:hint="eastAsia" w:ascii="仿宋" w:hAnsi="仿宋" w:eastAsia="仿宋" w:cs="仿宋"/>
                <w:sz w:val="28"/>
              </w:rPr>
            </w:pPr>
            <w:r>
              <w:rPr>
                <w:rFonts w:hint="eastAsia" w:ascii="仿宋" w:hAnsi="仿宋" w:eastAsia="仿宋" w:cs="仿宋"/>
                <w:sz w:val="28"/>
              </w:rPr>
              <w:t>一体化政务服务平台可网办事项</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71" w:right="63"/>
              <w:jc w:val="center"/>
              <w:textAlignment w:val="auto"/>
              <w:rPr>
                <w:rFonts w:hint="eastAsia" w:ascii="仿宋" w:hAnsi="仿宋" w:eastAsia="仿宋" w:cs="仿宋"/>
                <w:sz w:val="28"/>
              </w:rPr>
            </w:pPr>
            <w:r>
              <w:rPr>
                <w:rFonts w:hint="eastAsia" w:ascii="仿宋" w:hAnsi="仿宋" w:eastAsia="仿宋" w:cs="仿宋"/>
                <w:sz w:val="28"/>
              </w:rPr>
              <w:t>单点登录率（%）</w:t>
            </w:r>
          </w:p>
        </w:tc>
        <w:tc>
          <w:tcPr>
            <w:tcW w:w="412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108"/>
              <w:jc w:val="center"/>
              <w:textAlignment w:val="auto"/>
              <w:rPr>
                <w:rFonts w:hint="eastAsia" w:ascii="仿宋" w:hAnsi="仿宋" w:eastAsia="仿宋" w:cs="仿宋"/>
                <w:sz w:val="28"/>
              </w:rPr>
            </w:pPr>
            <w:r>
              <w:rPr>
                <w:rFonts w:hint="eastAsia" w:ascii="仿宋" w:hAnsi="仿宋" w:eastAsia="仿宋" w:cs="仿宋"/>
                <w:sz w:val="28"/>
              </w:rPr>
              <w:t>一体化政务服务平台可单点登</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108"/>
              <w:jc w:val="center"/>
              <w:textAlignment w:val="auto"/>
              <w:rPr>
                <w:rFonts w:hint="eastAsia" w:ascii="仿宋" w:hAnsi="仿宋" w:eastAsia="仿宋" w:cs="仿宋"/>
                <w:sz w:val="28"/>
              </w:rPr>
            </w:pPr>
            <w:r>
              <w:rPr>
                <w:rFonts w:hint="eastAsia" w:ascii="仿宋" w:hAnsi="仿宋" w:eastAsia="仿宋" w:cs="仿宋"/>
                <w:sz w:val="28"/>
              </w:rPr>
              <w:t>录的事项数/事项总数×100%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5" w:hRule="atLeast"/>
        </w:trPr>
        <w:tc>
          <w:tcPr>
            <w:tcW w:w="704"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29" w:right="44"/>
              <w:jc w:val="center"/>
              <w:textAlignment w:val="auto"/>
              <w:rPr>
                <w:rFonts w:hint="eastAsia" w:ascii="仿宋" w:hAnsi="仿宋" w:eastAsia="仿宋" w:cs="仿宋"/>
                <w:sz w:val="28"/>
              </w:rPr>
            </w:pPr>
            <w:r>
              <w:rPr>
                <w:rFonts w:hint="eastAsia" w:ascii="仿宋" w:hAnsi="仿宋" w:eastAsia="仿宋" w:cs="仿宋"/>
                <w:sz w:val="28"/>
              </w:rPr>
              <w:t>21</w:t>
            </w:r>
          </w:p>
        </w:tc>
        <w:tc>
          <w:tcPr>
            <w:tcW w:w="4269"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95"/>
              <w:jc w:val="center"/>
              <w:textAlignment w:val="auto"/>
              <w:rPr>
                <w:rFonts w:hint="eastAsia" w:ascii="仿宋" w:hAnsi="仿宋" w:eastAsia="仿宋" w:cs="仿宋"/>
                <w:sz w:val="28"/>
              </w:rPr>
            </w:pPr>
            <w:r>
              <w:rPr>
                <w:rFonts w:hint="eastAsia" w:ascii="仿宋" w:hAnsi="仿宋" w:eastAsia="仿宋" w:cs="仿宋"/>
                <w:sz w:val="28"/>
              </w:rPr>
              <w:t>参与和主导制定数字政府相关国</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95"/>
              <w:jc w:val="center"/>
              <w:textAlignment w:val="auto"/>
              <w:rPr>
                <w:rFonts w:hint="eastAsia" w:ascii="仿宋" w:hAnsi="仿宋" w:eastAsia="仿宋" w:cs="仿宋"/>
                <w:sz w:val="28"/>
              </w:rPr>
            </w:pPr>
            <w:r>
              <w:rPr>
                <w:rFonts w:hint="eastAsia" w:ascii="仿宋" w:hAnsi="仿宋" w:eastAsia="仿宋" w:cs="仿宋"/>
                <w:sz w:val="28"/>
              </w:rPr>
              <w:t>家、行业、地方标准数量（项）</w:t>
            </w:r>
          </w:p>
        </w:tc>
        <w:tc>
          <w:tcPr>
            <w:tcW w:w="412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108"/>
              <w:jc w:val="center"/>
              <w:textAlignment w:val="auto"/>
              <w:rPr>
                <w:rFonts w:hint="eastAsia" w:ascii="仿宋" w:hAnsi="仿宋" w:eastAsia="仿宋" w:cs="仿宋"/>
                <w:sz w:val="28"/>
              </w:rPr>
            </w:pPr>
            <w:r>
              <w:rPr>
                <w:rFonts w:hint="eastAsia" w:ascii="仿宋" w:hAnsi="仿宋" w:eastAsia="仿宋" w:cs="仿宋"/>
                <w:sz w:val="28"/>
              </w:rPr>
              <w:t>数据统计</w:t>
            </w:r>
          </w:p>
        </w:tc>
      </w:tr>
    </w:tbl>
    <w:p>
      <w:pPr>
        <w:numPr>
          <w:ilvl w:val="0"/>
          <w:numId w:val="0"/>
        </w:numPr>
        <w:jc w:val="left"/>
        <w:rPr>
          <w:rFonts w:hint="eastAsia" w:ascii="仿宋" w:hAnsi="仿宋" w:eastAsia="仿宋" w:cs="仿宋"/>
          <w:sz w:val="32"/>
          <w:szCs w:val="32"/>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方正楷体_GBK">
    <w:altName w:val="微软雅黑"/>
    <w:panose1 w:val="02000000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_GBK">
    <w:altName w:val="微软雅黑"/>
    <w:panose1 w:val="03000502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微软雅黑 Light">
    <w:altName w:val="黑体"/>
    <w:panose1 w:val="00000000000000000000"/>
    <w:charset w:val="86"/>
    <w:family w:val="auto"/>
    <w:pitch w:val="default"/>
    <w:sig w:usb0="00000000" w:usb1="00000000" w:usb2="00000016" w:usb3="00000000" w:csb0="0004001F" w:csb1="00000000"/>
  </w:font>
  <w:font w:name="长城小标宋体">
    <w:altName w:val="宋体"/>
    <w:panose1 w:val="02010609010101010101"/>
    <w:charset w:val="00"/>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方正舒体">
    <w:altName w:val="宋体"/>
    <w:panose1 w:val="0201060103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等线">
    <w:altName w:val="宋体"/>
    <w:panose1 w:val="02010600030101010101"/>
    <w:charset w:val="88"/>
    <w:family w:val="auto"/>
    <w:pitch w:val="default"/>
    <w:sig w:usb0="00000000" w:usb1="00000000" w:usb2="00000016" w:usb3="00000000" w:csb0="0004000F"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0A8CF"/>
    <w:multiLevelType w:val="singleLevel"/>
    <w:tmpl w:val="6180A8CF"/>
    <w:lvl w:ilvl="0" w:tentative="0">
      <w:start w:val="1"/>
      <w:numFmt w:val="chineseCounting"/>
      <w:suff w:val="space"/>
      <w:lvlText w:val="第%1节"/>
      <w:lvlJc w:val="left"/>
    </w:lvl>
  </w:abstractNum>
  <w:abstractNum w:abstractNumId="1">
    <w:nsid w:val="6180AA14"/>
    <w:multiLevelType w:val="singleLevel"/>
    <w:tmpl w:val="6180AA14"/>
    <w:lvl w:ilvl="0" w:tentative="0">
      <w:start w:val="2"/>
      <w:numFmt w:val="chineseCounting"/>
      <w:suff w:val="space"/>
      <w:lvlText w:val="第%1节"/>
      <w:lvlJc w:val="left"/>
    </w:lvl>
  </w:abstractNum>
  <w:abstractNum w:abstractNumId="2">
    <w:nsid w:val="6180AA72"/>
    <w:multiLevelType w:val="singleLevel"/>
    <w:tmpl w:val="6180AA72"/>
    <w:lvl w:ilvl="0" w:tentative="0">
      <w:start w:val="2"/>
      <w:numFmt w:val="chineseCounting"/>
      <w:suff w:val="space"/>
      <w:lvlText w:val="第%1章"/>
      <w:lvlJc w:val="left"/>
    </w:lvl>
  </w:abstractNum>
  <w:abstractNum w:abstractNumId="3">
    <w:nsid w:val="618A33C0"/>
    <w:multiLevelType w:val="singleLevel"/>
    <w:tmpl w:val="618A33C0"/>
    <w:lvl w:ilvl="0" w:tentative="0">
      <w:start w:val="1"/>
      <w:numFmt w:val="chineseCounting"/>
      <w:suff w:val="space"/>
      <w:lvlText w:val="第%1节"/>
      <w:lvlJc w:val="left"/>
    </w:lvl>
  </w:abstractNum>
  <w:abstractNum w:abstractNumId="4">
    <w:nsid w:val="61947B1D"/>
    <w:multiLevelType w:val="singleLevel"/>
    <w:tmpl w:val="61947B1D"/>
    <w:lvl w:ilvl="0" w:tentative="0">
      <w:start w:val="2"/>
      <w:numFmt w:val="chineseCounting"/>
      <w:suff w:val="nothing"/>
      <w:lvlText w:val="（%1）"/>
      <w:lvlJc w:val="left"/>
    </w:lvl>
  </w:abstractNum>
  <w:abstractNum w:abstractNumId="5">
    <w:nsid w:val="619B1207"/>
    <w:multiLevelType w:val="singleLevel"/>
    <w:tmpl w:val="619B1207"/>
    <w:lvl w:ilvl="0" w:tentative="0">
      <w:start w:val="1"/>
      <w:numFmt w:val="chineseCounting"/>
      <w:suff w:val="nothing"/>
      <w:lvlText w:val="%1、"/>
      <w:lvlJc w:val="left"/>
    </w:lvl>
  </w:abstractNum>
  <w:abstractNum w:abstractNumId="6">
    <w:nsid w:val="619B4FEF"/>
    <w:multiLevelType w:val="singleLevel"/>
    <w:tmpl w:val="619B4FEF"/>
    <w:lvl w:ilvl="0" w:tentative="0">
      <w:start w:val="4"/>
      <w:numFmt w:val="chineseCounting"/>
      <w:suff w:val="nothing"/>
      <w:lvlText w:val="%1、"/>
      <w:lvlJc w:val="left"/>
    </w:lvl>
  </w:abstractNum>
  <w:abstractNum w:abstractNumId="7">
    <w:nsid w:val="619B5DEF"/>
    <w:multiLevelType w:val="singleLevel"/>
    <w:tmpl w:val="619B5DEF"/>
    <w:lvl w:ilvl="0" w:tentative="0">
      <w:start w:val="2"/>
      <w:numFmt w:val="chineseCounting"/>
      <w:suff w:val="nothing"/>
      <w:lvlText w:val="（%1）"/>
      <w:lvlJc w:val="left"/>
    </w:lvl>
  </w:abstractNum>
  <w:abstractNum w:abstractNumId="8">
    <w:nsid w:val="619CAC74"/>
    <w:multiLevelType w:val="singleLevel"/>
    <w:tmpl w:val="619CAC74"/>
    <w:lvl w:ilvl="0" w:tentative="0">
      <w:start w:val="5"/>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43272"/>
    <w:rsid w:val="00427744"/>
    <w:rsid w:val="00CC70B1"/>
    <w:rsid w:val="00DC0D6D"/>
    <w:rsid w:val="012F0D04"/>
    <w:rsid w:val="01E9635D"/>
    <w:rsid w:val="02A366F2"/>
    <w:rsid w:val="043F0A01"/>
    <w:rsid w:val="05430EA4"/>
    <w:rsid w:val="06AA749B"/>
    <w:rsid w:val="07862274"/>
    <w:rsid w:val="07D846A6"/>
    <w:rsid w:val="08126EBF"/>
    <w:rsid w:val="08350F37"/>
    <w:rsid w:val="08656958"/>
    <w:rsid w:val="087C6E0E"/>
    <w:rsid w:val="097D1C7B"/>
    <w:rsid w:val="0AA557D8"/>
    <w:rsid w:val="0C28362B"/>
    <w:rsid w:val="0CB47F81"/>
    <w:rsid w:val="0EC134B9"/>
    <w:rsid w:val="0ED02F06"/>
    <w:rsid w:val="0F145A85"/>
    <w:rsid w:val="0FB40686"/>
    <w:rsid w:val="10196A40"/>
    <w:rsid w:val="104C6526"/>
    <w:rsid w:val="10CD65CE"/>
    <w:rsid w:val="111043D9"/>
    <w:rsid w:val="120D1BED"/>
    <w:rsid w:val="122E3B1C"/>
    <w:rsid w:val="127D3BC3"/>
    <w:rsid w:val="12885B4F"/>
    <w:rsid w:val="12C0726D"/>
    <w:rsid w:val="12DC44FF"/>
    <w:rsid w:val="12E26EE8"/>
    <w:rsid w:val="144537C6"/>
    <w:rsid w:val="14762F32"/>
    <w:rsid w:val="14E87201"/>
    <w:rsid w:val="14F252A3"/>
    <w:rsid w:val="1542237C"/>
    <w:rsid w:val="17051F4E"/>
    <w:rsid w:val="172674E9"/>
    <w:rsid w:val="189220CF"/>
    <w:rsid w:val="18C1572F"/>
    <w:rsid w:val="194E70A5"/>
    <w:rsid w:val="196F1ACD"/>
    <w:rsid w:val="19F47DD3"/>
    <w:rsid w:val="1AD131DA"/>
    <w:rsid w:val="1B714A9A"/>
    <w:rsid w:val="1C173BF5"/>
    <w:rsid w:val="1D4251BF"/>
    <w:rsid w:val="1D98483C"/>
    <w:rsid w:val="1DF909C4"/>
    <w:rsid w:val="1F2C1E10"/>
    <w:rsid w:val="21C00E7A"/>
    <w:rsid w:val="222C43E3"/>
    <w:rsid w:val="228E5321"/>
    <w:rsid w:val="22F14F18"/>
    <w:rsid w:val="2312552A"/>
    <w:rsid w:val="2316112F"/>
    <w:rsid w:val="240E46F2"/>
    <w:rsid w:val="241215C6"/>
    <w:rsid w:val="247C6DB2"/>
    <w:rsid w:val="257F29C4"/>
    <w:rsid w:val="263A6CF0"/>
    <w:rsid w:val="265C10B8"/>
    <w:rsid w:val="268106A9"/>
    <w:rsid w:val="26F27493"/>
    <w:rsid w:val="276A2794"/>
    <w:rsid w:val="282815C3"/>
    <w:rsid w:val="285C6E34"/>
    <w:rsid w:val="286B4F41"/>
    <w:rsid w:val="28973D03"/>
    <w:rsid w:val="2A8F3490"/>
    <w:rsid w:val="2AE309A7"/>
    <w:rsid w:val="2BA961B2"/>
    <w:rsid w:val="2BC348AF"/>
    <w:rsid w:val="2C1A6C9D"/>
    <w:rsid w:val="2C5A6464"/>
    <w:rsid w:val="2CA2070A"/>
    <w:rsid w:val="2D0524DB"/>
    <w:rsid w:val="2D2320F6"/>
    <w:rsid w:val="2E4206F8"/>
    <w:rsid w:val="2E7F3032"/>
    <w:rsid w:val="2F1353F2"/>
    <w:rsid w:val="2F73036A"/>
    <w:rsid w:val="301017CD"/>
    <w:rsid w:val="302F23A4"/>
    <w:rsid w:val="314035D9"/>
    <w:rsid w:val="31CF3632"/>
    <w:rsid w:val="328663AC"/>
    <w:rsid w:val="354D42F9"/>
    <w:rsid w:val="35A84882"/>
    <w:rsid w:val="35B626CF"/>
    <w:rsid w:val="361365B4"/>
    <w:rsid w:val="36D507D0"/>
    <w:rsid w:val="380653D7"/>
    <w:rsid w:val="381E367F"/>
    <w:rsid w:val="383854B1"/>
    <w:rsid w:val="38957F12"/>
    <w:rsid w:val="39617ECA"/>
    <w:rsid w:val="39E13DD2"/>
    <w:rsid w:val="3A207335"/>
    <w:rsid w:val="3A492450"/>
    <w:rsid w:val="3B0B7881"/>
    <w:rsid w:val="3BA3257C"/>
    <w:rsid w:val="3D024E24"/>
    <w:rsid w:val="3D52441F"/>
    <w:rsid w:val="3DBF7794"/>
    <w:rsid w:val="3E4920E8"/>
    <w:rsid w:val="3E6E3FF0"/>
    <w:rsid w:val="3EAD319B"/>
    <w:rsid w:val="3F877D1D"/>
    <w:rsid w:val="3FDE0B84"/>
    <w:rsid w:val="3FED5CBB"/>
    <w:rsid w:val="400E48BB"/>
    <w:rsid w:val="40104F5F"/>
    <w:rsid w:val="402359AE"/>
    <w:rsid w:val="40AE204D"/>
    <w:rsid w:val="40BA5729"/>
    <w:rsid w:val="40C0502D"/>
    <w:rsid w:val="40C92382"/>
    <w:rsid w:val="41077AA6"/>
    <w:rsid w:val="41084968"/>
    <w:rsid w:val="440F1787"/>
    <w:rsid w:val="441B0435"/>
    <w:rsid w:val="446B2984"/>
    <w:rsid w:val="45766A47"/>
    <w:rsid w:val="45BC5CFD"/>
    <w:rsid w:val="478C4B78"/>
    <w:rsid w:val="48DA5D1A"/>
    <w:rsid w:val="4A271A27"/>
    <w:rsid w:val="4A3D04E7"/>
    <w:rsid w:val="4ABA3D81"/>
    <w:rsid w:val="4B393F71"/>
    <w:rsid w:val="4B730FA0"/>
    <w:rsid w:val="4BE438F0"/>
    <w:rsid w:val="4CB84345"/>
    <w:rsid w:val="4E8F7FD3"/>
    <w:rsid w:val="4EA970D8"/>
    <w:rsid w:val="4ED63C51"/>
    <w:rsid w:val="4EFC430A"/>
    <w:rsid w:val="4FA314CE"/>
    <w:rsid w:val="4FA90F02"/>
    <w:rsid w:val="4FC0050A"/>
    <w:rsid w:val="4FF75A3F"/>
    <w:rsid w:val="50300A25"/>
    <w:rsid w:val="510226EB"/>
    <w:rsid w:val="51141C52"/>
    <w:rsid w:val="519E7A40"/>
    <w:rsid w:val="51B71B31"/>
    <w:rsid w:val="52BB0589"/>
    <w:rsid w:val="54236DF9"/>
    <w:rsid w:val="542E5E64"/>
    <w:rsid w:val="54D1115F"/>
    <w:rsid w:val="551538B1"/>
    <w:rsid w:val="5555376E"/>
    <w:rsid w:val="557C652A"/>
    <w:rsid w:val="55842006"/>
    <w:rsid w:val="55AF6EB3"/>
    <w:rsid w:val="55B52703"/>
    <w:rsid w:val="56485128"/>
    <w:rsid w:val="56AD36E8"/>
    <w:rsid w:val="56B7387F"/>
    <w:rsid w:val="56EE5810"/>
    <w:rsid w:val="57AD492E"/>
    <w:rsid w:val="58840B7B"/>
    <w:rsid w:val="596F6936"/>
    <w:rsid w:val="5AB8509E"/>
    <w:rsid w:val="5B776444"/>
    <w:rsid w:val="5C317922"/>
    <w:rsid w:val="5C33406A"/>
    <w:rsid w:val="5CC47CF7"/>
    <w:rsid w:val="5CE261DA"/>
    <w:rsid w:val="5E1B3365"/>
    <w:rsid w:val="5E2F072C"/>
    <w:rsid w:val="5E7B28EF"/>
    <w:rsid w:val="5F78212C"/>
    <w:rsid w:val="5F894E7E"/>
    <w:rsid w:val="5FC06C49"/>
    <w:rsid w:val="5FC208CD"/>
    <w:rsid w:val="5FF43DB3"/>
    <w:rsid w:val="60171B07"/>
    <w:rsid w:val="6104639C"/>
    <w:rsid w:val="610D1A41"/>
    <w:rsid w:val="61EC3BC5"/>
    <w:rsid w:val="62AD3BB8"/>
    <w:rsid w:val="63A65136"/>
    <w:rsid w:val="640C1A09"/>
    <w:rsid w:val="64B33599"/>
    <w:rsid w:val="66195770"/>
    <w:rsid w:val="66C50703"/>
    <w:rsid w:val="670D76BF"/>
    <w:rsid w:val="673D6CAC"/>
    <w:rsid w:val="674377B2"/>
    <w:rsid w:val="675D19FE"/>
    <w:rsid w:val="68D979B8"/>
    <w:rsid w:val="693243CE"/>
    <w:rsid w:val="69C7001D"/>
    <w:rsid w:val="6AA157D8"/>
    <w:rsid w:val="6BF2638B"/>
    <w:rsid w:val="6BFA6D73"/>
    <w:rsid w:val="6C170983"/>
    <w:rsid w:val="6CBC31A9"/>
    <w:rsid w:val="6D9270EE"/>
    <w:rsid w:val="6DA57FF6"/>
    <w:rsid w:val="6DF96B06"/>
    <w:rsid w:val="6E3D40F1"/>
    <w:rsid w:val="6EF37B15"/>
    <w:rsid w:val="6F1F1BDA"/>
    <w:rsid w:val="7011701F"/>
    <w:rsid w:val="70125291"/>
    <w:rsid w:val="703775C0"/>
    <w:rsid w:val="70842EBC"/>
    <w:rsid w:val="70934616"/>
    <w:rsid w:val="70A5729F"/>
    <w:rsid w:val="70CF25B5"/>
    <w:rsid w:val="71EE20E4"/>
    <w:rsid w:val="72181763"/>
    <w:rsid w:val="72E81605"/>
    <w:rsid w:val="735E47E4"/>
    <w:rsid w:val="7441737D"/>
    <w:rsid w:val="74496CED"/>
    <w:rsid w:val="755A4E54"/>
    <w:rsid w:val="767B2CE4"/>
    <w:rsid w:val="771C10ED"/>
    <w:rsid w:val="77A72E3F"/>
    <w:rsid w:val="7841385E"/>
    <w:rsid w:val="7843011F"/>
    <w:rsid w:val="78DB2644"/>
    <w:rsid w:val="798D182E"/>
    <w:rsid w:val="7A3B36AD"/>
    <w:rsid w:val="7A885136"/>
    <w:rsid w:val="7B3A76BC"/>
    <w:rsid w:val="7DDE7994"/>
    <w:rsid w:val="7EF62844"/>
    <w:rsid w:val="7FDA6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iPriority w:val="0"/>
  </w:style>
  <w:style w:type="paragraph" w:styleId="6">
    <w:name w:val="toc 2"/>
    <w:basedOn w:val="1"/>
    <w:next w:val="1"/>
    <w:uiPriority w:val="0"/>
    <w:pPr>
      <w:ind w:left="420" w:left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Table Paragraph"/>
    <w:basedOn w:val="1"/>
    <w:qFormat/>
    <w:uiPriority w:val="1"/>
    <w:pPr>
      <w:spacing w:before="105"/>
      <w:jc w:val="center"/>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2021-11-25T03:42:06Z</cp:lastPrinted>
  <dcterms:modified xsi:type="dcterms:W3CDTF">2021-11-25T03:44:05Z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