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  <w:rPr>
          <w:rFonts w:ascii="微软雅黑" w:eastAsia="微软雅黑"/>
          <w:b/>
          <w:sz w:val="36"/>
          <w:szCs w:val="36"/>
          <w:lang w:val="en-US"/>
        </w:rPr>
      </w:pPr>
      <w:r>
        <w:rPr>
          <w:rFonts w:ascii="微软雅黑" w:eastAsia="微软雅黑"/>
          <w:b/>
          <w:sz w:val="36"/>
          <w:szCs w:val="36"/>
          <w:lang w:val="en-US"/>
        </w:rPr>
        <w:t>2021 年广东省促进中小企业</w:t>
      </w:r>
      <w:r>
        <w:rPr>
          <w:rFonts w:hint="eastAsia" w:ascii="微软雅黑" w:eastAsia="微软雅黑"/>
          <w:b/>
          <w:sz w:val="36"/>
          <w:szCs w:val="36"/>
          <w:lang w:val="en-US"/>
        </w:rPr>
        <w:t>发展（汕头站）</w:t>
      </w:r>
    </w:p>
    <w:p>
      <w:pPr>
        <w:spacing w:before="120" w:beforeLines="50" w:after="120" w:afterLines="50"/>
        <w:ind w:left="-440" w:leftChars="-200" w:right="-440" w:rightChars="-200"/>
        <w:jc w:val="center"/>
        <w:rPr>
          <w:rFonts w:ascii="微软雅黑" w:eastAsia="微软雅黑"/>
          <w:b/>
          <w:sz w:val="36"/>
          <w:szCs w:val="36"/>
        </w:rPr>
      </w:pPr>
      <w:r>
        <w:rPr>
          <w:rFonts w:hint="eastAsia" w:ascii="微软雅黑" w:eastAsia="微软雅黑"/>
          <w:b/>
          <w:sz w:val="36"/>
          <w:szCs w:val="36"/>
          <w:lang w:val="en-US"/>
        </w:rPr>
        <w:t>暨“企业上市”与</w:t>
      </w:r>
      <w:r>
        <w:rPr>
          <w:rFonts w:hint="eastAsia" w:ascii="微软雅黑" w:eastAsia="微软雅黑"/>
          <w:b/>
          <w:sz w:val="36"/>
          <w:szCs w:val="36"/>
        </w:rPr>
        <w:t>“</w:t>
      </w:r>
      <w:r>
        <w:rPr>
          <w:rFonts w:hint="eastAsia" w:ascii="微软雅黑" w:eastAsia="微软雅黑"/>
          <w:b/>
          <w:sz w:val="36"/>
          <w:szCs w:val="36"/>
          <w:lang w:val="en-US"/>
        </w:rPr>
        <w:t>专精特新</w:t>
      </w:r>
      <w:r>
        <w:rPr>
          <w:rFonts w:hint="eastAsia" w:ascii="微软雅黑" w:eastAsia="微软雅黑"/>
          <w:b/>
          <w:sz w:val="36"/>
          <w:szCs w:val="36"/>
        </w:rPr>
        <w:t>”</w:t>
      </w:r>
      <w:r>
        <w:rPr>
          <w:rFonts w:hint="eastAsia" w:ascii="微软雅黑" w:eastAsia="微软雅黑"/>
          <w:b/>
          <w:sz w:val="36"/>
          <w:szCs w:val="36"/>
          <w:lang w:eastAsia="zh-CN"/>
        </w:rPr>
        <w:t>产融合作</w:t>
      </w:r>
      <w:r>
        <w:rPr>
          <w:rFonts w:hint="eastAsia" w:ascii="微软雅黑" w:eastAsia="微软雅黑"/>
          <w:b/>
          <w:sz w:val="36"/>
          <w:szCs w:val="36"/>
          <w:lang w:val="en-US"/>
        </w:rPr>
        <w:t>专题服务</w:t>
      </w:r>
      <w:r>
        <w:rPr>
          <w:rFonts w:hint="eastAsia" w:ascii="微软雅黑" w:eastAsia="微软雅黑"/>
          <w:b/>
          <w:sz w:val="36"/>
          <w:szCs w:val="36"/>
        </w:rPr>
        <w:t>活动方案</w:t>
      </w:r>
    </w:p>
    <w:p>
      <w:pPr>
        <w:spacing w:before="120" w:beforeLines="50" w:after="120" w:afterLines="50" w:line="360" w:lineRule="auto"/>
        <w:ind w:firstLine="600" w:firstLineChars="200"/>
        <w:jc w:val="both"/>
        <w:rPr>
          <w:rFonts w:ascii="仿宋" w:hAnsi="仿宋" w:eastAsia="仿宋"/>
          <w:sz w:val="30"/>
          <w:szCs w:val="30"/>
        </w:rPr>
      </w:pPr>
    </w:p>
    <w:p>
      <w:pPr>
        <w:spacing w:before="120" w:beforeLines="50" w:after="120" w:afterLines="50" w:line="360" w:lineRule="auto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贯彻落实党中央、国务院决策部署，进一步支持“专精特新”中小企业高质量发展，带动更多中小企业走“专精特新”发展之路，国务院促进中小企业发展工作领导小组办公室近日印发《为“专精特新”中小企业办实事清单》，从加大财税支持力度、完善信贷支持政策、畅通市场化融资渠道、推动产业链协同创新、提升企业创新能力、推动数字化转型、加强人才智力支持、助力企业开拓市场、提供精准对接服务。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为</w:t>
      </w:r>
      <w:r>
        <w:rPr>
          <w:rFonts w:hint="eastAsia" w:ascii="仿宋" w:hAnsi="仿宋" w:eastAsia="仿宋"/>
          <w:sz w:val="30"/>
          <w:szCs w:val="30"/>
        </w:rPr>
        <w:t>做好我市“专精特新”中小企业的服务辅导工作，深入开展“我为群众办实事”实践活动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定</w:t>
      </w:r>
      <w:r>
        <w:rPr>
          <w:rFonts w:hint="eastAsia" w:ascii="仿宋" w:hAnsi="仿宋" w:eastAsia="仿宋"/>
          <w:sz w:val="30"/>
          <w:szCs w:val="30"/>
        </w:rPr>
        <w:t>于2021年11月26日（周五）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举行</w:t>
      </w:r>
      <w:r>
        <w:rPr>
          <w:rFonts w:hint="eastAsia" w:ascii="仿宋" w:hAnsi="仿宋" w:eastAsia="仿宋"/>
          <w:sz w:val="30"/>
          <w:szCs w:val="30"/>
        </w:rPr>
        <w:t>“企业上市”与“专精特新”产融合作专题服务活动，方案如下：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0" w:beforeLines="50" w:after="120" w:afterLines="50" w:line="360" w:lineRule="auto"/>
        <w:ind w:left="0" w:firstLine="602" w:firstLineChars="20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一、活动目的</w:t>
      </w:r>
    </w:p>
    <w:p>
      <w:pPr>
        <w:spacing w:before="120" w:beforeLines="50" w:after="120" w:afterLines="50" w:line="360" w:lineRule="auto"/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为进一步落实广东省工业和信息化厅对我省企业服务方针、促进汕头市中小企业高质量发展，通过引导当地企业系统化学习符合国内 A 股上市规范要求的资本运作实操“干货”、了解企业在国内上市各大板块的相关门槛、要求与案例分析，以及最新北交所体系特点及规则要点等方面，同时了解我省针对“专精特新”企业的免费开展的培训服务项目，全面助力“专精特新”企业高速增长和快速发展。</w:t>
      </w:r>
    </w:p>
    <w:p>
      <w:pPr>
        <w:spacing w:before="120" w:beforeLines="50" w:after="120" w:afterLines="50" w:line="360" w:lineRule="auto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本次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活动</w:t>
      </w:r>
      <w:r>
        <w:rPr>
          <w:rFonts w:hint="eastAsia" w:ascii="仿宋" w:hAnsi="仿宋" w:eastAsia="仿宋"/>
          <w:sz w:val="30"/>
          <w:szCs w:val="30"/>
        </w:rPr>
        <w:t>由汕头市工信局牵头，联合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广州赛宝认证中心</w:t>
      </w:r>
      <w:r>
        <w:rPr>
          <w:rFonts w:hint="eastAsia" w:ascii="仿宋" w:hAnsi="仿宋" w:eastAsia="仿宋"/>
          <w:sz w:val="30"/>
          <w:szCs w:val="30"/>
        </w:rPr>
        <w:t>、国信证券、菁亿投顾、万亿咨询等举办线下专题会议与培训活动，邀请相关专家为我市“专精特新”、“小巨人”企业进行面对面辅导，助力专精特新企业的持续发展与壮大。</w:t>
      </w:r>
    </w:p>
    <w:p>
      <w:pPr>
        <w:pStyle w:val="3"/>
        <w:keepNext/>
        <w:keepLines/>
        <w:spacing w:before="120" w:beforeLines="50" w:after="120" w:afterLines="50" w:line="360" w:lineRule="auto"/>
        <w:ind w:left="0"/>
        <w:jc w:val="both"/>
        <w:rPr>
          <w:rFonts w:hint="eastAsia" w:ascii="仿宋" w:hAnsi="仿宋" w:eastAsia="仿宋"/>
          <w:sz w:val="30"/>
          <w:szCs w:val="30"/>
        </w:rPr>
        <w:sectPr>
          <w:footerReference r:id="rId3" w:type="default"/>
          <w:pgSz w:w="11910" w:h="16840"/>
          <w:pgMar w:top="1520" w:right="1210" w:bottom="1160" w:left="1680" w:header="0" w:footer="974" w:gutter="0"/>
          <w:cols w:space="720" w:num="1"/>
        </w:sectPr>
      </w:pPr>
    </w:p>
    <w:p>
      <w:pPr>
        <w:pStyle w:val="3"/>
        <w:keepNext/>
        <w:keepLines/>
        <w:spacing w:before="120" w:beforeLines="50" w:after="120" w:afterLines="50" w:line="360" w:lineRule="auto"/>
        <w:ind w:left="0" w:firstLine="602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二、 组织机构 </w:t>
      </w:r>
    </w:p>
    <w:p>
      <w:pPr>
        <w:spacing w:before="120" w:beforeLines="50" w:after="120" w:afterLines="50" w:line="360" w:lineRule="auto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指导单位：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广东省工业和信息化厅</w:t>
      </w:r>
    </w:p>
    <w:p>
      <w:pPr>
        <w:spacing w:before="120" w:beforeLines="50" w:after="120" w:afterLines="50" w:line="360" w:lineRule="auto"/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主办单位：  广东省中小企业服务中心</w:t>
      </w:r>
    </w:p>
    <w:p>
      <w:pPr>
        <w:spacing w:before="120" w:beforeLines="50" w:after="120" w:afterLines="50" w:line="360" w:lineRule="auto"/>
        <w:ind w:firstLine="2400" w:firstLineChars="800"/>
        <w:jc w:val="both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汕头市工业和信息化局</w:t>
      </w:r>
    </w:p>
    <w:p>
      <w:pPr>
        <w:spacing w:before="120" w:beforeLines="50" w:after="120" w:afterLines="50" w:line="360" w:lineRule="auto"/>
        <w:ind w:firstLine="2400" w:firstLineChars="800"/>
        <w:jc w:val="both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汕头市金融工作局</w:t>
      </w:r>
    </w:p>
    <w:p>
      <w:pPr>
        <w:spacing w:before="120" w:beforeLines="50" w:after="120" w:afterLines="50" w:line="360" w:lineRule="auto"/>
        <w:ind w:firstLine="2400" w:firstLineChars="800"/>
        <w:jc w:val="both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中国人民银行汕头中心支行</w:t>
      </w:r>
    </w:p>
    <w:p>
      <w:pPr>
        <w:spacing w:before="120" w:beforeLines="50" w:after="120" w:afterLines="50" w:line="360" w:lineRule="auto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承办单位：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深圳万亿管理咨询有限公司</w:t>
      </w:r>
    </w:p>
    <w:p>
      <w:pPr>
        <w:spacing w:before="120" w:beforeLines="50" w:after="120" w:afterLines="50" w:line="360" w:lineRule="auto"/>
        <w:ind w:firstLine="2400" w:firstLineChars="8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广东菁亿投资顾问有限公司</w:t>
      </w:r>
    </w:p>
    <w:p>
      <w:pPr>
        <w:spacing w:before="120" w:beforeLines="50" w:after="120" w:afterLines="50" w:line="360" w:lineRule="auto"/>
        <w:ind w:firstLine="2400" w:firstLineChars="8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国信证券股份有限公司</w:t>
      </w:r>
    </w:p>
    <w:p>
      <w:pPr>
        <w:spacing w:before="120" w:beforeLines="50" w:after="120" w:afterLines="50" w:line="360" w:lineRule="auto"/>
        <w:ind w:firstLine="2400" w:firstLineChars="800"/>
        <w:jc w:val="both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</w:rPr>
        <w:t>广州赛宝认证中心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服务有限公司</w:t>
      </w:r>
    </w:p>
    <w:p>
      <w:pPr>
        <w:spacing w:before="120" w:beforeLines="50" w:after="120" w:afterLines="50" w:line="360" w:lineRule="auto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协办机构： 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中国个性化定制联盟</w:t>
      </w:r>
    </w:p>
    <w:p>
      <w:pPr>
        <w:spacing w:before="120" w:beforeLines="50" w:after="120" w:afterLines="50" w:line="360" w:lineRule="auto"/>
        <w:ind w:firstLine="2400" w:firstLineChars="8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广东省电子信息联合会</w:t>
      </w:r>
    </w:p>
    <w:p>
      <w:pPr>
        <w:spacing w:before="120" w:beforeLines="50" w:after="120" w:afterLines="50" w:line="360" w:lineRule="auto"/>
        <w:ind w:firstLine="2400" w:firstLineChars="800"/>
        <w:jc w:val="both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汕头市智能制造产业协会</w:t>
      </w:r>
    </w:p>
    <w:p>
      <w:pPr>
        <w:spacing w:before="120" w:beforeLines="50" w:after="120" w:afterLines="50" w:line="360" w:lineRule="auto"/>
        <w:ind w:firstLine="2400" w:firstLineChars="800"/>
        <w:jc w:val="both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汕头市电子信息和软件行业协会</w:t>
      </w:r>
    </w:p>
    <w:p>
      <w:pPr>
        <w:pStyle w:val="3"/>
        <w:keepNext/>
        <w:keepLines/>
        <w:spacing w:before="120" w:beforeLines="50" w:after="120" w:afterLines="50" w:line="360" w:lineRule="auto"/>
        <w:ind w:left="0" w:firstLine="602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 活动时间</w:t>
      </w:r>
    </w:p>
    <w:p>
      <w:pPr>
        <w:spacing w:before="120" w:beforeLines="50" w:after="120" w:afterLines="50" w:line="360" w:lineRule="auto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2021年11月26日</w:t>
      </w:r>
      <w:r>
        <w:rPr>
          <w:rFonts w:hint="eastAsia" w:ascii="仿宋" w:hAnsi="仿宋" w:eastAsia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sz w:val="30"/>
          <w:szCs w:val="30"/>
        </w:rPr>
        <w:t>星期五</w:t>
      </w:r>
      <w:r>
        <w:rPr>
          <w:rFonts w:hint="eastAsia" w:ascii="仿宋" w:hAnsi="仿宋" w:eastAsia="仿宋"/>
          <w:sz w:val="30"/>
          <w:szCs w:val="30"/>
          <w:lang w:eastAsia="zh-CN"/>
        </w:rPr>
        <w:t>）</w:t>
      </w:r>
      <w:r>
        <w:rPr>
          <w:rFonts w:ascii="仿宋" w:hAnsi="仿宋" w:eastAsia="仿宋"/>
          <w:sz w:val="30"/>
          <w:szCs w:val="30"/>
        </w:rPr>
        <w:t>9</w:t>
      </w:r>
      <w:r>
        <w:rPr>
          <w:rFonts w:hint="eastAsia" w:ascii="仿宋" w:hAnsi="仿宋" w:eastAsia="仿宋"/>
          <w:sz w:val="30"/>
          <w:szCs w:val="30"/>
        </w:rPr>
        <w:t>:</w:t>
      </w:r>
      <w:r>
        <w:rPr>
          <w:rFonts w:ascii="仿宋" w:hAnsi="仿宋" w:eastAsia="仿宋"/>
          <w:sz w:val="30"/>
          <w:szCs w:val="30"/>
        </w:rPr>
        <w:t>0</w:t>
      </w:r>
      <w:r>
        <w:rPr>
          <w:rFonts w:hint="eastAsia" w:ascii="仿宋" w:hAnsi="仿宋" w:eastAsia="仿宋"/>
          <w:sz w:val="30"/>
          <w:szCs w:val="30"/>
        </w:rPr>
        <w:t>0</w:t>
      </w:r>
      <w:r>
        <w:rPr>
          <w:rFonts w:ascii="仿宋" w:hAnsi="仿宋" w:eastAsia="仿宋"/>
          <w:sz w:val="30"/>
          <w:szCs w:val="30"/>
        </w:rPr>
        <w:t>-</w:t>
      </w:r>
      <w:r>
        <w:rPr>
          <w:rFonts w:hint="eastAsia" w:ascii="仿宋" w:hAnsi="仿宋" w:eastAsia="仿宋"/>
          <w:sz w:val="30"/>
          <w:szCs w:val="30"/>
        </w:rPr>
        <w:t>17:00</w:t>
      </w:r>
    </w:p>
    <w:p>
      <w:pPr>
        <w:pStyle w:val="3"/>
        <w:keepNext/>
        <w:keepLines/>
        <w:spacing w:before="120" w:beforeLines="50" w:after="120" w:afterLines="50" w:line="360" w:lineRule="auto"/>
        <w:ind w:left="0" w:firstLine="602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 活动地点</w:t>
      </w:r>
    </w:p>
    <w:p>
      <w:pPr>
        <w:spacing w:before="120" w:beforeLines="50" w:after="120" w:afterLines="50" w:line="360" w:lineRule="auto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汕头市龙湖区帝豪大酒店四楼会议厅</w:t>
      </w:r>
    </w:p>
    <w:p>
      <w:pPr>
        <w:pStyle w:val="3"/>
        <w:keepNext/>
        <w:keepLines/>
        <w:spacing w:before="120" w:beforeLines="50" w:after="120" w:afterLines="50" w:line="360" w:lineRule="auto"/>
        <w:ind w:left="0" w:firstLine="602" w:firstLineChars="200"/>
        <w:jc w:val="both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 xml:space="preserve">五、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参会人员</w:t>
      </w:r>
    </w:p>
    <w:p>
      <w:pPr>
        <w:spacing w:before="120" w:beforeLines="50" w:after="120" w:afterLines="50" w:line="360" w:lineRule="auto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汕头市专精特新企业主要负责人及高管人员（财务/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质量</w:t>
      </w:r>
      <w:r>
        <w:rPr>
          <w:rFonts w:hint="eastAsia" w:ascii="仿宋" w:hAnsi="仿宋" w:eastAsia="仿宋"/>
          <w:sz w:val="30"/>
          <w:szCs w:val="30"/>
        </w:rPr>
        <w:t>/销售总监）等。</w:t>
      </w:r>
    </w:p>
    <w:p>
      <w:pPr>
        <w:pStyle w:val="3"/>
        <w:keepNext/>
        <w:keepLines/>
        <w:spacing w:before="120" w:beforeLines="50" w:after="120" w:afterLines="50" w:line="360" w:lineRule="auto"/>
        <w:ind w:left="0" w:firstLine="602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六、 活动流程安排 </w:t>
      </w:r>
    </w:p>
    <w:tbl>
      <w:tblPr>
        <w:tblStyle w:val="9"/>
        <w:tblW w:w="5566" w:type="pct"/>
        <w:tblInd w:w="-4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2152"/>
        <w:gridCol w:w="1016"/>
        <w:gridCol w:w="55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33" w:type="pct"/>
            <w:shd w:val="clear" w:color="auto" w:fill="F1F1F1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4"/>
              </w:rPr>
              <w:t>序号</w:t>
            </w:r>
          </w:p>
        </w:tc>
        <w:tc>
          <w:tcPr>
            <w:tcW w:w="1125" w:type="pct"/>
            <w:shd w:val="clear" w:color="auto" w:fill="F1F1F1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4"/>
              </w:rPr>
              <w:t>时 间</w:t>
            </w:r>
          </w:p>
        </w:tc>
        <w:tc>
          <w:tcPr>
            <w:tcW w:w="531" w:type="pct"/>
            <w:shd w:val="clear" w:color="auto" w:fill="F1F1F1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4"/>
              </w:rPr>
              <w:t>项 目</w:t>
            </w:r>
          </w:p>
        </w:tc>
        <w:tc>
          <w:tcPr>
            <w:tcW w:w="2909" w:type="pct"/>
            <w:shd w:val="clear" w:color="auto" w:fill="F1F1F1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4"/>
              </w:rPr>
              <w:t>内    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33" w:type="pct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1</w:t>
            </w:r>
          </w:p>
        </w:tc>
        <w:tc>
          <w:tcPr>
            <w:tcW w:w="1125" w:type="pct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hint="default" w:ascii="仿宋" w:hAnsi="仿宋" w:eastAsia="仿宋" w:cs="仿宋"/>
                <w:sz w:val="28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sz w:val="28"/>
                <w:szCs w:val="24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4"/>
              </w:rPr>
              <w:t>:</w:t>
            </w:r>
            <w:r>
              <w:rPr>
                <w:rFonts w:ascii="仿宋" w:hAnsi="仿宋" w:eastAsia="仿宋" w:cs="仿宋"/>
                <w:sz w:val="28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4"/>
              </w:rPr>
              <w:t>0－9:</w:t>
            </w: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30</w:t>
            </w:r>
          </w:p>
        </w:tc>
        <w:tc>
          <w:tcPr>
            <w:tcW w:w="531" w:type="pct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签到</w:t>
            </w:r>
          </w:p>
        </w:tc>
        <w:tc>
          <w:tcPr>
            <w:tcW w:w="2909" w:type="pct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企业代表签到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33" w:type="pct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2</w:t>
            </w:r>
          </w:p>
        </w:tc>
        <w:tc>
          <w:tcPr>
            <w:tcW w:w="1125" w:type="pct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hint="default" w:ascii="仿宋" w:hAnsi="仿宋" w:eastAsia="仿宋" w:cs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9:</w:t>
            </w:r>
            <w:r>
              <w:rPr>
                <w:rFonts w:ascii="仿宋" w:hAnsi="仿宋" w:eastAsia="仿宋" w:cs="仿宋"/>
                <w:sz w:val="28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4"/>
              </w:rPr>
              <w:t>0－9:</w:t>
            </w: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45</w:t>
            </w:r>
          </w:p>
        </w:tc>
        <w:tc>
          <w:tcPr>
            <w:tcW w:w="531" w:type="pct"/>
            <w:vMerge w:val="restart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主题</w:t>
            </w:r>
          </w:p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活动</w:t>
            </w:r>
          </w:p>
        </w:tc>
        <w:tc>
          <w:tcPr>
            <w:tcW w:w="2909" w:type="pct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主持人开场</w:t>
            </w:r>
          </w:p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领导致辞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33" w:type="pct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3</w:t>
            </w:r>
          </w:p>
        </w:tc>
        <w:tc>
          <w:tcPr>
            <w:tcW w:w="1125" w:type="pct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hint="default" w:ascii="仿宋" w:hAnsi="仿宋" w:eastAsia="仿宋" w:cs="仿宋"/>
                <w:sz w:val="28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9:</w:t>
            </w: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45-10:00</w:t>
            </w:r>
          </w:p>
        </w:tc>
        <w:tc>
          <w:tcPr>
            <w:tcW w:w="531" w:type="pct"/>
            <w:vMerge w:val="continue"/>
            <w:tcBorders>
              <w:top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</w:p>
        </w:tc>
        <w:tc>
          <w:tcPr>
            <w:tcW w:w="2909" w:type="pct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市信贷风险补偿资金合作金融机构签约仪式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33" w:type="pct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hint="eastAsia" w:ascii="仿宋" w:hAnsi="仿宋" w:eastAsia="仿宋" w:cs="仿宋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4</w:t>
            </w:r>
          </w:p>
        </w:tc>
        <w:tc>
          <w:tcPr>
            <w:tcW w:w="1125" w:type="pct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ascii="仿宋" w:hAnsi="仿宋" w:eastAsia="仿宋" w:cs="仿宋"/>
                <w:sz w:val="28"/>
                <w:szCs w:val="24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4"/>
              </w:rPr>
              <w:t>:</w:t>
            </w:r>
            <w:r>
              <w:rPr>
                <w:rFonts w:ascii="仿宋" w:hAnsi="仿宋" w:eastAsia="仿宋" w:cs="仿宋"/>
                <w:sz w:val="28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8"/>
                <w:szCs w:val="24"/>
                <w:lang w:val="en-US"/>
              </w:rPr>
              <w:t>-</w:t>
            </w:r>
            <w:r>
              <w:rPr>
                <w:rFonts w:hint="eastAsia" w:ascii="仿宋" w:hAnsi="仿宋" w:eastAsia="仿宋" w:cs="仿宋"/>
                <w:sz w:val="28"/>
                <w:szCs w:val="24"/>
              </w:rPr>
              <w:t>10:</w:t>
            </w:r>
            <w:r>
              <w:rPr>
                <w:rFonts w:ascii="仿宋" w:hAnsi="仿宋" w:eastAsia="仿宋" w:cs="仿宋"/>
                <w:sz w:val="28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4"/>
              </w:rPr>
              <w:t>5</w:t>
            </w:r>
          </w:p>
        </w:tc>
        <w:tc>
          <w:tcPr>
            <w:tcW w:w="531" w:type="pct"/>
            <w:vMerge w:val="continue"/>
            <w:tcBorders>
              <w:top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</w:p>
        </w:tc>
        <w:tc>
          <w:tcPr>
            <w:tcW w:w="2909" w:type="pct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4"/>
              </w:rPr>
              <w:t>专题讲座及现场分享沙龙</w:t>
            </w:r>
          </w:p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（刘剑-北交所上市精要及“避坑”指南）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33" w:type="pct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hint="eastAsia" w:ascii="仿宋" w:hAnsi="仿宋" w:eastAsia="仿宋" w:cs="仿宋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5</w:t>
            </w:r>
          </w:p>
        </w:tc>
        <w:tc>
          <w:tcPr>
            <w:tcW w:w="1125" w:type="pct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1</w:t>
            </w:r>
            <w:r>
              <w:rPr>
                <w:rFonts w:ascii="仿宋" w:hAnsi="仿宋" w:eastAsia="仿宋" w:cs="仿宋"/>
                <w:sz w:val="28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sz w:val="28"/>
                <w:szCs w:val="24"/>
              </w:rPr>
              <w:t>:00-11:5</w:t>
            </w:r>
            <w:r>
              <w:rPr>
                <w:rFonts w:ascii="仿宋" w:hAnsi="仿宋" w:eastAsia="仿宋" w:cs="仿宋"/>
                <w:sz w:val="28"/>
                <w:szCs w:val="24"/>
              </w:rPr>
              <w:t>5</w:t>
            </w:r>
          </w:p>
        </w:tc>
        <w:tc>
          <w:tcPr>
            <w:tcW w:w="531" w:type="pct"/>
            <w:vMerge w:val="continue"/>
            <w:tcBorders>
              <w:top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</w:p>
        </w:tc>
        <w:tc>
          <w:tcPr>
            <w:tcW w:w="2909" w:type="pct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4"/>
              </w:rPr>
              <w:t>专题讲座及现场分享沙龙</w:t>
            </w:r>
          </w:p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（李伟-企业融资与上市合规专题）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33" w:type="pct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hint="eastAsia" w:ascii="仿宋" w:hAnsi="仿宋" w:eastAsia="仿宋" w:cs="仿宋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6</w:t>
            </w:r>
          </w:p>
        </w:tc>
        <w:tc>
          <w:tcPr>
            <w:tcW w:w="1125" w:type="pct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11:5</w:t>
            </w:r>
            <w:r>
              <w:rPr>
                <w:rFonts w:ascii="仿宋" w:hAnsi="仿宋" w:eastAsia="仿宋" w:cs="仿宋"/>
                <w:sz w:val="28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4"/>
              </w:rPr>
              <w:t>-12:00</w:t>
            </w:r>
          </w:p>
        </w:tc>
        <w:tc>
          <w:tcPr>
            <w:tcW w:w="531" w:type="pct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/</w:t>
            </w:r>
          </w:p>
        </w:tc>
        <w:tc>
          <w:tcPr>
            <w:tcW w:w="2909" w:type="pct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现场合影留念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33" w:type="pct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hint="eastAsia" w:ascii="仿宋" w:hAnsi="仿宋" w:eastAsia="仿宋" w:cs="仿宋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7</w:t>
            </w:r>
          </w:p>
        </w:tc>
        <w:tc>
          <w:tcPr>
            <w:tcW w:w="1125" w:type="pct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12:00-14:00</w:t>
            </w:r>
          </w:p>
        </w:tc>
        <w:tc>
          <w:tcPr>
            <w:tcW w:w="3440" w:type="pct"/>
            <w:gridSpan w:val="2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/>
              </w:rPr>
              <w:t>午餐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33" w:type="pct"/>
            <w:vMerge w:val="restart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hint="eastAsia" w:ascii="仿宋" w:hAnsi="仿宋" w:eastAsia="仿宋" w:cs="仿宋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8</w:t>
            </w:r>
          </w:p>
        </w:tc>
        <w:tc>
          <w:tcPr>
            <w:tcW w:w="1125" w:type="pct"/>
            <w:vMerge w:val="restart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14:</w:t>
            </w:r>
            <w:r>
              <w:rPr>
                <w:rFonts w:hint="eastAsia" w:ascii="仿宋" w:hAnsi="仿宋" w:eastAsia="仿宋" w:cs="仿宋"/>
                <w:sz w:val="28"/>
                <w:szCs w:val="24"/>
                <w:lang w:val="en-US"/>
              </w:rPr>
              <w:t>00</w:t>
            </w:r>
            <w:r>
              <w:rPr>
                <w:rFonts w:hint="eastAsia" w:ascii="仿宋" w:hAnsi="仿宋" w:eastAsia="仿宋" w:cs="仿宋"/>
                <w:sz w:val="28"/>
                <w:szCs w:val="24"/>
              </w:rPr>
              <w:t>—16:30</w:t>
            </w:r>
          </w:p>
        </w:tc>
        <w:tc>
          <w:tcPr>
            <w:tcW w:w="531" w:type="pct"/>
            <w:vMerge w:val="restart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/>
              </w:rPr>
              <w:t>主题</w:t>
            </w:r>
          </w:p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/>
              </w:rPr>
              <w:t>活动</w:t>
            </w:r>
          </w:p>
        </w:tc>
        <w:tc>
          <w:tcPr>
            <w:tcW w:w="2909" w:type="pct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主持人开场</w:t>
            </w:r>
          </w:p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领导致辞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33" w:type="pct"/>
            <w:vMerge w:val="continue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</w:p>
        </w:tc>
        <w:tc>
          <w:tcPr>
            <w:tcW w:w="1125" w:type="pct"/>
            <w:vMerge w:val="continue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b/>
                <w:w w:val="200"/>
                <w:sz w:val="28"/>
                <w:szCs w:val="24"/>
              </w:rPr>
            </w:pPr>
          </w:p>
        </w:tc>
        <w:tc>
          <w:tcPr>
            <w:tcW w:w="531" w:type="pct"/>
            <w:vMerge w:val="continue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</w:p>
        </w:tc>
        <w:tc>
          <w:tcPr>
            <w:tcW w:w="2909" w:type="pct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b/>
                <w:sz w:val="28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4"/>
                <w:lang w:val="en-US"/>
              </w:rPr>
              <w:t>专家分享</w:t>
            </w:r>
          </w:p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（刘小茵-以认证助力产业高质量发展）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33" w:type="pct"/>
            <w:vMerge w:val="continue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</w:p>
        </w:tc>
        <w:tc>
          <w:tcPr>
            <w:tcW w:w="1125" w:type="pct"/>
            <w:vMerge w:val="continue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b/>
                <w:w w:val="200"/>
                <w:sz w:val="28"/>
                <w:szCs w:val="24"/>
              </w:rPr>
            </w:pPr>
          </w:p>
        </w:tc>
        <w:tc>
          <w:tcPr>
            <w:tcW w:w="531" w:type="pct"/>
            <w:vMerge w:val="continue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</w:p>
        </w:tc>
        <w:tc>
          <w:tcPr>
            <w:tcW w:w="2909" w:type="pct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b/>
                <w:sz w:val="28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4"/>
                <w:lang w:val="en-US"/>
              </w:rPr>
              <w:t>专家分享</w:t>
            </w:r>
          </w:p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（许兴海-中小企业数字化转型整体解决方案）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33" w:type="pct"/>
            <w:vMerge w:val="continue"/>
            <w:tcBorders>
              <w:top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</w:p>
        </w:tc>
        <w:tc>
          <w:tcPr>
            <w:tcW w:w="1125" w:type="pct"/>
            <w:vMerge w:val="continue"/>
            <w:tcBorders>
              <w:top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</w:p>
        </w:tc>
        <w:tc>
          <w:tcPr>
            <w:tcW w:w="531" w:type="pct"/>
            <w:vMerge w:val="continue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</w:p>
        </w:tc>
        <w:tc>
          <w:tcPr>
            <w:tcW w:w="2909" w:type="pct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b/>
                <w:sz w:val="28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4"/>
                <w:lang w:val="en-US"/>
              </w:rPr>
              <w:t>专家分享</w:t>
            </w:r>
          </w:p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（蓝德-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bidi="ar"/>
              </w:rPr>
              <w:t>中小企业竞争力提升之精益生产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33" w:type="pct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hint="default" w:ascii="仿宋" w:hAnsi="仿宋" w:eastAsia="仿宋" w:cs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9</w:t>
            </w:r>
          </w:p>
        </w:tc>
        <w:tc>
          <w:tcPr>
            <w:tcW w:w="1125" w:type="pct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16:30—17:00</w:t>
            </w:r>
          </w:p>
        </w:tc>
        <w:tc>
          <w:tcPr>
            <w:tcW w:w="531" w:type="pct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/>
              </w:rPr>
              <w:t>/</w:t>
            </w:r>
          </w:p>
        </w:tc>
        <w:tc>
          <w:tcPr>
            <w:tcW w:w="2909" w:type="pct"/>
            <w:vAlign w:val="center"/>
          </w:tcPr>
          <w:p>
            <w:pPr>
              <w:pStyle w:val="14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现场合影留念</w:t>
            </w:r>
          </w:p>
        </w:tc>
      </w:tr>
    </w:tbl>
    <w:p>
      <w:pPr>
        <w:pStyle w:val="3"/>
        <w:keepNext/>
        <w:keepLines/>
        <w:pageBreakBefore/>
        <w:spacing w:before="120" w:beforeLines="50" w:after="120" w:afterLines="50" w:line="360" w:lineRule="auto"/>
        <w:ind w:left="0" w:firstLine="602" w:firstLineChars="200"/>
        <w:jc w:val="both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 xml:space="preserve">七、 师资介绍 </w:t>
      </w:r>
    </w:p>
    <w:p>
      <w:pPr>
        <w:pStyle w:val="13"/>
        <w:numPr>
          <w:ilvl w:val="0"/>
          <w:numId w:val="1"/>
        </w:numPr>
        <w:spacing w:before="120" w:beforeLines="50" w:after="120" w:afterLines="50" w:line="360" w:lineRule="auto"/>
        <w:ind w:left="0" w:firstLine="0"/>
        <w:jc w:val="both"/>
        <w:outlineLvl w:val="2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上午嘉宾</w:t>
      </w:r>
    </w:p>
    <w:p>
      <w:pPr>
        <w:spacing w:before="120" w:beforeLines="50" w:after="120" w:afterLines="50" w:line="360" w:lineRule="auto"/>
        <w:ind w:firstLine="602" w:firstLineChars="20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（一）刘剑——保荐代表人、业务总裁</w:t>
      </w:r>
    </w:p>
    <w:p>
      <w:pPr>
        <w:spacing w:before="120" w:beforeLines="50" w:after="120" w:afterLines="50" w:line="360" w:lineRule="auto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国信证券投资银行事业部业务一部业务总监，保荐代表人，律师，注册会计师，注册税务师、国际注册内部审计师。具有十多年投行经验和上市公司审计及IPO上市工作经验。</w:t>
      </w:r>
    </w:p>
    <w:p>
      <w:pPr>
        <w:spacing w:before="120" w:beforeLines="50" w:after="120" w:afterLines="50" w:line="360" w:lineRule="auto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先后任职于天健会计师事务所、大华会计师事务所、致同会计师事务所、中信证券、方正证券等专业机构。主要从事IPO上市、上市公司并购重组等业务。曾负责睿康股份（002692）上市公司控制权收购项目，和胜股份（002824）非公开发行项目，曾参与双象股份（002395）、天虹商场（002419）等企业的IPO上市工作，曾参与鹿得医疗精选层公开发行项目，曾参与朗峰股份、恒普真空、万享科技、海勤科技等企业IPO财务顾问项目。</w:t>
      </w:r>
    </w:p>
    <w:p>
      <w:pPr>
        <w:spacing w:before="120" w:beforeLines="50" w:after="120" w:afterLines="50" w:line="360" w:lineRule="auto"/>
        <w:ind w:firstLine="602" w:firstLineChars="20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（二）李伟——保荐代表人</w:t>
      </w:r>
    </w:p>
    <w:p>
      <w:pPr>
        <w:spacing w:before="120" w:beforeLines="50" w:after="120" w:afterLines="50" w:line="360" w:lineRule="auto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国信证券投资银行事业部业务一部</w:t>
      </w:r>
      <w:r>
        <w:rPr>
          <w:rFonts w:ascii="仿宋" w:hAnsi="仿宋" w:eastAsia="仿宋"/>
          <w:sz w:val="30"/>
          <w:szCs w:val="30"/>
        </w:rPr>
        <w:t>SVP</w:t>
      </w:r>
      <w:r>
        <w:rPr>
          <w:rFonts w:hint="eastAsia" w:ascii="仿宋" w:hAnsi="仿宋" w:eastAsia="仿宋"/>
          <w:sz w:val="30"/>
          <w:szCs w:val="30"/>
        </w:rPr>
        <w:t>，具有十多年投行经验及上市公司审计经验，先后任职于德勤会计师事务所、中投证券、民生证券等专业机构，从事I</w:t>
      </w:r>
      <w:r>
        <w:rPr>
          <w:rFonts w:ascii="仿宋" w:hAnsi="仿宋" w:eastAsia="仿宋"/>
          <w:sz w:val="30"/>
          <w:szCs w:val="30"/>
        </w:rPr>
        <w:t>PO</w:t>
      </w:r>
      <w:r>
        <w:rPr>
          <w:rFonts w:hint="eastAsia" w:ascii="仿宋" w:hAnsi="仿宋" w:eastAsia="仿宋"/>
          <w:sz w:val="30"/>
          <w:szCs w:val="30"/>
        </w:rPr>
        <w:t>上市、上市公司再融资及并购重组业务。</w:t>
      </w:r>
    </w:p>
    <w:p>
      <w:pPr>
        <w:spacing w:before="120" w:beforeLines="50" w:after="120" w:afterLines="50" w:line="360" w:lineRule="auto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曾负责及参与的项目：银宝山新I</w:t>
      </w:r>
      <w:r>
        <w:rPr>
          <w:rFonts w:ascii="仿宋" w:hAnsi="仿宋" w:eastAsia="仿宋"/>
          <w:sz w:val="30"/>
          <w:szCs w:val="30"/>
        </w:rPr>
        <w:t>PO</w:t>
      </w:r>
      <w:r>
        <w:rPr>
          <w:rFonts w:hint="eastAsia" w:ascii="仿宋" w:hAnsi="仿宋" w:eastAsia="仿宋"/>
          <w:sz w:val="30"/>
          <w:szCs w:val="30"/>
        </w:rPr>
        <w:t>、福斯达I</w:t>
      </w:r>
      <w:r>
        <w:rPr>
          <w:rFonts w:ascii="仿宋" w:hAnsi="仿宋" w:eastAsia="仿宋"/>
          <w:sz w:val="30"/>
          <w:szCs w:val="30"/>
        </w:rPr>
        <w:t>PO</w:t>
      </w:r>
      <w:r>
        <w:rPr>
          <w:rFonts w:hint="eastAsia" w:ascii="仿宋" w:hAnsi="仿宋" w:eastAsia="仿宋"/>
          <w:sz w:val="30"/>
          <w:szCs w:val="30"/>
        </w:rPr>
        <w:t>、农业银行I</w:t>
      </w:r>
      <w:r>
        <w:rPr>
          <w:rFonts w:ascii="仿宋" w:hAnsi="仿宋" w:eastAsia="仿宋"/>
          <w:sz w:val="30"/>
          <w:szCs w:val="30"/>
        </w:rPr>
        <w:t>PO</w:t>
      </w:r>
      <w:r>
        <w:rPr>
          <w:rFonts w:hint="eastAsia" w:ascii="仿宋" w:hAnsi="仿宋" w:eastAsia="仿宋"/>
          <w:sz w:val="30"/>
          <w:szCs w:val="30"/>
        </w:rPr>
        <w:t>、中广核电力I</w:t>
      </w:r>
      <w:r>
        <w:rPr>
          <w:rFonts w:ascii="仿宋" w:hAnsi="仿宋" w:eastAsia="仿宋"/>
          <w:sz w:val="30"/>
          <w:szCs w:val="30"/>
        </w:rPr>
        <w:t>PO</w:t>
      </w:r>
      <w:r>
        <w:rPr>
          <w:rFonts w:hint="eastAsia" w:ascii="仿宋" w:hAnsi="仿宋" w:eastAsia="仿宋"/>
          <w:sz w:val="30"/>
          <w:szCs w:val="30"/>
        </w:rPr>
        <w:t>、蓝黛传动并购重组、东方电气并购重组、辉丰股份配股、辉丰股份可转债、中飞股份非公开发行等项目。</w:t>
      </w:r>
    </w:p>
    <w:p>
      <w:pPr>
        <w:pStyle w:val="13"/>
        <w:keepNext/>
        <w:keepLines/>
        <w:numPr>
          <w:ilvl w:val="0"/>
          <w:numId w:val="1"/>
        </w:numPr>
        <w:spacing w:before="120" w:beforeLines="50" w:after="120" w:afterLines="50" w:line="360" w:lineRule="auto"/>
        <w:ind w:left="0" w:firstLine="0"/>
        <w:jc w:val="both"/>
        <w:outlineLvl w:val="2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下午嘉宾</w:t>
      </w:r>
    </w:p>
    <w:p>
      <w:pPr>
        <w:keepNext/>
        <w:keepLines/>
        <w:spacing w:before="120" w:beforeLines="50" w:after="120" w:afterLines="50" w:line="360" w:lineRule="auto"/>
        <w:ind w:firstLine="602" w:firstLineChars="20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（一）刘小茵——广州赛宝认证中心副总经理，高级工程师</w:t>
      </w:r>
    </w:p>
    <w:p>
      <w:pPr>
        <w:spacing w:before="120" w:beforeLines="50" w:after="120" w:afterLines="50" w:line="360" w:lineRule="auto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18年产品研发、管理经验，10年培训、咨询及评估经验。ISTQB国际软件测试认证委员会中国分会（CSTQB）高级专家和高级讲师、APMG授权ITIL、ISO20000审核员培训讲师、美国质量协会ASQ授权的注册软件质量工程师CSQE讲师、信息安全管理体系（ISO27001）主任审核员、IT服务管理体系（ISO20000）主任审核员、CISA国际注册信息系统审计师、CMMI-DEV &amp; CMMI-SVC高级咨询师、SPCA（软件过程能力评估和软件能力成熟度评估）主任评估师、中国信息技术服务标准（ITSS）工作组成员。</w:t>
      </w:r>
    </w:p>
    <w:p>
      <w:pPr>
        <w:spacing w:before="120" w:beforeLines="50" w:after="120" w:afterLines="50" w:line="360" w:lineRule="auto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代表著作有：《过程改进基本原理及CMMI实施》、《中小企业信息安全管理体系实践》、《基于ISO20000的IT服务管理体系实施指南》等。擅长企业创新管理、互联网商业模式、云计算安全管理、大数据管理、信息安全管理、IT服务管理等领域，为神州数码、中移动、富士通、台达电子、酷派、广州供电局、芒果网、大唐移动通信设备等近百家企业，进行了“互联网商业模式创新、云计算安全、IT服务管理”等课程的培训。</w:t>
      </w:r>
    </w:p>
    <w:p>
      <w:pPr>
        <w:spacing w:before="120" w:beforeLines="50" w:after="120" w:afterLines="50" w:line="360" w:lineRule="auto"/>
        <w:ind w:firstLine="602" w:firstLineChars="20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（二）许兴海-</w:t>
      </w:r>
      <w:r>
        <w:rPr>
          <w:rFonts w:ascii="仿宋" w:hAnsi="仿宋" w:eastAsia="仿宋"/>
          <w:b/>
          <w:sz w:val="30"/>
          <w:szCs w:val="30"/>
        </w:rPr>
        <w:t>美国质量协会 注册六西格玛黑带大师</w:t>
      </w:r>
    </w:p>
    <w:p>
      <w:pPr>
        <w:spacing w:before="120" w:beforeLines="50" w:after="120" w:afterLines="50" w:line="360" w:lineRule="auto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CSSBB--美国质量协会注册六西格玛黑带大师、PMP--美国项目管理协会认证项目经理、TTT--国际职业训练协会认证培训师、企业内部连续十年优秀讲师，从业经验 30年以上，曾任职于跨国集团，中国区改善中心经理、中国区信息官、改善顾问，集团内导入CMMI-DEV &amp; Automotive SPICE并建立集团软件开发标准作业流程；构建Six Sigma训练体系；ERP、PLM、ALM、MES导入及运营维护、CMMI &amp; ASPICE咨询顾问。擅长为企业提供战略规划、流程改善（人资差旅流程改善、厂务设备维</w:t>
      </w:r>
      <w:r>
        <w:rPr>
          <w:rFonts w:hint="eastAsia" w:ascii="仿宋" w:hAnsi="仿宋" w:eastAsia="仿宋"/>
          <w:sz w:val="30"/>
          <w:szCs w:val="30"/>
        </w:rPr>
        <w:t>修流程改善、诉处理流程改善、设计变更流程改善等）、物料控制及生产规划与质量控管、导入信息系统</w:t>
      </w:r>
      <w:r>
        <w:rPr>
          <w:rFonts w:ascii="仿宋" w:hAnsi="仿宋" w:eastAsia="仿宋"/>
          <w:sz w:val="30"/>
          <w:szCs w:val="30"/>
        </w:rPr>
        <w:t>(ERP、PLM、ALM)、销售预算达标率、销售预测准确率、应标率、中标率、客诉DPU、设计变更次数、NPI+3、SLRR、RTY、UPH、VLRR、RMA等等专业咨询服务。</w:t>
      </w:r>
    </w:p>
    <w:p>
      <w:pPr>
        <w:spacing w:before="120" w:beforeLines="50" w:after="120" w:afterLines="50" w:line="360" w:lineRule="auto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服务客户主要包括福特、福斯VW、VOLVO、东风商用、东风柳汽、铜冠集团、东软睿驰汽车技术、中南铝车轮制造、广州立功科技、Delta等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spacing w:before="120" w:beforeLines="50" w:after="120" w:afterLines="50" w:line="360" w:lineRule="auto"/>
        <w:ind w:firstLine="602" w:firstLineChars="200"/>
        <w:jc w:val="both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（三）蓝德-国际注册管理咨询师</w:t>
      </w:r>
      <w:r>
        <w:rPr>
          <w:rFonts w:ascii="仿宋" w:hAnsi="仿宋" w:eastAsia="仿宋"/>
          <w:b/>
          <w:sz w:val="30"/>
          <w:szCs w:val="30"/>
        </w:rPr>
        <w:t>CMC</w:t>
      </w:r>
    </w:p>
    <w:p>
      <w:pPr>
        <w:spacing w:before="120" w:beforeLines="50" w:after="120" w:afterLines="50" w:line="360" w:lineRule="auto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多家国际知名品牌与世界500强企业咨询师，15年美国咨询公司超100家企业管理咨询经验，10年港次企业集团管理工作经验，中国首批社会责任专家，省级注册安全主任，ICTI体系创建人之一，工信部五所TSQ首席诊断师。擅长人力资源管理、能力矩阵分析、员工职业发展规划、薪酬与绩效、精益管理、基层干部建设，质量、成本、生产交期、安全健康，团队建设，生产效率等各个业务领域疑难问题的解决。带领企业管理人员一起进行现场改善，通过项目管理模式，在体现数据进步的同时，建立人材梯队，建立管理体系，达到为企业自主建立造血体系的功能。</w:t>
      </w:r>
    </w:p>
    <w:p>
      <w:pPr>
        <w:spacing w:before="120" w:beforeLines="50" w:after="120" w:afterLines="50" w:line="360" w:lineRule="auto"/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服务企业有Nike, Adidas, Burberry, Coach, Li&amp;Fung, 达能，高露洁，华为，裕元集团，兴昂集团等。</w:t>
      </w:r>
    </w:p>
    <w:p>
      <w:pPr>
        <w:spacing w:before="120" w:beforeLines="50" w:after="120" w:afterLines="50" w:line="360" w:lineRule="auto"/>
        <w:ind w:firstLine="600" w:firstLineChars="200"/>
        <w:jc w:val="both"/>
        <w:rPr>
          <w:rFonts w:hint="eastAsia" w:ascii="仿宋" w:hAnsi="仿宋" w:eastAsia="仿宋"/>
          <w:sz w:val="30"/>
          <w:szCs w:val="30"/>
        </w:rPr>
      </w:pPr>
    </w:p>
    <w:p>
      <w:pPr>
        <w:pStyle w:val="13"/>
        <w:numPr>
          <w:ilvl w:val="0"/>
          <w:numId w:val="1"/>
        </w:numPr>
        <w:spacing w:before="120" w:beforeLines="50" w:after="120" w:afterLines="50" w:line="360" w:lineRule="auto"/>
        <w:ind w:left="0" w:firstLine="0"/>
        <w:jc w:val="both"/>
        <w:outlineLvl w:val="2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现场咨询专家团队</w:t>
      </w:r>
    </w:p>
    <w:p>
      <w:pPr>
        <w:spacing w:before="120" w:beforeLines="50" w:after="120" w:afterLines="50" w:line="360" w:lineRule="auto"/>
        <w:ind w:firstLine="600" w:firstLineChars="200"/>
        <w:jc w:val="both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“菁亿荟”企业创新 IPO 赋能服务平台专家团队，由菁亿投顾、万亿管理咨询等资深咨询公司核心团队组成，主导/参与多个企业业绩增长、组织管理咨询项目以及上市、并购重组项目，熟悉财务管理整改与资本运作、项目全局把控及推进能力强，服务客户包括茂业百货、亿纬锂能、美联新材、乐心医疗、跨境通、英飞拓、亿联网络、 星辉娱乐、太安堂、朗姿股份、英联股份、奥飞动漫、粤运交通、因赛股份、电声营销等多个企业的上市、再融资项目。 </w:t>
      </w:r>
    </w:p>
    <w:sectPr>
      <w:footerReference r:id="rId4" w:type="default"/>
      <w:pgSz w:w="11910" w:h="16840"/>
      <w:pgMar w:top="1440" w:right="1530" w:bottom="1440" w:left="1800" w:header="0" w:footer="97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50784B"/>
    <w:multiLevelType w:val="multilevel"/>
    <w:tmpl w:val="4050784B"/>
    <w:lvl w:ilvl="0" w:tentative="0">
      <w:start w:val="1"/>
      <w:numFmt w:val="bullet"/>
      <w:lvlText w:val=""/>
      <w:lvlJc w:val="left"/>
      <w:pPr>
        <w:ind w:left="102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4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6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8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0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2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4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6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82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D3"/>
    <w:rsid w:val="00006CC9"/>
    <w:rsid w:val="000510AE"/>
    <w:rsid w:val="00063757"/>
    <w:rsid w:val="001C42A1"/>
    <w:rsid w:val="00215049"/>
    <w:rsid w:val="00222BA5"/>
    <w:rsid w:val="00287A61"/>
    <w:rsid w:val="002D42BD"/>
    <w:rsid w:val="002E0FB0"/>
    <w:rsid w:val="002E75CA"/>
    <w:rsid w:val="00381F8A"/>
    <w:rsid w:val="003D5C69"/>
    <w:rsid w:val="00447403"/>
    <w:rsid w:val="00462536"/>
    <w:rsid w:val="00506CEC"/>
    <w:rsid w:val="0054496A"/>
    <w:rsid w:val="00561418"/>
    <w:rsid w:val="005B2E91"/>
    <w:rsid w:val="005F01F8"/>
    <w:rsid w:val="00603E29"/>
    <w:rsid w:val="006342B7"/>
    <w:rsid w:val="006661A9"/>
    <w:rsid w:val="006B35CE"/>
    <w:rsid w:val="006B510C"/>
    <w:rsid w:val="00773D00"/>
    <w:rsid w:val="0078671A"/>
    <w:rsid w:val="007B5C7B"/>
    <w:rsid w:val="007E220F"/>
    <w:rsid w:val="00813D20"/>
    <w:rsid w:val="008731BB"/>
    <w:rsid w:val="008D05A8"/>
    <w:rsid w:val="008D68E6"/>
    <w:rsid w:val="00900FFD"/>
    <w:rsid w:val="009444D3"/>
    <w:rsid w:val="0097154B"/>
    <w:rsid w:val="009E5F97"/>
    <w:rsid w:val="00A04629"/>
    <w:rsid w:val="00A9205D"/>
    <w:rsid w:val="00B557F5"/>
    <w:rsid w:val="00BF1095"/>
    <w:rsid w:val="00C04494"/>
    <w:rsid w:val="00C55F8D"/>
    <w:rsid w:val="00CC7B6B"/>
    <w:rsid w:val="00D65795"/>
    <w:rsid w:val="00D82A8E"/>
    <w:rsid w:val="00DB3606"/>
    <w:rsid w:val="00DD1A24"/>
    <w:rsid w:val="00EB67EB"/>
    <w:rsid w:val="00F2730B"/>
    <w:rsid w:val="00FA1FAC"/>
    <w:rsid w:val="00FE1CCF"/>
    <w:rsid w:val="00FE7F72"/>
    <w:rsid w:val="02FC7FBB"/>
    <w:rsid w:val="084D6D97"/>
    <w:rsid w:val="11317450"/>
    <w:rsid w:val="21262931"/>
    <w:rsid w:val="2F3A1ECB"/>
    <w:rsid w:val="31BD74D4"/>
    <w:rsid w:val="373B0513"/>
    <w:rsid w:val="389A78A2"/>
    <w:rsid w:val="405F7EF7"/>
    <w:rsid w:val="44AE724B"/>
    <w:rsid w:val="45EC43BB"/>
    <w:rsid w:val="4FB64CEE"/>
    <w:rsid w:val="6DF94A94"/>
    <w:rsid w:val="72241C8C"/>
    <w:rsid w:val="79B9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571" w:right="840"/>
      <w:jc w:val="center"/>
      <w:outlineLvl w:val="0"/>
    </w:pPr>
    <w:rPr>
      <w:rFonts w:ascii="微软雅黑" w:hAnsi="微软雅黑" w:eastAsia="微软雅黑" w:cs="微软雅黑"/>
      <w:b/>
      <w:bCs/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left="120"/>
      <w:outlineLvl w:val="1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1"/>
    <w:pPr>
      <w:spacing w:line="422" w:lineRule="exact"/>
      <w:ind w:left="682" w:hanging="279"/>
      <w:outlineLvl w:val="2"/>
    </w:pPr>
    <w:rPr>
      <w:rFonts w:ascii="Microsoft JhengHei" w:hAnsi="Microsoft JhengHei" w:eastAsia="Microsoft JhengHei" w:cs="Microsoft JhengHei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8"/>
    <w:qFormat/>
    <w:uiPriority w:val="1"/>
    <w:rPr>
      <w:sz w:val="28"/>
      <w:szCs w:val="28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11">
    <w:name w:val="Strong"/>
    <w:basedOn w:val="10"/>
    <w:qFormat/>
    <w:uiPriority w:val="0"/>
    <w:rPr>
      <w:b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961" w:hanging="279"/>
    </w:pPr>
    <w:rPr>
      <w:rFonts w:ascii="Microsoft JhengHei" w:hAnsi="Microsoft JhengHei" w:eastAsia="Microsoft JhengHei" w:cs="Microsoft JhengHei"/>
    </w:r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页眉 字符"/>
    <w:basedOn w:val="10"/>
    <w:link w:val="7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6">
    <w:name w:val="页脚 字符"/>
    <w:basedOn w:val="10"/>
    <w:link w:val="6"/>
    <w:qFormat/>
    <w:uiPriority w:val="0"/>
    <w:rPr>
      <w:rFonts w:ascii="宋体" w:hAnsi="宋体" w:cs="宋体"/>
      <w:sz w:val="18"/>
      <w:szCs w:val="18"/>
      <w:lang w:val="zh-CN" w:bidi="zh-CN"/>
    </w:rPr>
  </w:style>
  <w:style w:type="paragraph" w:customStyle="1" w:styleId="17">
    <w:name w:val="Normal Indent1"/>
    <w:qFormat/>
    <w:uiPriority w:val="0"/>
    <w:pPr>
      <w:ind w:firstLine="420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customStyle="1" w:styleId="18">
    <w:name w:val="正文文本 字符"/>
    <w:basedOn w:val="10"/>
    <w:link w:val="5"/>
    <w:qFormat/>
    <w:uiPriority w:val="1"/>
    <w:rPr>
      <w:rFonts w:ascii="宋体" w:hAnsi="宋体" w:cs="宋体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2831</Words>
  <Characters>3186</Characters>
  <Lines>23</Lines>
  <Paragraphs>6</Paragraphs>
  <TotalTime>18</TotalTime>
  <ScaleCrop>false</ScaleCrop>
  <LinksUpToDate>false</LinksUpToDate>
  <CharactersWithSpaces>3231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2021-11-22T07:50:00Z</dcterms:created>
  <dc:creator>陈芳芳</dc:creator>
  <cp:lastModifiedBy>肥O</cp:lastModifiedBy>
  <dcterms:modified xsi:type="dcterms:W3CDTF">2021-11-24T08:06:18Z</dcterms:modified>
  <dc:title>2021年广东省志愿服务促进中小企业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2021-11-19T00:00:00Z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D7E999345E1344809EB8A67FB5FD7EB8</vt:lpwstr>
  </property>
</Properties>
</file>