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56"/>
          <w:szCs w:val="44"/>
        </w:rPr>
      </w:pPr>
      <w:r>
        <w:rPr>
          <w:rFonts w:hint="eastAsia" w:ascii="黑体" w:hAnsi="黑体" w:eastAsia="黑体"/>
          <w:b/>
          <w:sz w:val="56"/>
          <w:szCs w:val="44"/>
        </w:rPr>
        <w:t xml:space="preserve"> </w:t>
      </w:r>
    </w:p>
    <w:p>
      <w:pPr>
        <w:jc w:val="center"/>
        <w:rPr>
          <w:rFonts w:ascii="黑体" w:hAnsi="黑体" w:eastAsia="黑体"/>
          <w:b/>
          <w:sz w:val="56"/>
          <w:szCs w:val="44"/>
        </w:rPr>
      </w:pPr>
    </w:p>
    <w:p>
      <w:pPr>
        <w:jc w:val="center"/>
        <w:rPr>
          <w:rFonts w:ascii="黑体" w:hAnsi="黑体" w:eastAsia="黑体"/>
          <w:b/>
          <w:sz w:val="56"/>
          <w:szCs w:val="44"/>
        </w:rPr>
      </w:pPr>
    </w:p>
    <w:p>
      <w:pPr>
        <w:jc w:val="center"/>
        <w:rPr>
          <w:rFonts w:ascii="黑体" w:hAnsi="黑体" w:eastAsia="黑体"/>
          <w:b/>
          <w:sz w:val="56"/>
          <w:szCs w:val="44"/>
        </w:rPr>
      </w:pPr>
    </w:p>
    <w:p>
      <w:pPr>
        <w:jc w:val="center"/>
        <w:rPr>
          <w:rFonts w:ascii="黑体" w:hAnsi="黑体" w:eastAsia="黑体"/>
          <w:b/>
          <w:sz w:val="56"/>
          <w:szCs w:val="44"/>
        </w:rPr>
      </w:pPr>
      <w:r>
        <w:rPr>
          <w:rFonts w:hint="eastAsia" w:ascii="黑体" w:hAnsi="黑体" w:eastAsia="黑体"/>
          <w:b/>
          <w:sz w:val="56"/>
          <w:szCs w:val="44"/>
        </w:rPr>
        <w:t>汕头市建筑业与绿色建筑发展</w:t>
      </w:r>
    </w:p>
    <w:p>
      <w:pPr>
        <w:jc w:val="center"/>
        <w:rPr>
          <w:rFonts w:ascii="黑体" w:hAnsi="黑体" w:eastAsia="黑体"/>
          <w:b/>
          <w:sz w:val="56"/>
          <w:szCs w:val="44"/>
        </w:rPr>
      </w:pPr>
      <w:r>
        <w:rPr>
          <w:rFonts w:hint="eastAsia" w:ascii="黑体" w:hAnsi="黑体" w:eastAsia="黑体"/>
          <w:b/>
          <w:sz w:val="56"/>
          <w:szCs w:val="44"/>
        </w:rPr>
        <w:t>“十四五”专项规划</w:t>
      </w:r>
    </w:p>
    <w:p>
      <w:pPr>
        <w:jc w:val="center"/>
        <w:rPr>
          <w:rFonts w:ascii="宋体" w:hAnsi="宋体"/>
        </w:rPr>
      </w:pPr>
      <w:r>
        <w:rPr>
          <w:rFonts w:hint="eastAsia" w:ascii="黑体" w:hAnsi="黑体" w:eastAsia="黑体"/>
          <w:b/>
          <w:sz w:val="56"/>
          <w:szCs w:val="44"/>
        </w:rPr>
        <w:t>（2</w:t>
      </w:r>
      <w:r>
        <w:rPr>
          <w:rFonts w:ascii="黑体" w:hAnsi="黑体" w:eastAsia="黑体"/>
          <w:b/>
          <w:sz w:val="56"/>
          <w:szCs w:val="44"/>
        </w:rPr>
        <w:t>0</w:t>
      </w:r>
      <w:r>
        <w:rPr>
          <w:rFonts w:hint="eastAsia" w:ascii="黑体" w:hAnsi="黑体" w:eastAsia="黑体"/>
          <w:b/>
          <w:sz w:val="56"/>
          <w:szCs w:val="44"/>
        </w:rPr>
        <w:t>21-</w:t>
      </w:r>
      <w:r>
        <w:rPr>
          <w:rFonts w:ascii="黑体" w:hAnsi="黑体" w:eastAsia="黑体"/>
          <w:b/>
          <w:sz w:val="56"/>
          <w:szCs w:val="44"/>
        </w:rPr>
        <w:t>2025</w:t>
      </w:r>
      <w:r>
        <w:rPr>
          <w:rFonts w:hint="eastAsia" w:ascii="黑体" w:hAnsi="黑体" w:eastAsia="黑体"/>
          <w:b/>
          <w:sz w:val="56"/>
          <w:szCs w:val="44"/>
        </w:rPr>
        <w:t>）</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tabs>
          <w:tab w:val="left" w:pos="5880"/>
        </w:tabs>
        <w:rPr>
          <w:rFonts w:ascii="宋体" w:hAnsi="宋体"/>
        </w:rPr>
      </w:pPr>
      <w:r>
        <w:rPr>
          <w:rFonts w:ascii="宋体" w:hAnsi="宋体"/>
        </w:rPr>
        <w:tab/>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tabs>
          <w:tab w:val="left" w:pos="5808"/>
        </w:tabs>
        <w:rPr>
          <w:rFonts w:ascii="宋体" w:hAnsi="宋体"/>
        </w:rPr>
      </w:pPr>
      <w:r>
        <w:rPr>
          <w:rFonts w:ascii="宋体" w:hAnsi="宋体"/>
        </w:rPr>
        <w:tab/>
      </w:r>
    </w:p>
    <w:p>
      <w:pPr>
        <w:rPr>
          <w:rFonts w:ascii="宋体" w:hAnsi="宋体"/>
        </w:rPr>
      </w:pPr>
    </w:p>
    <w:p>
      <w:pPr>
        <w:tabs>
          <w:tab w:val="left" w:pos="3263"/>
          <w:tab w:val="right" w:leader="middleDot" w:pos="9048"/>
        </w:tabs>
        <w:spacing w:before="93" w:after="93" w:line="276" w:lineRule="auto"/>
        <w:jc w:val="center"/>
        <w:rPr>
          <w:rFonts w:ascii="黑体" w:hAnsi="黑体" w:eastAsia="黑体"/>
          <w:b/>
          <w:bCs/>
          <w:sz w:val="32"/>
        </w:rPr>
      </w:pPr>
      <w:r>
        <w:rPr>
          <w:rFonts w:hint="eastAsia" w:ascii="黑体" w:hAnsi="黑体" w:eastAsia="黑体"/>
          <w:b/>
          <w:bCs/>
          <w:sz w:val="32"/>
        </w:rPr>
        <w:t>汕头市住房和城乡建设局</w:t>
      </w:r>
    </w:p>
    <w:p>
      <w:pPr>
        <w:jc w:val="center"/>
        <w:rPr>
          <w:rFonts w:ascii="黑体" w:hAnsi="黑体" w:eastAsia="黑体"/>
          <w:b/>
          <w:sz w:val="32"/>
          <w:szCs w:val="44"/>
        </w:rPr>
      </w:pPr>
      <w:r>
        <w:rPr>
          <w:rFonts w:hint="eastAsia" w:ascii="黑体" w:hAnsi="黑体" w:eastAsia="黑体"/>
          <w:b/>
          <w:sz w:val="32"/>
          <w:szCs w:val="44"/>
        </w:rPr>
        <w:t>202</w:t>
      </w:r>
      <w:r>
        <w:rPr>
          <w:rFonts w:ascii="黑体" w:hAnsi="黑体" w:eastAsia="黑体"/>
          <w:b/>
          <w:sz w:val="32"/>
          <w:szCs w:val="44"/>
        </w:rPr>
        <w:t>1</w:t>
      </w:r>
      <w:r>
        <w:rPr>
          <w:rFonts w:hint="eastAsia" w:ascii="黑体" w:hAnsi="黑体" w:eastAsia="黑体"/>
          <w:b/>
          <w:sz w:val="32"/>
          <w:szCs w:val="44"/>
        </w:rPr>
        <w:t>年</w:t>
      </w:r>
      <w:r>
        <w:rPr>
          <w:rFonts w:hint="eastAsia" w:ascii="黑体" w:hAnsi="黑体" w:eastAsia="黑体"/>
          <w:b/>
          <w:sz w:val="32"/>
          <w:szCs w:val="44"/>
          <w:lang w:val="en-US" w:eastAsia="zh-CN"/>
        </w:rPr>
        <w:t>7</w:t>
      </w:r>
      <w:r>
        <w:rPr>
          <w:rFonts w:hint="eastAsia" w:ascii="黑体" w:hAnsi="黑体" w:eastAsia="黑体"/>
          <w:b/>
          <w:sz w:val="32"/>
          <w:szCs w:val="44"/>
        </w:rPr>
        <w:t>月</w:t>
      </w:r>
    </w:p>
    <w:p>
      <w:pPr>
        <w:jc w:val="left"/>
        <w:rPr>
          <w:rFonts w:ascii="黑体" w:hAnsi="黑体" w:eastAsia="黑体"/>
          <w:b/>
          <w:bCs/>
        </w:rPr>
        <w:sectPr>
          <w:footerReference r:id="rId3" w:type="default"/>
          <w:pgSz w:w="11850" w:h="16783"/>
          <w:pgMar w:top="2268" w:right="1418" w:bottom="1701" w:left="1701" w:header="851" w:footer="992" w:gutter="0"/>
          <w:pgNumType w:start="0"/>
          <w:cols w:space="720" w:num="1"/>
          <w:titlePg/>
          <w:docGrid w:linePitch="381" w:charSpace="-4911"/>
        </w:sectPr>
      </w:pPr>
    </w:p>
    <w:sdt>
      <w:sdtPr>
        <w:rPr>
          <w:rFonts w:ascii="Calibri" w:hAnsi="Calibri" w:eastAsia="宋体"/>
          <w:color w:val="auto"/>
          <w:kern w:val="2"/>
          <w:sz w:val="21"/>
          <w:szCs w:val="24"/>
          <w:lang w:val="zh-CN"/>
        </w:rPr>
        <w:id w:val="-1183041022"/>
        <w:docPartObj>
          <w:docPartGallery w:val="Table of Contents"/>
          <w:docPartUnique/>
        </w:docPartObj>
      </w:sdtPr>
      <w:sdtEndPr>
        <w:rPr>
          <w:rFonts w:ascii="Calibri" w:hAnsi="Calibri" w:eastAsia="宋体"/>
          <w:b/>
          <w:bCs/>
          <w:color w:val="auto"/>
          <w:kern w:val="2"/>
          <w:sz w:val="21"/>
          <w:szCs w:val="24"/>
          <w:lang w:val="zh-CN"/>
        </w:rPr>
      </w:sdtEndPr>
      <w:sdtContent>
        <w:p>
          <w:pPr>
            <w:pStyle w:val="31"/>
            <w:tabs>
              <w:tab w:val="left" w:pos="2673"/>
              <w:tab w:val="center" w:pos="4607"/>
            </w:tabs>
            <w:rPr>
              <w:b/>
              <w:bCs/>
              <w:color w:val="auto"/>
            </w:rPr>
          </w:pPr>
          <w:r>
            <w:rPr>
              <w:lang w:val="zh-CN"/>
            </w:rPr>
            <w:tab/>
          </w:r>
          <w:r>
            <w:rPr>
              <w:lang w:val="zh-CN"/>
            </w:rPr>
            <w:tab/>
          </w:r>
          <w:r>
            <w:rPr>
              <w:b/>
              <w:bCs/>
              <w:color w:val="auto"/>
              <w:sz w:val="36"/>
              <w:szCs w:val="36"/>
              <w:lang w:val="zh-CN"/>
            </w:rPr>
            <w:t>目</w:t>
          </w:r>
          <w:r>
            <w:rPr>
              <w:rFonts w:hint="eastAsia"/>
              <w:b/>
              <w:bCs/>
              <w:color w:val="auto"/>
              <w:sz w:val="36"/>
              <w:szCs w:val="36"/>
              <w:lang w:val="zh-CN"/>
            </w:rPr>
            <w:t xml:space="preserve"> </w:t>
          </w:r>
          <w:r>
            <w:rPr>
              <w:b/>
              <w:bCs/>
              <w:color w:val="auto"/>
              <w:sz w:val="36"/>
              <w:szCs w:val="36"/>
              <w:lang w:val="zh-CN"/>
            </w:rPr>
            <w:t xml:space="preserve"> 录</w:t>
          </w:r>
        </w:p>
        <w:p>
          <w:pPr>
            <w:pStyle w:val="12"/>
            <w:tabs>
              <w:tab w:val="right" w:leader="dot" w:pos="8931"/>
            </w:tabs>
            <w:ind w:left="210" w:right="210"/>
            <w:rPr>
              <w:rStyle w:val="22"/>
              <w:rFonts w:ascii="黑体" w:hAnsi="黑体" w:eastAsia="黑体"/>
              <w:sz w:val="32"/>
              <w:szCs w:val="40"/>
            </w:rPr>
          </w:pPr>
          <w:r>
            <w:fldChar w:fldCharType="begin"/>
          </w:r>
          <w:r>
            <w:instrText xml:space="preserve"> TOC \o "1-3" \h \z \u </w:instrText>
          </w:r>
          <w:r>
            <w:fldChar w:fldCharType="separate"/>
          </w:r>
          <w:r>
            <w:fldChar w:fldCharType="begin"/>
          </w:r>
          <w:r>
            <w:instrText xml:space="preserve"> HYPERLINK \l "_Toc58405002" </w:instrText>
          </w:r>
          <w:r>
            <w:fldChar w:fldCharType="separate"/>
          </w:r>
          <w:r>
            <w:rPr>
              <w:rStyle w:val="22"/>
              <w:rFonts w:ascii="黑体" w:hAnsi="黑体" w:eastAsia="黑体"/>
              <w:sz w:val="32"/>
              <w:szCs w:val="40"/>
            </w:rPr>
            <w:t>一. 总  则</w:t>
          </w:r>
          <w:r>
            <w:rPr>
              <w:rStyle w:val="22"/>
              <w:rFonts w:ascii="黑体" w:hAnsi="黑体" w:eastAsia="黑体"/>
              <w:sz w:val="32"/>
              <w:szCs w:val="40"/>
            </w:rPr>
            <w:tab/>
          </w:r>
          <w:r>
            <w:rPr>
              <w:rStyle w:val="22"/>
              <w:rFonts w:ascii="黑体" w:hAnsi="黑体" w:eastAsia="黑体"/>
              <w:sz w:val="32"/>
              <w:szCs w:val="40"/>
            </w:rPr>
            <w:fldChar w:fldCharType="begin"/>
          </w:r>
          <w:r>
            <w:rPr>
              <w:rStyle w:val="22"/>
              <w:rFonts w:ascii="黑体" w:hAnsi="黑体" w:eastAsia="黑体"/>
              <w:sz w:val="32"/>
              <w:szCs w:val="40"/>
            </w:rPr>
            <w:instrText xml:space="preserve"> PAGEREF _Toc58405002 \h </w:instrText>
          </w:r>
          <w:r>
            <w:rPr>
              <w:rStyle w:val="22"/>
              <w:rFonts w:ascii="黑体" w:hAnsi="黑体" w:eastAsia="黑体"/>
              <w:sz w:val="32"/>
              <w:szCs w:val="40"/>
            </w:rPr>
            <w:fldChar w:fldCharType="separate"/>
          </w:r>
          <w:r>
            <w:rPr>
              <w:rStyle w:val="22"/>
              <w:rFonts w:ascii="黑体" w:hAnsi="黑体" w:eastAsia="黑体"/>
              <w:sz w:val="32"/>
              <w:szCs w:val="40"/>
            </w:rPr>
            <w:t>5</w:t>
          </w:r>
          <w:r>
            <w:rPr>
              <w:rStyle w:val="22"/>
              <w:rFonts w:ascii="黑体" w:hAnsi="黑体" w:eastAsia="黑体"/>
              <w:sz w:val="32"/>
              <w:szCs w:val="40"/>
            </w:rPr>
            <w:fldChar w:fldCharType="end"/>
          </w:r>
          <w:r>
            <w:rPr>
              <w:rStyle w:val="22"/>
              <w:rFonts w:ascii="黑体" w:hAnsi="黑体" w:eastAsia="黑体"/>
              <w:sz w:val="32"/>
              <w:szCs w:val="40"/>
            </w:rPr>
            <w:fldChar w:fldCharType="end"/>
          </w:r>
        </w:p>
        <w:p>
          <w:pPr>
            <w:pStyle w:val="12"/>
            <w:tabs>
              <w:tab w:val="right" w:leader="dot" w:pos="8931"/>
            </w:tabs>
            <w:spacing w:before="0" w:after="0"/>
            <w:ind w:left="-567" w:leftChars="-270" w:right="210" w:firstLine="744" w:firstLineChars="353"/>
            <w:rPr>
              <w:rStyle w:val="22"/>
              <w:rFonts w:ascii="楷体" w:hAnsi="楷体" w:eastAsia="楷体"/>
              <w:kern w:val="28"/>
              <w:sz w:val="32"/>
              <w:szCs w:val="40"/>
              <w:lang w:bidi="ar"/>
            </w:rPr>
          </w:pPr>
          <w:r>
            <w:fldChar w:fldCharType="begin"/>
          </w:r>
          <w:r>
            <w:instrText xml:space="preserve"> HYPERLINK \l "_Toc58405003" </w:instrText>
          </w:r>
          <w:r>
            <w:fldChar w:fldCharType="separate"/>
          </w:r>
          <w:r>
            <w:rPr>
              <w:rStyle w:val="22"/>
              <w:rFonts w:ascii="楷体" w:hAnsi="楷体" w:eastAsia="楷体"/>
              <w:kern w:val="28"/>
              <w:sz w:val="32"/>
              <w:szCs w:val="40"/>
              <w:lang w:bidi="ar"/>
            </w:rPr>
            <w:t>1.1规划目的</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_Toc58405003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5</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2"/>
            <w:tabs>
              <w:tab w:val="left" w:pos="1843"/>
              <w:tab w:val="right" w:leader="dot" w:pos="8931"/>
            </w:tabs>
            <w:spacing w:before="0" w:after="0"/>
            <w:ind w:left="-567" w:leftChars="-270" w:right="210" w:firstLine="744" w:firstLineChars="353"/>
            <w:rPr>
              <w:rStyle w:val="22"/>
              <w:rFonts w:ascii="楷体" w:hAnsi="楷体" w:eastAsia="楷体"/>
              <w:kern w:val="28"/>
              <w:sz w:val="32"/>
              <w:szCs w:val="40"/>
              <w:lang w:bidi="ar"/>
            </w:rPr>
          </w:pPr>
          <w:r>
            <w:fldChar w:fldCharType="begin"/>
          </w:r>
          <w:r>
            <w:instrText xml:space="preserve"> HYPERLINK \l "_Toc58405004" </w:instrText>
          </w:r>
          <w:r>
            <w:fldChar w:fldCharType="separate"/>
          </w:r>
          <w:r>
            <w:rPr>
              <w:rStyle w:val="22"/>
              <w:rFonts w:ascii="楷体" w:hAnsi="楷体" w:eastAsia="楷体"/>
              <w:kern w:val="28"/>
              <w:sz w:val="32"/>
              <w:szCs w:val="40"/>
              <w:lang w:bidi="ar"/>
            </w:rPr>
            <w:t>1.2规划原则</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_Toc58405004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5</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"_Toc58405005" </w:instrText>
          </w:r>
          <w:r>
            <w:fldChar w:fldCharType="separate"/>
          </w:r>
          <w:r>
            <w:rPr>
              <w:rStyle w:val="22"/>
              <w:rFonts w:ascii="楷体" w:hAnsi="楷体" w:eastAsia="楷体"/>
              <w:sz w:val="32"/>
              <w:szCs w:val="40"/>
              <w:lang w:bidi="ar"/>
            </w:rPr>
            <w:t>1.2.1 以人为本，创新驱动</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_Toc58405005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5</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"_Toc58405006" </w:instrText>
          </w:r>
          <w:r>
            <w:fldChar w:fldCharType="separate"/>
          </w:r>
          <w:r>
            <w:rPr>
              <w:rStyle w:val="22"/>
              <w:rFonts w:ascii="楷体" w:hAnsi="楷体" w:eastAsia="楷体"/>
              <w:sz w:val="32"/>
              <w:szCs w:val="40"/>
              <w:lang w:bidi="ar"/>
            </w:rPr>
            <w:t>1.2.2 因地制宜，分类指导</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_Toc58405006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6</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"_Toc58405007" </w:instrText>
          </w:r>
          <w:r>
            <w:fldChar w:fldCharType="separate"/>
          </w:r>
          <w:r>
            <w:rPr>
              <w:rStyle w:val="22"/>
              <w:rFonts w:ascii="楷体" w:hAnsi="楷体" w:eastAsia="楷体"/>
              <w:sz w:val="32"/>
              <w:szCs w:val="40"/>
              <w:lang w:bidi="ar"/>
            </w:rPr>
            <w:t>1.2.3 政府引导，市场推动</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_Toc58405007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6</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"_Toc58405008" </w:instrText>
          </w:r>
          <w:r>
            <w:fldChar w:fldCharType="separate"/>
          </w:r>
          <w:r>
            <w:rPr>
              <w:rStyle w:val="22"/>
              <w:rFonts w:ascii="楷体" w:hAnsi="楷体" w:eastAsia="楷体"/>
              <w:sz w:val="32"/>
              <w:szCs w:val="40"/>
              <w:lang w:bidi="ar"/>
            </w:rPr>
            <w:t>1.2.4 立足当前，着眼长远</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_Toc58405008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6</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"_Toc58405009" </w:instrText>
          </w:r>
          <w:r>
            <w:fldChar w:fldCharType="separate"/>
          </w:r>
          <w:r>
            <w:rPr>
              <w:rStyle w:val="22"/>
              <w:rFonts w:ascii="楷体" w:hAnsi="楷体" w:eastAsia="楷体"/>
              <w:sz w:val="32"/>
              <w:szCs w:val="40"/>
              <w:lang w:bidi="ar"/>
            </w:rPr>
            <w:t>1.2.5 全面推进，突出重点</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_Toc58405009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7</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2"/>
            <w:tabs>
              <w:tab w:val="right" w:leader="dot" w:pos="8931"/>
            </w:tabs>
            <w:spacing w:before="0" w:after="0"/>
            <w:ind w:left="-567" w:leftChars="-270" w:right="210" w:firstLine="744" w:firstLineChars="353"/>
            <w:rPr>
              <w:rStyle w:val="22"/>
              <w:rFonts w:ascii="楷体" w:hAnsi="楷体" w:eastAsia="楷体"/>
              <w:kern w:val="28"/>
              <w:sz w:val="32"/>
              <w:szCs w:val="40"/>
              <w:lang w:bidi="ar"/>
            </w:rPr>
          </w:pPr>
          <w:r>
            <w:fldChar w:fldCharType="begin"/>
          </w:r>
          <w:r>
            <w:instrText xml:space="preserve"> HYPERLINK \l "_Toc58405010" </w:instrText>
          </w:r>
          <w:r>
            <w:fldChar w:fldCharType="separate"/>
          </w:r>
          <w:r>
            <w:rPr>
              <w:rStyle w:val="22"/>
              <w:rFonts w:ascii="楷体" w:hAnsi="楷体" w:eastAsia="楷体"/>
              <w:kern w:val="28"/>
              <w:sz w:val="32"/>
              <w:szCs w:val="40"/>
              <w:lang w:bidi="ar"/>
            </w:rPr>
            <w:t>1.3 规划依据</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_Toc58405010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7</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"_Toc58405011" </w:instrText>
          </w:r>
          <w:r>
            <w:fldChar w:fldCharType="separate"/>
          </w:r>
          <w:r>
            <w:rPr>
              <w:rStyle w:val="22"/>
              <w:rFonts w:ascii="楷体" w:hAnsi="楷体" w:eastAsia="楷体"/>
              <w:sz w:val="32"/>
              <w:szCs w:val="40"/>
              <w:lang w:bidi="ar"/>
            </w:rPr>
            <w:t>1.3.1 法律法规</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_Toc58405011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7</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"_Toc58405012" </w:instrText>
          </w:r>
          <w:r>
            <w:fldChar w:fldCharType="separate"/>
          </w:r>
          <w:r>
            <w:rPr>
              <w:rStyle w:val="22"/>
              <w:rFonts w:ascii="楷体" w:hAnsi="楷体" w:eastAsia="楷体"/>
              <w:sz w:val="32"/>
              <w:szCs w:val="40"/>
              <w:lang w:bidi="ar"/>
            </w:rPr>
            <w:t>1.3.2 规范标准</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_Toc58405012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7</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"_Toc58405013" </w:instrText>
          </w:r>
          <w:r>
            <w:fldChar w:fldCharType="separate"/>
          </w:r>
          <w:r>
            <w:rPr>
              <w:rStyle w:val="22"/>
              <w:rFonts w:ascii="楷体" w:hAnsi="楷体" w:eastAsia="楷体"/>
              <w:sz w:val="32"/>
              <w:szCs w:val="40"/>
              <w:lang w:bidi="ar"/>
            </w:rPr>
            <w:t>1.3.3 相关规划</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_Toc58405013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8</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2"/>
            <w:tabs>
              <w:tab w:val="right" w:leader="dot" w:pos="8931"/>
            </w:tabs>
            <w:spacing w:before="0" w:after="0"/>
            <w:ind w:left="-567" w:leftChars="-270" w:right="210" w:firstLine="744" w:firstLineChars="353"/>
            <w:rPr>
              <w:rStyle w:val="22"/>
              <w:rFonts w:ascii="楷体" w:hAnsi="楷体" w:eastAsia="楷体"/>
              <w:kern w:val="28"/>
              <w:sz w:val="32"/>
              <w:szCs w:val="40"/>
              <w:lang w:bidi="ar"/>
            </w:rPr>
          </w:pPr>
          <w:r>
            <w:fldChar w:fldCharType="begin"/>
          </w:r>
          <w:r>
            <w:instrText xml:space="preserve"> HYPERLINK \l "_Toc58405014" </w:instrText>
          </w:r>
          <w:r>
            <w:fldChar w:fldCharType="separate"/>
          </w:r>
          <w:r>
            <w:rPr>
              <w:rStyle w:val="22"/>
              <w:rFonts w:ascii="楷体" w:hAnsi="楷体" w:eastAsia="楷体"/>
              <w:kern w:val="28"/>
              <w:sz w:val="32"/>
              <w:szCs w:val="40"/>
              <w:lang w:bidi="ar"/>
            </w:rPr>
            <w:t>1.4 规划范围和内容</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_Toc58405014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8</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2"/>
            <w:tabs>
              <w:tab w:val="right" w:leader="dot" w:pos="8931"/>
            </w:tabs>
            <w:spacing w:before="0" w:after="0"/>
            <w:ind w:left="-567" w:leftChars="-270" w:right="210" w:firstLine="744" w:firstLineChars="353"/>
            <w:rPr>
              <w:rFonts w:asciiTheme="minorHAnsi" w:hAnsiTheme="minorHAnsi" w:eastAsiaTheme="minorEastAsia" w:cstheme="minorBidi"/>
              <w:b w:val="0"/>
              <w:bCs w:val="0"/>
              <w:caps w:val="0"/>
              <w:szCs w:val="22"/>
            </w:rPr>
          </w:pPr>
          <w:r>
            <w:fldChar w:fldCharType="begin"/>
          </w:r>
          <w:r>
            <w:instrText xml:space="preserve"> HYPERLINK \l "_Toc58405015" </w:instrText>
          </w:r>
          <w:r>
            <w:fldChar w:fldCharType="separate"/>
          </w:r>
          <w:r>
            <w:rPr>
              <w:rStyle w:val="22"/>
              <w:rFonts w:ascii="楷体" w:hAnsi="楷体" w:eastAsia="楷体"/>
              <w:kern w:val="28"/>
              <w:sz w:val="32"/>
              <w:szCs w:val="40"/>
              <w:lang w:bidi="ar"/>
            </w:rPr>
            <w:t>1.5 规划期限</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_Toc58405015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8</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2"/>
            <w:tabs>
              <w:tab w:val="right" w:leader="dot" w:pos="8931"/>
            </w:tabs>
            <w:ind w:left="210" w:right="210"/>
            <w:rPr>
              <w:rStyle w:val="22"/>
              <w:rFonts w:ascii="黑体" w:hAnsi="黑体" w:eastAsia="黑体"/>
              <w:sz w:val="32"/>
              <w:szCs w:val="40"/>
            </w:rPr>
          </w:pPr>
          <w:r>
            <w:fldChar w:fldCharType="begin"/>
          </w:r>
          <w:r>
            <w:instrText xml:space="preserve"> HYPERLINK \l "_Toc58405016" </w:instrText>
          </w:r>
          <w:r>
            <w:fldChar w:fldCharType="separate"/>
          </w:r>
          <w:r>
            <w:rPr>
              <w:rStyle w:val="22"/>
              <w:rFonts w:ascii="黑体" w:hAnsi="黑体" w:eastAsia="黑体"/>
              <w:sz w:val="32"/>
              <w:szCs w:val="40"/>
            </w:rPr>
            <w:t>二．建筑业发展规划</w:t>
          </w:r>
          <w:r>
            <w:rPr>
              <w:rStyle w:val="22"/>
              <w:rFonts w:ascii="黑体" w:hAnsi="黑体" w:eastAsia="黑体"/>
              <w:sz w:val="32"/>
              <w:szCs w:val="40"/>
            </w:rPr>
            <w:tab/>
          </w:r>
          <w:r>
            <w:rPr>
              <w:rStyle w:val="22"/>
              <w:rFonts w:ascii="黑体" w:hAnsi="黑体" w:eastAsia="黑体"/>
              <w:sz w:val="32"/>
              <w:szCs w:val="40"/>
            </w:rPr>
            <w:fldChar w:fldCharType="begin"/>
          </w:r>
          <w:r>
            <w:rPr>
              <w:rStyle w:val="22"/>
              <w:rFonts w:ascii="黑体" w:hAnsi="黑体" w:eastAsia="黑体"/>
              <w:sz w:val="32"/>
              <w:szCs w:val="40"/>
            </w:rPr>
            <w:instrText xml:space="preserve"> PAGEREF _Toc58405016 \h </w:instrText>
          </w:r>
          <w:r>
            <w:rPr>
              <w:rStyle w:val="22"/>
              <w:rFonts w:ascii="黑体" w:hAnsi="黑体" w:eastAsia="黑体"/>
              <w:sz w:val="32"/>
              <w:szCs w:val="40"/>
            </w:rPr>
            <w:fldChar w:fldCharType="separate"/>
          </w:r>
          <w:r>
            <w:rPr>
              <w:rStyle w:val="22"/>
              <w:rFonts w:ascii="黑体" w:hAnsi="黑体" w:eastAsia="黑体"/>
              <w:sz w:val="32"/>
              <w:szCs w:val="40"/>
            </w:rPr>
            <w:t>9</w:t>
          </w:r>
          <w:r>
            <w:rPr>
              <w:rStyle w:val="22"/>
              <w:rFonts w:ascii="黑体" w:hAnsi="黑体" w:eastAsia="黑体"/>
              <w:sz w:val="32"/>
              <w:szCs w:val="40"/>
            </w:rPr>
            <w:fldChar w:fldCharType="end"/>
          </w:r>
          <w:r>
            <w:rPr>
              <w:rStyle w:val="22"/>
              <w:rFonts w:ascii="黑体" w:hAnsi="黑体" w:eastAsia="黑体"/>
              <w:sz w:val="32"/>
              <w:szCs w:val="40"/>
            </w:rPr>
            <w:fldChar w:fldCharType="end"/>
          </w:r>
        </w:p>
        <w:p>
          <w:pPr>
            <w:pStyle w:val="12"/>
            <w:tabs>
              <w:tab w:val="right" w:leader="dot" w:pos="8931"/>
            </w:tabs>
            <w:spacing w:before="0" w:after="0"/>
            <w:ind w:left="-567" w:leftChars="-270" w:right="210" w:firstLine="744" w:firstLineChars="353"/>
            <w:rPr>
              <w:rStyle w:val="22"/>
              <w:rFonts w:ascii="楷体" w:hAnsi="楷体" w:eastAsia="楷体"/>
              <w:kern w:val="28"/>
              <w:sz w:val="32"/>
              <w:szCs w:val="40"/>
              <w:lang w:bidi="ar"/>
            </w:rPr>
          </w:pPr>
          <w:r>
            <w:fldChar w:fldCharType="begin"/>
          </w:r>
          <w:r>
            <w:instrText xml:space="preserve"> HYPERLINK \l "_Toc58405017" </w:instrText>
          </w:r>
          <w:r>
            <w:fldChar w:fldCharType="separate"/>
          </w:r>
          <w:r>
            <w:rPr>
              <w:rStyle w:val="22"/>
              <w:rFonts w:ascii="楷体" w:hAnsi="楷体" w:eastAsia="楷体"/>
              <w:kern w:val="28"/>
              <w:sz w:val="32"/>
              <w:szCs w:val="40"/>
              <w:lang w:bidi="ar"/>
            </w:rPr>
            <w:t>2.1 建筑业发展情况综述</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_Toc58405017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9</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"_Toc58405018" </w:instrText>
          </w:r>
          <w:r>
            <w:fldChar w:fldCharType="separate"/>
          </w:r>
          <w:r>
            <w:rPr>
              <w:rStyle w:val="22"/>
              <w:rFonts w:ascii="楷体" w:hAnsi="楷体" w:eastAsia="楷体"/>
              <w:sz w:val="32"/>
              <w:szCs w:val="40"/>
              <w:lang w:bidi="ar"/>
            </w:rPr>
            <w:t>2.1.1 “十三五”期间建筑业发展概况</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_Toc58405018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9</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"_Toc58405019" </w:instrText>
          </w:r>
          <w:r>
            <w:fldChar w:fldCharType="separate"/>
          </w:r>
          <w:r>
            <w:rPr>
              <w:rStyle w:val="22"/>
              <w:rFonts w:ascii="楷体" w:hAnsi="楷体" w:eastAsia="楷体"/>
              <w:sz w:val="32"/>
              <w:szCs w:val="40"/>
              <w:lang w:bidi="ar"/>
            </w:rPr>
            <w:t>2.1.2 问题与短板</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_Toc58405019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10</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"_Toc58405020" </w:instrText>
          </w:r>
          <w:r>
            <w:fldChar w:fldCharType="separate"/>
          </w:r>
          <w:r>
            <w:rPr>
              <w:rStyle w:val="22"/>
              <w:rFonts w:ascii="楷体" w:hAnsi="楷体" w:eastAsia="楷体"/>
              <w:sz w:val="32"/>
              <w:szCs w:val="40"/>
              <w:lang w:bidi="ar"/>
            </w:rPr>
            <w:t xml:space="preserve">2.1.3 </w:t>
          </w:r>
          <w:r>
            <w:rPr>
              <w:rStyle w:val="22"/>
              <w:rFonts w:hint="eastAsia" w:ascii="楷体" w:hAnsi="楷体" w:eastAsia="楷体"/>
              <w:sz w:val="32"/>
              <w:szCs w:val="40"/>
              <w:lang w:bidi="ar"/>
            </w:rPr>
            <w:t>建筑业</w:t>
          </w:r>
          <w:r>
            <w:rPr>
              <w:rStyle w:val="22"/>
              <w:rFonts w:ascii="楷体" w:hAnsi="楷体" w:eastAsia="楷体"/>
              <w:sz w:val="32"/>
              <w:szCs w:val="40"/>
              <w:lang w:bidi="ar"/>
            </w:rPr>
            <w:t>“十四五”规划思路</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_Toc58405020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11</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2"/>
            <w:tabs>
              <w:tab w:val="right" w:leader="dot" w:pos="8931"/>
            </w:tabs>
            <w:spacing w:before="0" w:after="0"/>
            <w:ind w:left="-567" w:leftChars="-270" w:right="210" w:firstLine="744" w:firstLineChars="353"/>
            <w:rPr>
              <w:rStyle w:val="22"/>
              <w:rFonts w:ascii="楷体" w:hAnsi="楷体" w:eastAsia="楷体"/>
              <w:kern w:val="28"/>
              <w:sz w:val="32"/>
              <w:szCs w:val="40"/>
              <w:lang w:bidi="ar"/>
            </w:rPr>
          </w:pPr>
          <w:r>
            <w:fldChar w:fldCharType="begin"/>
          </w:r>
          <w:r>
            <w:instrText xml:space="preserve"> HYPERLINK \l "_Toc58405025" </w:instrText>
          </w:r>
          <w:r>
            <w:fldChar w:fldCharType="separate"/>
          </w:r>
          <w:r>
            <w:rPr>
              <w:rStyle w:val="22"/>
              <w:rFonts w:ascii="楷体" w:hAnsi="楷体" w:eastAsia="楷体"/>
              <w:kern w:val="28"/>
              <w:sz w:val="32"/>
              <w:szCs w:val="40"/>
              <w:lang w:bidi="ar"/>
            </w:rPr>
            <w:t>2.2发展绿色建筑对于建筑业的意义</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_Toc58405025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13</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"_Toc58405026" </w:instrText>
          </w:r>
          <w:r>
            <w:fldChar w:fldCharType="separate"/>
          </w:r>
          <w:r>
            <w:rPr>
              <w:rStyle w:val="22"/>
              <w:rFonts w:ascii="楷体" w:hAnsi="楷体" w:eastAsia="楷体"/>
              <w:sz w:val="32"/>
              <w:szCs w:val="40"/>
              <w:lang w:bidi="ar"/>
            </w:rPr>
            <w:t>2.2.1新时期建设生态文明的重要举措</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_Toc58405026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13</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"_Toc58405027" </w:instrText>
          </w:r>
          <w:r>
            <w:fldChar w:fldCharType="separate"/>
          </w:r>
          <w:r>
            <w:rPr>
              <w:rStyle w:val="22"/>
              <w:rFonts w:ascii="楷体" w:hAnsi="楷体" w:eastAsia="楷体"/>
              <w:sz w:val="32"/>
              <w:szCs w:val="40"/>
              <w:lang w:bidi="ar"/>
            </w:rPr>
            <w:t>2.2.2建筑业节能减排进程的重要途径</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_Toc58405027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13</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"_Toc58405028" </w:instrText>
          </w:r>
          <w:r>
            <w:fldChar w:fldCharType="separate"/>
          </w:r>
          <w:r>
            <w:rPr>
              <w:rStyle w:val="22"/>
              <w:rFonts w:ascii="楷体" w:hAnsi="楷体" w:eastAsia="楷体"/>
              <w:sz w:val="32"/>
              <w:szCs w:val="40"/>
              <w:lang w:bidi="ar"/>
            </w:rPr>
            <w:t>2.2.3保障和改善住房条件的有效手段</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_Toc58405028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14</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"_Toc58405029" </w:instrText>
          </w:r>
          <w:r>
            <w:fldChar w:fldCharType="separate"/>
          </w:r>
          <w:r>
            <w:rPr>
              <w:rStyle w:val="22"/>
              <w:rFonts w:ascii="楷体" w:hAnsi="楷体" w:eastAsia="楷体"/>
              <w:sz w:val="32"/>
              <w:szCs w:val="40"/>
              <w:lang w:bidi="ar"/>
            </w:rPr>
            <w:t>2.2.4推进城乡建设模式转型的必经之路</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_Toc58405029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14</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2"/>
            <w:tabs>
              <w:tab w:val="right" w:leader="dot" w:pos="8931"/>
            </w:tabs>
            <w:ind w:left="210" w:right="210"/>
            <w:rPr>
              <w:rStyle w:val="22"/>
              <w:rFonts w:ascii="黑体" w:hAnsi="黑体" w:eastAsia="黑体"/>
              <w:sz w:val="32"/>
              <w:szCs w:val="40"/>
            </w:rPr>
          </w:pPr>
          <w:r>
            <w:fldChar w:fldCharType="begin"/>
          </w:r>
          <w:r>
            <w:instrText xml:space="preserve"> HYPERLINK \l "_Toc58405030" </w:instrText>
          </w:r>
          <w:r>
            <w:fldChar w:fldCharType="separate"/>
          </w:r>
          <w:r>
            <w:rPr>
              <w:rStyle w:val="22"/>
              <w:rFonts w:ascii="黑体" w:hAnsi="黑体" w:eastAsia="黑体"/>
              <w:sz w:val="32"/>
              <w:szCs w:val="40"/>
            </w:rPr>
            <w:t>三．绿色建筑发展规划</w:t>
          </w:r>
          <w:r>
            <w:rPr>
              <w:rStyle w:val="22"/>
              <w:rFonts w:ascii="黑体" w:hAnsi="黑体" w:eastAsia="黑体"/>
              <w:sz w:val="32"/>
              <w:szCs w:val="40"/>
            </w:rPr>
            <w:tab/>
          </w:r>
          <w:r>
            <w:rPr>
              <w:rStyle w:val="22"/>
              <w:rFonts w:ascii="黑体" w:hAnsi="黑体" w:eastAsia="黑体"/>
              <w:sz w:val="32"/>
              <w:szCs w:val="40"/>
            </w:rPr>
            <w:fldChar w:fldCharType="begin"/>
          </w:r>
          <w:r>
            <w:rPr>
              <w:rStyle w:val="22"/>
              <w:rFonts w:ascii="黑体" w:hAnsi="黑体" w:eastAsia="黑体"/>
              <w:sz w:val="32"/>
              <w:szCs w:val="40"/>
            </w:rPr>
            <w:instrText xml:space="preserve"> PAGEREF _Toc58405030 \h </w:instrText>
          </w:r>
          <w:r>
            <w:rPr>
              <w:rStyle w:val="22"/>
              <w:rFonts w:ascii="黑体" w:hAnsi="黑体" w:eastAsia="黑体"/>
              <w:sz w:val="32"/>
              <w:szCs w:val="40"/>
            </w:rPr>
            <w:fldChar w:fldCharType="separate"/>
          </w:r>
          <w:r>
            <w:rPr>
              <w:rStyle w:val="22"/>
              <w:rFonts w:ascii="黑体" w:hAnsi="黑体" w:eastAsia="黑体"/>
              <w:sz w:val="32"/>
              <w:szCs w:val="40"/>
            </w:rPr>
            <w:t>15</w:t>
          </w:r>
          <w:r>
            <w:rPr>
              <w:rStyle w:val="22"/>
              <w:rFonts w:ascii="黑体" w:hAnsi="黑体" w:eastAsia="黑体"/>
              <w:sz w:val="32"/>
              <w:szCs w:val="40"/>
            </w:rPr>
            <w:fldChar w:fldCharType="end"/>
          </w:r>
          <w:r>
            <w:rPr>
              <w:rStyle w:val="22"/>
              <w:rFonts w:ascii="黑体" w:hAnsi="黑体" w:eastAsia="黑体"/>
              <w:sz w:val="32"/>
              <w:szCs w:val="40"/>
            </w:rPr>
            <w:fldChar w:fldCharType="end"/>
          </w:r>
        </w:p>
        <w:p>
          <w:pPr>
            <w:pStyle w:val="12"/>
            <w:tabs>
              <w:tab w:val="right" w:leader="dot" w:pos="8931"/>
            </w:tabs>
            <w:spacing w:before="0" w:after="0"/>
            <w:ind w:left="-567" w:leftChars="-270" w:right="210" w:firstLine="744" w:firstLineChars="353"/>
            <w:rPr>
              <w:rStyle w:val="22"/>
              <w:rFonts w:ascii="楷体" w:hAnsi="楷体" w:eastAsia="楷体"/>
              <w:kern w:val="28"/>
              <w:sz w:val="32"/>
              <w:szCs w:val="40"/>
              <w:lang w:bidi="ar"/>
            </w:rPr>
          </w:pPr>
          <w:r>
            <w:fldChar w:fldCharType="begin"/>
          </w:r>
          <w:r>
            <w:instrText xml:space="preserve"> HYPERLINK \l "_Toc58405031" </w:instrText>
          </w:r>
          <w:r>
            <w:fldChar w:fldCharType="separate"/>
          </w:r>
          <w:r>
            <w:rPr>
              <w:rStyle w:val="22"/>
              <w:rFonts w:ascii="楷体" w:hAnsi="楷体" w:eastAsia="楷体"/>
              <w:kern w:val="28"/>
              <w:sz w:val="32"/>
              <w:szCs w:val="40"/>
              <w:lang w:bidi="ar"/>
            </w:rPr>
            <w:t>3.1绿色建筑发展综述</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_Toc58405031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15</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2"/>
            <w:tabs>
              <w:tab w:val="right" w:leader="dot" w:pos="8931"/>
            </w:tabs>
            <w:spacing w:before="0" w:after="0"/>
            <w:ind w:left="-567" w:leftChars="-270" w:right="210" w:firstLine="744" w:firstLineChars="353"/>
            <w:rPr>
              <w:rStyle w:val="22"/>
              <w:rFonts w:ascii="楷体" w:hAnsi="楷体" w:eastAsia="楷体"/>
              <w:kern w:val="28"/>
              <w:sz w:val="32"/>
              <w:szCs w:val="40"/>
              <w:lang w:bidi="ar"/>
            </w:rPr>
          </w:pPr>
          <w:r>
            <w:fldChar w:fldCharType="begin"/>
          </w:r>
          <w:r>
            <w:instrText xml:space="preserve"> HYPERLINK \l "_Toc58405032" </w:instrText>
          </w:r>
          <w:r>
            <w:fldChar w:fldCharType="separate"/>
          </w:r>
          <w:r>
            <w:rPr>
              <w:rStyle w:val="22"/>
              <w:rFonts w:ascii="楷体" w:hAnsi="楷体" w:eastAsia="楷体"/>
              <w:kern w:val="28"/>
              <w:sz w:val="32"/>
              <w:szCs w:val="40"/>
              <w:lang w:bidi="ar"/>
            </w:rPr>
            <w:t>3.2完善监督管理机制</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_Toc58405032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16</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"_Toc58405033" </w:instrText>
          </w:r>
          <w:r>
            <w:fldChar w:fldCharType="separate"/>
          </w:r>
          <w:r>
            <w:rPr>
              <w:rStyle w:val="22"/>
              <w:rFonts w:ascii="楷体" w:hAnsi="楷体" w:eastAsia="楷体"/>
              <w:sz w:val="32"/>
              <w:szCs w:val="40"/>
              <w:lang w:bidi="ar"/>
            </w:rPr>
            <w:t>3.2.1完善汕头绿色建筑管理机制</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_Toc58405033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16</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"_Toc58405034" </w:instrText>
          </w:r>
          <w:r>
            <w:fldChar w:fldCharType="separate"/>
          </w:r>
          <w:r>
            <w:rPr>
              <w:rStyle w:val="22"/>
              <w:rFonts w:ascii="楷体" w:hAnsi="楷体" w:eastAsia="楷体"/>
              <w:sz w:val="32"/>
              <w:szCs w:val="40"/>
              <w:lang w:bidi="ar"/>
            </w:rPr>
            <w:t>3.2.2建立绿色建筑生态圈</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_Toc58405034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16</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"_Toc58405035" </w:instrText>
          </w:r>
          <w:r>
            <w:fldChar w:fldCharType="separate"/>
          </w:r>
          <w:r>
            <w:rPr>
              <w:rStyle w:val="22"/>
              <w:rFonts w:ascii="楷体" w:hAnsi="楷体" w:eastAsia="楷体"/>
              <w:sz w:val="32"/>
              <w:szCs w:val="40"/>
              <w:lang w:bidi="ar"/>
            </w:rPr>
            <w:t>3.2.3开展绿色社区创建行动</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_Toc58405035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17</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"_Toc58405036" </w:instrText>
          </w:r>
          <w:r>
            <w:fldChar w:fldCharType="separate"/>
          </w:r>
          <w:r>
            <w:rPr>
              <w:rStyle w:val="22"/>
              <w:rFonts w:ascii="楷体" w:hAnsi="楷体" w:eastAsia="楷体"/>
              <w:sz w:val="32"/>
              <w:szCs w:val="40"/>
              <w:lang w:bidi="ar"/>
            </w:rPr>
            <w:t>3.2.4大力推广绿色建材应用</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_Toc58405036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19</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2"/>
            <w:tabs>
              <w:tab w:val="right" w:leader="dot" w:pos="8931"/>
            </w:tabs>
            <w:spacing w:before="0" w:after="0"/>
            <w:ind w:left="-567" w:leftChars="-270" w:right="210" w:firstLine="744" w:firstLineChars="353"/>
            <w:rPr>
              <w:rStyle w:val="22"/>
              <w:rFonts w:ascii="楷体" w:hAnsi="楷体" w:eastAsia="楷体"/>
              <w:kern w:val="28"/>
              <w:sz w:val="32"/>
              <w:szCs w:val="40"/>
              <w:lang w:bidi="ar"/>
            </w:rPr>
          </w:pPr>
          <w:r>
            <w:fldChar w:fldCharType="begin"/>
          </w:r>
          <w:r>
            <w:instrText xml:space="preserve"> HYPERLINK \l "_Toc58405037" </w:instrText>
          </w:r>
          <w:r>
            <w:fldChar w:fldCharType="separate"/>
          </w:r>
          <w:r>
            <w:rPr>
              <w:rStyle w:val="22"/>
              <w:rFonts w:ascii="楷体" w:hAnsi="楷体" w:eastAsia="楷体"/>
              <w:kern w:val="28"/>
              <w:sz w:val="32"/>
              <w:szCs w:val="40"/>
              <w:lang w:bidi="ar"/>
            </w:rPr>
            <w:t>3.3绿色建筑规划指标</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_Toc58405037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21</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"_Toc58405038" </w:instrText>
          </w:r>
          <w:r>
            <w:fldChar w:fldCharType="separate"/>
          </w:r>
          <w:r>
            <w:rPr>
              <w:rStyle w:val="22"/>
              <w:rFonts w:ascii="楷体" w:hAnsi="楷体" w:eastAsia="楷体"/>
              <w:sz w:val="32"/>
              <w:szCs w:val="40"/>
              <w:lang w:bidi="ar"/>
            </w:rPr>
            <w:t>3.3.1规划目标</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_Toc58405038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21</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"_Toc58405039" </w:instrText>
          </w:r>
          <w:r>
            <w:fldChar w:fldCharType="separate"/>
          </w:r>
          <w:r>
            <w:rPr>
              <w:rStyle w:val="22"/>
              <w:rFonts w:ascii="楷体" w:hAnsi="楷体" w:eastAsia="楷体"/>
              <w:sz w:val="32"/>
              <w:szCs w:val="40"/>
              <w:lang w:bidi="ar"/>
            </w:rPr>
            <w:t>3.3.2相关专项目标规划</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_Toc58405039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22</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"_Toc58405040" </w:instrText>
          </w:r>
          <w:r>
            <w:fldChar w:fldCharType="separate"/>
          </w:r>
          <w:r>
            <w:rPr>
              <w:rStyle w:val="22"/>
              <w:rFonts w:ascii="楷体" w:hAnsi="楷体" w:eastAsia="楷体"/>
              <w:sz w:val="32"/>
              <w:szCs w:val="40"/>
              <w:lang w:bidi="ar"/>
            </w:rPr>
            <w:t>3.3.3中心规划区域</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_Toc58405040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24</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"_Toc58405041" </w:instrText>
          </w:r>
          <w:r>
            <w:fldChar w:fldCharType="separate"/>
          </w:r>
          <w:r>
            <w:rPr>
              <w:rStyle w:val="22"/>
              <w:rFonts w:ascii="楷体" w:hAnsi="楷体" w:eastAsia="楷体"/>
              <w:sz w:val="32"/>
              <w:szCs w:val="40"/>
              <w:lang w:bidi="ar"/>
            </w:rPr>
            <w:t>3.3.4</w:t>
          </w:r>
          <w:r>
            <w:rPr>
              <w:rStyle w:val="22"/>
              <w:rFonts w:hint="eastAsia" w:ascii="楷体" w:hAnsi="楷体" w:eastAsia="楷体"/>
              <w:sz w:val="32"/>
              <w:szCs w:val="40"/>
              <w:lang w:eastAsia="zh-CN" w:bidi="ar"/>
            </w:rPr>
            <w:t>各区</w:t>
          </w:r>
          <w:r>
            <w:rPr>
              <w:rStyle w:val="22"/>
              <w:rFonts w:ascii="楷体" w:hAnsi="楷体" w:eastAsia="楷体"/>
              <w:sz w:val="32"/>
              <w:szCs w:val="40"/>
              <w:lang w:bidi="ar"/>
            </w:rPr>
            <w:t>年度指标规划</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_Toc58405041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2</w:t>
          </w:r>
          <w:r>
            <w:rPr>
              <w:rStyle w:val="22"/>
              <w:rFonts w:hint="eastAsia" w:ascii="楷体" w:hAnsi="楷体" w:eastAsia="楷体"/>
              <w:sz w:val="32"/>
              <w:szCs w:val="40"/>
              <w:lang w:val="en-US" w:eastAsia="zh-CN" w:bidi="ar"/>
            </w:rPr>
            <w:t>4</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2"/>
            <w:tabs>
              <w:tab w:val="right" w:leader="dot" w:pos="8931"/>
            </w:tabs>
            <w:spacing w:before="0" w:after="0"/>
            <w:ind w:left="-567" w:leftChars="-270" w:right="210" w:firstLine="744" w:firstLineChars="353"/>
            <w:rPr>
              <w:rStyle w:val="22"/>
              <w:rFonts w:ascii="楷体" w:hAnsi="楷体" w:eastAsia="楷体"/>
              <w:kern w:val="28"/>
              <w:sz w:val="32"/>
              <w:szCs w:val="40"/>
              <w:lang w:bidi="ar"/>
            </w:rPr>
          </w:pPr>
          <w:r>
            <w:fldChar w:fldCharType="begin"/>
          </w:r>
          <w:r>
            <w:instrText xml:space="preserve"> HYPERLINK \l "_Toc58405042" </w:instrText>
          </w:r>
          <w:r>
            <w:fldChar w:fldCharType="separate"/>
          </w:r>
          <w:r>
            <w:rPr>
              <w:rStyle w:val="22"/>
              <w:rFonts w:ascii="楷体" w:hAnsi="楷体" w:eastAsia="楷体"/>
              <w:kern w:val="28"/>
              <w:sz w:val="32"/>
              <w:szCs w:val="40"/>
              <w:lang w:bidi="ar"/>
            </w:rPr>
            <w:t>3.4绿色建筑技术路线</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_Toc58405042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2</w:t>
          </w:r>
          <w:r>
            <w:rPr>
              <w:rStyle w:val="22"/>
              <w:rFonts w:hint="eastAsia" w:ascii="楷体" w:hAnsi="楷体" w:eastAsia="楷体"/>
              <w:kern w:val="28"/>
              <w:sz w:val="32"/>
              <w:szCs w:val="40"/>
              <w:lang w:val="en-US" w:eastAsia="zh-CN" w:bidi="ar"/>
            </w:rPr>
            <w:t>5</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"_Toc58405043" </w:instrText>
          </w:r>
          <w:r>
            <w:fldChar w:fldCharType="separate"/>
          </w:r>
          <w:r>
            <w:rPr>
              <w:rStyle w:val="22"/>
              <w:rFonts w:ascii="楷体" w:hAnsi="楷体" w:eastAsia="楷体"/>
              <w:sz w:val="32"/>
              <w:szCs w:val="40"/>
              <w:lang w:bidi="ar"/>
            </w:rPr>
            <w:t>3.4.1安全耐久</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_Toc58405043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2</w:t>
          </w:r>
          <w:r>
            <w:rPr>
              <w:rStyle w:val="22"/>
              <w:rFonts w:hint="eastAsia" w:ascii="楷体" w:hAnsi="楷体" w:eastAsia="楷体"/>
              <w:sz w:val="32"/>
              <w:szCs w:val="40"/>
              <w:lang w:val="en-US" w:eastAsia="zh-CN" w:bidi="ar"/>
            </w:rPr>
            <w:t>6</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"_Toc58405044" </w:instrText>
          </w:r>
          <w:r>
            <w:fldChar w:fldCharType="separate"/>
          </w:r>
          <w:r>
            <w:rPr>
              <w:rStyle w:val="22"/>
              <w:rFonts w:ascii="楷体" w:hAnsi="楷体" w:eastAsia="楷体"/>
              <w:sz w:val="32"/>
              <w:szCs w:val="40"/>
              <w:lang w:bidi="ar"/>
            </w:rPr>
            <w:t>3.4.2健康舒适</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_Toc58405044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2</w:t>
          </w:r>
          <w:r>
            <w:rPr>
              <w:rStyle w:val="22"/>
              <w:rFonts w:hint="eastAsia" w:ascii="楷体" w:hAnsi="楷体" w:eastAsia="楷体"/>
              <w:sz w:val="32"/>
              <w:szCs w:val="40"/>
              <w:lang w:val="en-US" w:eastAsia="zh-CN" w:bidi="ar"/>
            </w:rPr>
            <w:t>7</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"_Toc58405045" </w:instrText>
          </w:r>
          <w:r>
            <w:fldChar w:fldCharType="separate"/>
          </w:r>
          <w:r>
            <w:rPr>
              <w:rStyle w:val="22"/>
              <w:rFonts w:ascii="楷体" w:hAnsi="楷体" w:eastAsia="楷体"/>
              <w:sz w:val="32"/>
              <w:szCs w:val="40"/>
              <w:lang w:bidi="ar"/>
            </w:rPr>
            <w:t>3.4.3生活便利</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_Toc58405045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2</w:t>
          </w:r>
          <w:r>
            <w:rPr>
              <w:rStyle w:val="22"/>
              <w:rFonts w:hint="eastAsia" w:ascii="楷体" w:hAnsi="楷体" w:eastAsia="楷体"/>
              <w:sz w:val="32"/>
              <w:szCs w:val="40"/>
              <w:lang w:val="en-US" w:eastAsia="zh-CN" w:bidi="ar"/>
            </w:rPr>
            <w:t>8</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hint="eastAsia" w:ascii="楷体" w:hAnsi="楷体" w:eastAsia="楷体"/>
              <w:sz w:val="32"/>
              <w:szCs w:val="40"/>
              <w:lang w:val="en-US" w:eastAsia="zh-CN" w:bidi="ar"/>
            </w:rPr>
          </w:pPr>
          <w:r>
            <w:fldChar w:fldCharType="begin"/>
          </w:r>
          <w:r>
            <w:instrText xml:space="preserve"> HYPERLINK \l "_Toc58405046" </w:instrText>
          </w:r>
          <w:r>
            <w:fldChar w:fldCharType="separate"/>
          </w:r>
          <w:r>
            <w:rPr>
              <w:rStyle w:val="22"/>
              <w:rFonts w:ascii="楷体" w:hAnsi="楷体" w:eastAsia="楷体"/>
              <w:sz w:val="32"/>
              <w:szCs w:val="40"/>
              <w:lang w:bidi="ar"/>
            </w:rPr>
            <w:t>3.4.4资源节约</w:t>
          </w:r>
          <w:r>
            <w:rPr>
              <w:rStyle w:val="22"/>
              <w:rFonts w:ascii="楷体" w:hAnsi="楷体" w:eastAsia="楷体"/>
              <w:sz w:val="32"/>
              <w:szCs w:val="40"/>
              <w:lang w:bidi="ar"/>
            </w:rPr>
            <w:tab/>
          </w:r>
          <w:r>
            <w:rPr>
              <w:rStyle w:val="22"/>
              <w:rFonts w:hint="eastAsia" w:ascii="楷体" w:hAnsi="楷体" w:eastAsia="楷体"/>
              <w:sz w:val="32"/>
              <w:szCs w:val="40"/>
              <w:lang w:val="en-US" w:eastAsia="zh-CN" w:bidi="ar"/>
            </w:rPr>
            <w:t>2</w:t>
          </w:r>
          <w:r>
            <w:rPr>
              <w:rStyle w:val="22"/>
              <w:rFonts w:ascii="楷体" w:hAnsi="楷体" w:eastAsia="楷体"/>
              <w:sz w:val="32"/>
              <w:szCs w:val="40"/>
              <w:lang w:bidi="ar"/>
            </w:rPr>
            <w:fldChar w:fldCharType="end"/>
          </w:r>
          <w:r>
            <w:rPr>
              <w:rStyle w:val="22"/>
              <w:rFonts w:hint="eastAsia" w:ascii="楷体" w:hAnsi="楷体" w:eastAsia="楷体"/>
              <w:sz w:val="32"/>
              <w:szCs w:val="40"/>
              <w:lang w:val="en-US" w:eastAsia="zh-CN" w:bidi="ar"/>
            </w:rPr>
            <w:t>8</w:t>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"_Toc58405047" </w:instrText>
          </w:r>
          <w:r>
            <w:fldChar w:fldCharType="separate"/>
          </w:r>
          <w:r>
            <w:rPr>
              <w:rStyle w:val="22"/>
              <w:rFonts w:ascii="楷体" w:hAnsi="楷体" w:eastAsia="楷体"/>
              <w:sz w:val="32"/>
              <w:szCs w:val="40"/>
              <w:lang w:bidi="ar"/>
            </w:rPr>
            <w:t>3.4.5环境宜居</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_Toc58405047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3</w:t>
          </w:r>
          <w:r>
            <w:rPr>
              <w:rStyle w:val="22"/>
              <w:rFonts w:hint="eastAsia" w:ascii="楷体" w:hAnsi="楷体" w:eastAsia="楷体"/>
              <w:sz w:val="32"/>
              <w:szCs w:val="40"/>
              <w:lang w:val="en-US" w:eastAsia="zh-CN" w:bidi="ar"/>
            </w:rPr>
            <w:t>0</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"_Toc58405048" </w:instrText>
          </w:r>
          <w:r>
            <w:fldChar w:fldCharType="separate"/>
          </w:r>
          <w:r>
            <w:rPr>
              <w:rStyle w:val="22"/>
              <w:rFonts w:ascii="楷体" w:hAnsi="楷体" w:eastAsia="楷体"/>
              <w:sz w:val="32"/>
              <w:szCs w:val="40"/>
              <w:lang w:bidi="ar"/>
            </w:rPr>
            <w:t>3.4.6提高与创新</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_Toc58405048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3</w:t>
          </w:r>
          <w:r>
            <w:rPr>
              <w:rStyle w:val="22"/>
              <w:rFonts w:hint="eastAsia" w:ascii="楷体" w:hAnsi="楷体" w:eastAsia="楷体"/>
              <w:sz w:val="32"/>
              <w:szCs w:val="40"/>
              <w:lang w:val="en-US" w:eastAsia="zh-CN" w:bidi="ar"/>
            </w:rPr>
            <w:t>0</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"_Toc58405049" </w:instrText>
          </w:r>
          <w:r>
            <w:fldChar w:fldCharType="separate"/>
          </w:r>
          <w:r>
            <w:rPr>
              <w:rStyle w:val="22"/>
              <w:rFonts w:ascii="楷体" w:hAnsi="楷体" w:eastAsia="楷体"/>
              <w:sz w:val="32"/>
              <w:szCs w:val="40"/>
              <w:lang w:bidi="ar"/>
            </w:rPr>
            <w:t>3.4.7绿色施工</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_Toc58405049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3</w:t>
          </w:r>
          <w:r>
            <w:rPr>
              <w:rStyle w:val="22"/>
              <w:rFonts w:hint="eastAsia" w:ascii="楷体" w:hAnsi="楷体" w:eastAsia="楷体"/>
              <w:sz w:val="32"/>
              <w:szCs w:val="40"/>
              <w:lang w:val="en-US" w:eastAsia="zh-CN" w:bidi="ar"/>
            </w:rPr>
            <w:t>1</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"_Toc58405050" </w:instrText>
          </w:r>
          <w:r>
            <w:fldChar w:fldCharType="separate"/>
          </w:r>
          <w:r>
            <w:rPr>
              <w:rStyle w:val="22"/>
              <w:rFonts w:ascii="楷体" w:hAnsi="楷体" w:eastAsia="楷体"/>
              <w:sz w:val="32"/>
              <w:szCs w:val="40"/>
              <w:lang w:bidi="ar"/>
            </w:rPr>
            <w:t>3.4.8运营管理</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_Toc58405050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3</w:t>
          </w:r>
          <w:r>
            <w:rPr>
              <w:rStyle w:val="22"/>
              <w:rFonts w:hint="eastAsia" w:ascii="楷体" w:hAnsi="楷体" w:eastAsia="楷体"/>
              <w:sz w:val="32"/>
              <w:szCs w:val="40"/>
              <w:lang w:val="en-US" w:eastAsia="zh-CN" w:bidi="ar"/>
            </w:rPr>
            <w:t>1</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Fonts w:asciiTheme="minorHAnsi" w:hAnsiTheme="minorHAnsi" w:eastAsiaTheme="minorEastAsia" w:cstheme="minorBidi"/>
              <w:smallCaps w:val="0"/>
              <w:szCs w:val="22"/>
            </w:rPr>
          </w:pPr>
          <w:r>
            <w:fldChar w:fldCharType="begin"/>
          </w:r>
          <w:r>
            <w:instrText xml:space="preserve"> HYPERLINK \l "_Toc58405051" </w:instrText>
          </w:r>
          <w:r>
            <w:fldChar w:fldCharType="separate"/>
          </w:r>
          <w:r>
            <w:rPr>
              <w:rStyle w:val="22"/>
              <w:rFonts w:ascii="楷体" w:hAnsi="楷体" w:eastAsia="楷体"/>
              <w:sz w:val="32"/>
              <w:szCs w:val="40"/>
              <w:lang w:bidi="ar"/>
            </w:rPr>
            <w:t>3.4.9海绵城市的建设需求</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_Toc58405051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3</w:t>
          </w:r>
          <w:r>
            <w:rPr>
              <w:rStyle w:val="22"/>
              <w:rFonts w:hint="eastAsia" w:ascii="楷体" w:hAnsi="楷体" w:eastAsia="楷体"/>
              <w:sz w:val="32"/>
              <w:szCs w:val="40"/>
              <w:lang w:val="en-US" w:eastAsia="zh-CN" w:bidi="ar"/>
            </w:rPr>
            <w:t>3</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2"/>
            <w:tabs>
              <w:tab w:val="right" w:leader="dot" w:pos="8931"/>
            </w:tabs>
            <w:spacing w:before="0" w:after="0"/>
            <w:ind w:left="-567" w:leftChars="-270" w:right="210" w:firstLine="744" w:firstLineChars="353"/>
            <w:rPr>
              <w:rStyle w:val="22"/>
              <w:rFonts w:ascii="楷体" w:hAnsi="楷体" w:eastAsia="楷体"/>
              <w:kern w:val="28"/>
              <w:sz w:val="32"/>
              <w:szCs w:val="40"/>
              <w:lang w:bidi="ar"/>
            </w:rPr>
          </w:pPr>
          <w:r>
            <w:fldChar w:fldCharType="begin"/>
          </w:r>
          <w:r>
            <w:instrText xml:space="preserve"> HYPERLINK \l "_Toc58405052" </w:instrText>
          </w:r>
          <w:r>
            <w:fldChar w:fldCharType="separate"/>
          </w:r>
          <w:r>
            <w:rPr>
              <w:rStyle w:val="22"/>
              <w:rFonts w:ascii="楷体" w:hAnsi="楷体" w:eastAsia="楷体"/>
              <w:kern w:val="28"/>
              <w:sz w:val="32"/>
              <w:szCs w:val="40"/>
              <w:lang w:bidi="ar"/>
            </w:rPr>
            <w:t>3.5绿色建筑保障措施</w:t>
          </w:r>
          <w:r>
            <w:rPr>
              <w:rStyle w:val="22"/>
              <w:rFonts w:ascii="楷体" w:hAnsi="楷体" w:eastAsia="楷体"/>
              <w:kern w:val="28"/>
              <w:sz w:val="32"/>
              <w:szCs w:val="40"/>
              <w:lang w:bidi="ar"/>
            </w:rPr>
            <w:tab/>
          </w:r>
          <w:r>
            <w:rPr>
              <w:rStyle w:val="22"/>
              <w:rFonts w:ascii="楷体" w:hAnsi="楷体" w:eastAsia="楷体"/>
              <w:kern w:val="28"/>
              <w:sz w:val="32"/>
              <w:szCs w:val="40"/>
              <w:lang w:bidi="ar"/>
            </w:rPr>
            <w:fldChar w:fldCharType="begin"/>
          </w:r>
          <w:r>
            <w:rPr>
              <w:rStyle w:val="22"/>
              <w:rFonts w:ascii="楷体" w:hAnsi="楷体" w:eastAsia="楷体"/>
              <w:kern w:val="28"/>
              <w:sz w:val="32"/>
              <w:szCs w:val="40"/>
              <w:lang w:bidi="ar"/>
            </w:rPr>
            <w:instrText xml:space="preserve"> PAGEREF _Toc58405052 \h </w:instrText>
          </w:r>
          <w:r>
            <w:rPr>
              <w:rStyle w:val="22"/>
              <w:rFonts w:ascii="楷体" w:hAnsi="楷体" w:eastAsia="楷体"/>
              <w:kern w:val="28"/>
              <w:sz w:val="32"/>
              <w:szCs w:val="40"/>
              <w:lang w:bidi="ar"/>
            </w:rPr>
            <w:fldChar w:fldCharType="separate"/>
          </w:r>
          <w:r>
            <w:rPr>
              <w:rStyle w:val="22"/>
              <w:rFonts w:ascii="楷体" w:hAnsi="楷体" w:eastAsia="楷体"/>
              <w:kern w:val="28"/>
              <w:sz w:val="32"/>
              <w:szCs w:val="40"/>
              <w:lang w:bidi="ar"/>
            </w:rPr>
            <w:t>3</w:t>
          </w:r>
          <w:r>
            <w:rPr>
              <w:rStyle w:val="22"/>
              <w:rFonts w:hint="eastAsia" w:ascii="楷体" w:hAnsi="楷体" w:eastAsia="楷体"/>
              <w:kern w:val="28"/>
              <w:sz w:val="32"/>
              <w:szCs w:val="40"/>
              <w:lang w:val="en-US" w:eastAsia="zh-CN" w:bidi="ar"/>
            </w:rPr>
            <w:t>3</w:t>
          </w:r>
          <w:r>
            <w:rPr>
              <w:rStyle w:val="22"/>
              <w:rFonts w:ascii="楷体" w:hAnsi="楷体" w:eastAsia="楷体"/>
              <w:kern w:val="28"/>
              <w:sz w:val="32"/>
              <w:szCs w:val="40"/>
              <w:lang w:bidi="ar"/>
            </w:rPr>
            <w:fldChar w:fldCharType="end"/>
          </w:r>
          <w:r>
            <w:rPr>
              <w:rStyle w:val="22"/>
              <w:rFonts w:ascii="楷体" w:hAnsi="楷体" w:eastAsia="楷体"/>
              <w:kern w:val="28"/>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"_Toc58405053" </w:instrText>
          </w:r>
          <w:r>
            <w:fldChar w:fldCharType="separate"/>
          </w:r>
          <w:r>
            <w:rPr>
              <w:rStyle w:val="22"/>
              <w:rFonts w:ascii="楷体" w:hAnsi="楷体" w:eastAsia="楷体"/>
              <w:sz w:val="32"/>
              <w:szCs w:val="40"/>
              <w:lang w:bidi="ar"/>
            </w:rPr>
            <w:t>3.5.1建立区域目标考核机制，强化责任意识</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_Toc58405053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3</w:t>
          </w:r>
          <w:r>
            <w:rPr>
              <w:rStyle w:val="22"/>
              <w:rFonts w:hint="eastAsia" w:ascii="楷体" w:hAnsi="楷体" w:eastAsia="楷体"/>
              <w:sz w:val="32"/>
              <w:szCs w:val="40"/>
              <w:lang w:val="en-US" w:eastAsia="zh-CN" w:bidi="ar"/>
            </w:rPr>
            <w:t>3</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"_Toc58405054" </w:instrText>
          </w:r>
          <w:r>
            <w:fldChar w:fldCharType="separate"/>
          </w:r>
          <w:r>
            <w:rPr>
              <w:rStyle w:val="22"/>
              <w:rFonts w:ascii="楷体" w:hAnsi="楷体" w:eastAsia="楷体"/>
              <w:sz w:val="32"/>
              <w:szCs w:val="40"/>
              <w:lang w:bidi="ar"/>
            </w:rPr>
            <w:t>3.5.2完善监督机制，促进绿色建筑量质齐升</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_Toc58405054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3</w:t>
          </w:r>
          <w:r>
            <w:rPr>
              <w:rStyle w:val="22"/>
              <w:rFonts w:hint="eastAsia" w:ascii="楷体" w:hAnsi="楷体" w:eastAsia="楷体"/>
              <w:sz w:val="32"/>
              <w:szCs w:val="40"/>
              <w:lang w:val="en-US" w:eastAsia="zh-CN" w:bidi="ar"/>
            </w:rPr>
            <w:t>6</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ascii="楷体" w:hAnsi="楷体" w:eastAsia="楷体"/>
              <w:sz w:val="32"/>
              <w:szCs w:val="40"/>
              <w:lang w:bidi="ar"/>
            </w:rPr>
          </w:pPr>
          <w:r>
            <w:fldChar w:fldCharType="begin"/>
          </w:r>
          <w:r>
            <w:instrText xml:space="preserve"> HYPERLINK \l "_Toc58405055" </w:instrText>
          </w:r>
          <w:r>
            <w:fldChar w:fldCharType="separate"/>
          </w:r>
          <w:r>
            <w:rPr>
              <w:rStyle w:val="22"/>
              <w:rFonts w:ascii="楷体" w:hAnsi="楷体" w:eastAsia="楷体"/>
              <w:sz w:val="32"/>
              <w:szCs w:val="40"/>
              <w:lang w:bidi="ar"/>
            </w:rPr>
            <w:t>3.5.3建立建筑节能专项资金，激发建设积极性</w:t>
          </w:r>
          <w:r>
            <w:rPr>
              <w:rStyle w:val="22"/>
              <w:rFonts w:ascii="楷体" w:hAnsi="楷体" w:eastAsia="楷体"/>
              <w:sz w:val="32"/>
              <w:szCs w:val="40"/>
              <w:lang w:bidi="ar"/>
            </w:rPr>
            <w:tab/>
          </w:r>
          <w:r>
            <w:rPr>
              <w:rStyle w:val="22"/>
              <w:rFonts w:ascii="楷体" w:hAnsi="楷体" w:eastAsia="楷体"/>
              <w:sz w:val="32"/>
              <w:szCs w:val="40"/>
              <w:lang w:bidi="ar"/>
            </w:rPr>
            <w:fldChar w:fldCharType="begin"/>
          </w:r>
          <w:r>
            <w:rPr>
              <w:rStyle w:val="22"/>
              <w:rFonts w:ascii="楷体" w:hAnsi="楷体" w:eastAsia="楷体"/>
              <w:sz w:val="32"/>
              <w:szCs w:val="40"/>
              <w:lang w:bidi="ar"/>
            </w:rPr>
            <w:instrText xml:space="preserve"> PAGEREF _Toc58405055 \h </w:instrText>
          </w:r>
          <w:r>
            <w:rPr>
              <w:rStyle w:val="22"/>
              <w:rFonts w:ascii="楷体" w:hAnsi="楷体" w:eastAsia="楷体"/>
              <w:sz w:val="32"/>
              <w:szCs w:val="40"/>
              <w:lang w:bidi="ar"/>
            </w:rPr>
            <w:fldChar w:fldCharType="separate"/>
          </w:r>
          <w:r>
            <w:rPr>
              <w:rStyle w:val="22"/>
              <w:rFonts w:ascii="楷体" w:hAnsi="楷体" w:eastAsia="楷体"/>
              <w:sz w:val="32"/>
              <w:szCs w:val="40"/>
              <w:lang w:bidi="ar"/>
            </w:rPr>
            <w:t>3</w:t>
          </w:r>
          <w:r>
            <w:rPr>
              <w:rStyle w:val="22"/>
              <w:rFonts w:hint="eastAsia" w:ascii="楷体" w:hAnsi="楷体" w:eastAsia="楷体"/>
              <w:sz w:val="32"/>
              <w:szCs w:val="40"/>
              <w:lang w:val="en-US" w:eastAsia="zh-CN" w:bidi="ar"/>
            </w:rPr>
            <w:t>7</w:t>
          </w:r>
          <w:r>
            <w:rPr>
              <w:rStyle w:val="22"/>
              <w:rFonts w:ascii="楷体" w:hAnsi="楷体" w:eastAsia="楷体"/>
              <w:sz w:val="32"/>
              <w:szCs w:val="40"/>
              <w:lang w:bidi="ar"/>
            </w:rPr>
            <w:fldChar w:fldCharType="end"/>
          </w:r>
          <w:r>
            <w:rPr>
              <w:rStyle w:val="22"/>
              <w:rFonts w:ascii="楷体" w:hAnsi="楷体" w:eastAsia="楷体"/>
              <w:sz w:val="32"/>
              <w:szCs w:val="40"/>
              <w:lang w:bidi="ar"/>
            </w:rPr>
            <w:fldChar w:fldCharType="end"/>
          </w:r>
        </w:p>
        <w:p>
          <w:pPr>
            <w:pStyle w:val="14"/>
            <w:tabs>
              <w:tab w:val="right" w:leader="dot" w:pos="8931"/>
            </w:tabs>
            <w:ind w:left="0" w:leftChars="0" w:right="210" w:firstLine="743" w:firstLineChars="354"/>
            <w:rPr>
              <w:rStyle w:val="22"/>
              <w:rFonts w:hint="eastAsia" w:ascii="楷体" w:hAnsi="楷体" w:eastAsia="楷体"/>
              <w:sz w:val="32"/>
              <w:szCs w:val="40"/>
              <w:lang w:val="en-US" w:eastAsia="zh-CN" w:bidi="ar"/>
            </w:rPr>
          </w:pPr>
          <w:r>
            <w:fldChar w:fldCharType="begin"/>
          </w:r>
          <w:r>
            <w:instrText xml:space="preserve"> HYPERLINK \l "_Toc58405056" </w:instrText>
          </w:r>
          <w:r>
            <w:fldChar w:fldCharType="separate"/>
          </w:r>
          <w:r>
            <w:rPr>
              <w:rStyle w:val="22"/>
              <w:rFonts w:ascii="楷体" w:hAnsi="楷体" w:eastAsia="楷体"/>
              <w:sz w:val="32"/>
              <w:szCs w:val="40"/>
              <w:lang w:bidi="ar"/>
            </w:rPr>
            <w:t>3.5.4健全法律法规标准配套，强化过程监管</w:t>
          </w:r>
          <w:r>
            <w:rPr>
              <w:rStyle w:val="22"/>
              <w:rFonts w:ascii="楷体" w:hAnsi="楷体" w:eastAsia="楷体"/>
              <w:sz w:val="32"/>
              <w:szCs w:val="40"/>
              <w:lang w:bidi="ar"/>
            </w:rPr>
            <w:tab/>
          </w:r>
          <w:r>
            <w:rPr>
              <w:rStyle w:val="22"/>
              <w:rFonts w:hint="eastAsia" w:ascii="楷体" w:hAnsi="楷体" w:eastAsia="楷体"/>
              <w:sz w:val="32"/>
              <w:szCs w:val="40"/>
              <w:lang w:val="en-US" w:eastAsia="zh-CN" w:bidi="ar"/>
            </w:rPr>
            <w:t>3</w:t>
          </w:r>
          <w:r>
            <w:rPr>
              <w:rStyle w:val="22"/>
              <w:rFonts w:ascii="楷体" w:hAnsi="楷体" w:eastAsia="楷体"/>
              <w:sz w:val="32"/>
              <w:szCs w:val="40"/>
              <w:lang w:bidi="ar"/>
            </w:rPr>
            <w:fldChar w:fldCharType="end"/>
          </w:r>
          <w:r>
            <w:rPr>
              <w:rStyle w:val="22"/>
              <w:rFonts w:hint="eastAsia" w:ascii="楷体" w:hAnsi="楷体" w:eastAsia="楷体"/>
              <w:sz w:val="32"/>
              <w:szCs w:val="40"/>
              <w:lang w:val="en-US" w:eastAsia="zh-CN" w:bidi="ar"/>
            </w:rPr>
            <w:t>7</w:t>
          </w:r>
        </w:p>
        <w:p>
          <w:pPr>
            <w:pStyle w:val="14"/>
            <w:tabs>
              <w:tab w:val="right" w:leader="dot" w:pos="8931"/>
            </w:tabs>
            <w:ind w:left="0" w:leftChars="0" w:right="210" w:firstLine="743" w:firstLineChars="354"/>
            <w:rPr>
              <w:rStyle w:val="22"/>
              <w:rFonts w:hint="eastAsia" w:ascii="楷体" w:hAnsi="楷体" w:eastAsia="楷体"/>
              <w:sz w:val="32"/>
              <w:szCs w:val="40"/>
              <w:lang w:val="en-US" w:eastAsia="zh-CN" w:bidi="ar"/>
            </w:rPr>
          </w:pPr>
          <w:r>
            <w:fldChar w:fldCharType="begin"/>
          </w:r>
          <w:r>
            <w:instrText xml:space="preserve"> HYPERLINK \l "_Toc58405057" </w:instrText>
          </w:r>
          <w:r>
            <w:fldChar w:fldCharType="separate"/>
          </w:r>
          <w:r>
            <w:rPr>
              <w:rStyle w:val="22"/>
              <w:rFonts w:ascii="楷体" w:hAnsi="楷体" w:eastAsia="楷体"/>
              <w:sz w:val="32"/>
              <w:szCs w:val="40"/>
              <w:lang w:bidi="ar"/>
            </w:rPr>
            <w:t>3.5.5加强技术交流专业培训，提升专业水准</w:t>
          </w:r>
          <w:r>
            <w:rPr>
              <w:rStyle w:val="22"/>
              <w:rFonts w:ascii="楷体" w:hAnsi="楷体" w:eastAsia="楷体"/>
              <w:sz w:val="32"/>
              <w:szCs w:val="40"/>
              <w:lang w:bidi="ar"/>
            </w:rPr>
            <w:tab/>
          </w:r>
          <w:r>
            <w:rPr>
              <w:rStyle w:val="22"/>
              <w:rFonts w:hint="eastAsia" w:ascii="楷体" w:hAnsi="楷体" w:eastAsia="楷体"/>
              <w:sz w:val="32"/>
              <w:szCs w:val="40"/>
              <w:lang w:val="en-US" w:eastAsia="zh-CN" w:bidi="ar"/>
            </w:rPr>
            <w:t>3</w:t>
          </w:r>
          <w:r>
            <w:rPr>
              <w:rStyle w:val="22"/>
              <w:rFonts w:ascii="楷体" w:hAnsi="楷体" w:eastAsia="楷体"/>
              <w:sz w:val="32"/>
              <w:szCs w:val="40"/>
              <w:lang w:bidi="ar"/>
            </w:rPr>
            <w:fldChar w:fldCharType="end"/>
          </w:r>
          <w:r>
            <w:rPr>
              <w:rStyle w:val="22"/>
              <w:rFonts w:hint="eastAsia" w:ascii="楷体" w:hAnsi="楷体" w:eastAsia="楷体"/>
              <w:sz w:val="32"/>
              <w:szCs w:val="40"/>
              <w:lang w:val="en-US" w:eastAsia="zh-CN" w:bidi="ar"/>
            </w:rPr>
            <w:t>8</w:t>
          </w:r>
        </w:p>
        <w:p>
          <w:pPr>
            <w:pStyle w:val="14"/>
            <w:tabs>
              <w:tab w:val="right" w:leader="dot" w:pos="8931"/>
            </w:tabs>
            <w:ind w:left="0" w:leftChars="0" w:right="210" w:firstLine="743" w:firstLineChars="354"/>
            <w:rPr>
              <w:rStyle w:val="22"/>
              <w:rFonts w:hint="eastAsia" w:ascii="楷体" w:hAnsi="楷体" w:eastAsia="楷体"/>
              <w:sz w:val="32"/>
              <w:szCs w:val="40"/>
              <w:lang w:val="en-US" w:eastAsia="zh-CN" w:bidi="ar"/>
            </w:rPr>
          </w:pPr>
          <w:r>
            <w:fldChar w:fldCharType="begin"/>
          </w:r>
          <w:r>
            <w:instrText xml:space="preserve"> HYPERLINK \l "_Toc58405058" </w:instrText>
          </w:r>
          <w:r>
            <w:fldChar w:fldCharType="separate"/>
          </w:r>
          <w:r>
            <w:rPr>
              <w:rStyle w:val="22"/>
              <w:rFonts w:ascii="楷体" w:hAnsi="楷体" w:eastAsia="楷体"/>
              <w:sz w:val="32"/>
              <w:szCs w:val="40"/>
              <w:lang w:bidi="ar"/>
            </w:rPr>
            <w:t>3.5.6加强产业联合部门联动，形成合力互推共进</w:t>
          </w:r>
          <w:r>
            <w:rPr>
              <w:rStyle w:val="22"/>
              <w:rFonts w:ascii="楷体" w:hAnsi="楷体" w:eastAsia="楷体"/>
              <w:sz w:val="32"/>
              <w:szCs w:val="40"/>
              <w:lang w:bidi="ar"/>
            </w:rPr>
            <w:tab/>
          </w:r>
          <w:r>
            <w:rPr>
              <w:rStyle w:val="22"/>
              <w:rFonts w:hint="eastAsia" w:ascii="楷体" w:hAnsi="楷体" w:eastAsia="楷体"/>
              <w:sz w:val="32"/>
              <w:szCs w:val="40"/>
              <w:lang w:val="en-US" w:eastAsia="zh-CN" w:bidi="ar"/>
            </w:rPr>
            <w:t>3</w:t>
          </w:r>
          <w:r>
            <w:rPr>
              <w:rStyle w:val="22"/>
              <w:rFonts w:ascii="楷体" w:hAnsi="楷体" w:eastAsia="楷体"/>
              <w:sz w:val="32"/>
              <w:szCs w:val="40"/>
              <w:lang w:bidi="ar"/>
            </w:rPr>
            <w:fldChar w:fldCharType="end"/>
          </w:r>
          <w:r>
            <w:rPr>
              <w:rStyle w:val="22"/>
              <w:rFonts w:hint="eastAsia" w:ascii="楷体" w:hAnsi="楷体" w:eastAsia="楷体"/>
              <w:sz w:val="32"/>
              <w:szCs w:val="40"/>
              <w:lang w:val="en-US" w:eastAsia="zh-CN" w:bidi="ar"/>
            </w:rPr>
            <w:t>8</w:t>
          </w:r>
        </w:p>
        <w:p>
          <w:pPr>
            <w:pStyle w:val="14"/>
            <w:tabs>
              <w:tab w:val="right" w:leader="dot" w:pos="8931"/>
            </w:tabs>
            <w:ind w:left="0" w:leftChars="0" w:right="210" w:firstLine="743" w:firstLineChars="354"/>
            <w:rPr>
              <w:rFonts w:hint="eastAsia" w:eastAsia="楷体" w:asciiTheme="minorHAnsi" w:hAnsiTheme="minorHAnsi" w:cstheme="minorBidi"/>
              <w:smallCaps w:val="0"/>
              <w:szCs w:val="22"/>
              <w:lang w:val="en-US" w:eastAsia="zh-CN"/>
            </w:rPr>
          </w:pPr>
          <w:r>
            <w:fldChar w:fldCharType="begin"/>
          </w:r>
          <w:r>
            <w:instrText xml:space="preserve"> HYPERLINK \l "_Toc58405059" </w:instrText>
          </w:r>
          <w:r>
            <w:fldChar w:fldCharType="separate"/>
          </w:r>
          <w:r>
            <w:rPr>
              <w:rStyle w:val="22"/>
              <w:rFonts w:ascii="楷体" w:hAnsi="楷体" w:eastAsia="楷体"/>
              <w:sz w:val="32"/>
              <w:szCs w:val="40"/>
              <w:lang w:bidi="ar"/>
            </w:rPr>
            <w:t>3.5.7开展宣传培训，形成社会共识</w:t>
          </w:r>
          <w:r>
            <w:rPr>
              <w:rStyle w:val="22"/>
              <w:rFonts w:ascii="楷体" w:hAnsi="楷体" w:eastAsia="楷体"/>
              <w:sz w:val="32"/>
              <w:szCs w:val="40"/>
              <w:lang w:bidi="ar"/>
            </w:rPr>
            <w:tab/>
          </w:r>
          <w:r>
            <w:rPr>
              <w:rStyle w:val="22"/>
              <w:rFonts w:hint="eastAsia" w:ascii="楷体" w:hAnsi="楷体" w:eastAsia="楷体"/>
              <w:sz w:val="32"/>
              <w:szCs w:val="40"/>
              <w:lang w:val="en-US" w:eastAsia="zh-CN" w:bidi="ar"/>
            </w:rPr>
            <w:t>3</w:t>
          </w:r>
          <w:r>
            <w:rPr>
              <w:rStyle w:val="22"/>
              <w:rFonts w:ascii="楷体" w:hAnsi="楷体" w:eastAsia="楷体"/>
              <w:sz w:val="32"/>
              <w:szCs w:val="40"/>
              <w:lang w:bidi="ar"/>
            </w:rPr>
            <w:fldChar w:fldCharType="end"/>
          </w:r>
          <w:r>
            <w:rPr>
              <w:rStyle w:val="22"/>
              <w:rFonts w:hint="eastAsia" w:ascii="楷体" w:hAnsi="楷体" w:eastAsia="楷体"/>
              <w:sz w:val="32"/>
              <w:szCs w:val="40"/>
              <w:lang w:val="en-US" w:eastAsia="zh-CN" w:bidi="ar"/>
            </w:rPr>
            <w:t>9</w:t>
          </w:r>
        </w:p>
        <w:p>
          <w:pPr>
            <w:pStyle w:val="12"/>
            <w:tabs>
              <w:tab w:val="right" w:leader="dot" w:pos="8931"/>
            </w:tabs>
            <w:spacing w:before="0" w:after="0"/>
            <w:ind w:left="-567" w:leftChars="-270" w:right="210" w:firstLine="744" w:firstLineChars="353"/>
            <w:rPr>
              <w:rStyle w:val="22"/>
              <w:rFonts w:hint="eastAsia" w:ascii="楷体" w:hAnsi="楷体" w:eastAsia="楷体"/>
              <w:kern w:val="28"/>
              <w:sz w:val="32"/>
              <w:szCs w:val="40"/>
              <w:lang w:val="en-US" w:eastAsia="zh-CN" w:bidi="ar"/>
            </w:rPr>
          </w:pPr>
          <w:r>
            <w:fldChar w:fldCharType="begin"/>
          </w:r>
          <w:r>
            <w:instrText xml:space="preserve"> HYPERLINK \l "_Toc58405060" </w:instrText>
          </w:r>
          <w:r>
            <w:fldChar w:fldCharType="separate"/>
          </w:r>
          <w:r>
            <w:rPr>
              <w:rStyle w:val="22"/>
              <w:rFonts w:ascii="楷体" w:hAnsi="楷体" w:eastAsia="楷体"/>
              <w:kern w:val="28"/>
              <w:sz w:val="32"/>
              <w:szCs w:val="40"/>
              <w:lang w:bidi="ar"/>
            </w:rPr>
            <w:t>3.6绿色建筑奖励措施</w:t>
          </w:r>
          <w:r>
            <w:rPr>
              <w:rStyle w:val="22"/>
              <w:rFonts w:ascii="楷体" w:hAnsi="楷体" w:eastAsia="楷体"/>
              <w:kern w:val="28"/>
              <w:sz w:val="32"/>
              <w:szCs w:val="40"/>
              <w:lang w:bidi="ar"/>
            </w:rPr>
            <w:tab/>
          </w:r>
          <w:r>
            <w:rPr>
              <w:rStyle w:val="22"/>
              <w:rFonts w:hint="eastAsia" w:ascii="楷体" w:hAnsi="楷体" w:eastAsia="楷体"/>
              <w:kern w:val="28"/>
              <w:sz w:val="32"/>
              <w:szCs w:val="40"/>
              <w:lang w:val="en-US" w:eastAsia="zh-CN" w:bidi="ar"/>
            </w:rPr>
            <w:t>3</w:t>
          </w:r>
          <w:r>
            <w:rPr>
              <w:rStyle w:val="22"/>
              <w:rFonts w:ascii="楷体" w:hAnsi="楷体" w:eastAsia="楷体"/>
              <w:kern w:val="28"/>
              <w:sz w:val="32"/>
              <w:szCs w:val="40"/>
              <w:lang w:bidi="ar"/>
            </w:rPr>
            <w:fldChar w:fldCharType="end"/>
          </w:r>
          <w:r>
            <w:rPr>
              <w:rStyle w:val="22"/>
              <w:rFonts w:hint="eastAsia" w:ascii="楷体" w:hAnsi="楷体" w:eastAsia="楷体"/>
              <w:kern w:val="28"/>
              <w:sz w:val="32"/>
              <w:szCs w:val="40"/>
              <w:lang w:val="en-US" w:eastAsia="zh-CN" w:bidi="ar"/>
            </w:rPr>
            <w:t>9</w:t>
          </w:r>
        </w:p>
        <w:p>
          <w:pPr>
            <w:pStyle w:val="14"/>
            <w:tabs>
              <w:tab w:val="right" w:leader="dot" w:pos="8931"/>
            </w:tabs>
            <w:ind w:left="0" w:leftChars="0" w:right="210" w:firstLine="743" w:firstLineChars="354"/>
            <w:rPr>
              <w:rStyle w:val="22"/>
              <w:rFonts w:hint="eastAsia" w:ascii="楷体" w:hAnsi="楷体" w:eastAsia="楷体"/>
              <w:sz w:val="32"/>
              <w:szCs w:val="40"/>
              <w:lang w:val="en-US" w:eastAsia="zh-CN" w:bidi="ar"/>
            </w:rPr>
          </w:pPr>
          <w:r>
            <w:fldChar w:fldCharType="begin"/>
          </w:r>
          <w:r>
            <w:instrText xml:space="preserve"> HYPERLINK \l "_Toc58405061" </w:instrText>
          </w:r>
          <w:r>
            <w:fldChar w:fldCharType="separate"/>
          </w:r>
          <w:r>
            <w:rPr>
              <w:rStyle w:val="22"/>
              <w:rFonts w:ascii="楷体" w:hAnsi="楷体" w:eastAsia="楷体"/>
              <w:sz w:val="32"/>
              <w:szCs w:val="40"/>
              <w:lang w:bidi="ar"/>
            </w:rPr>
            <w:t>3.6.1政府财政补贴</w:t>
          </w:r>
          <w:r>
            <w:rPr>
              <w:rStyle w:val="22"/>
              <w:rFonts w:ascii="楷体" w:hAnsi="楷体" w:eastAsia="楷体"/>
              <w:sz w:val="32"/>
              <w:szCs w:val="40"/>
              <w:lang w:bidi="ar"/>
            </w:rPr>
            <w:tab/>
          </w:r>
          <w:r>
            <w:rPr>
              <w:rStyle w:val="22"/>
              <w:rFonts w:hint="eastAsia" w:ascii="楷体" w:hAnsi="楷体" w:eastAsia="楷体"/>
              <w:sz w:val="32"/>
              <w:szCs w:val="40"/>
              <w:lang w:val="en-US" w:eastAsia="zh-CN" w:bidi="ar"/>
            </w:rPr>
            <w:t>3</w:t>
          </w:r>
          <w:r>
            <w:rPr>
              <w:rStyle w:val="22"/>
              <w:rFonts w:ascii="楷体" w:hAnsi="楷体" w:eastAsia="楷体"/>
              <w:sz w:val="32"/>
              <w:szCs w:val="40"/>
              <w:lang w:bidi="ar"/>
            </w:rPr>
            <w:fldChar w:fldCharType="end"/>
          </w:r>
          <w:r>
            <w:rPr>
              <w:rStyle w:val="22"/>
              <w:rFonts w:hint="eastAsia" w:ascii="楷体" w:hAnsi="楷体" w:eastAsia="楷体"/>
              <w:sz w:val="32"/>
              <w:szCs w:val="40"/>
              <w:lang w:val="en-US" w:eastAsia="zh-CN" w:bidi="ar"/>
            </w:rPr>
            <w:t>9</w:t>
          </w:r>
        </w:p>
        <w:p>
          <w:pPr>
            <w:pStyle w:val="14"/>
            <w:tabs>
              <w:tab w:val="right" w:leader="dot" w:pos="8931"/>
            </w:tabs>
            <w:ind w:left="0" w:leftChars="0" w:right="210" w:firstLine="743" w:firstLineChars="354"/>
            <w:rPr>
              <w:rStyle w:val="22"/>
              <w:rFonts w:hint="eastAsia" w:ascii="楷体" w:hAnsi="楷体" w:eastAsia="楷体"/>
              <w:sz w:val="32"/>
              <w:szCs w:val="40"/>
              <w:lang w:val="en-US" w:eastAsia="zh-CN" w:bidi="ar"/>
            </w:rPr>
          </w:pPr>
          <w:r>
            <w:fldChar w:fldCharType="begin"/>
          </w:r>
          <w:r>
            <w:instrText xml:space="preserve"> HYPERLINK \l "_Toc58405062" </w:instrText>
          </w:r>
          <w:r>
            <w:fldChar w:fldCharType="separate"/>
          </w:r>
          <w:r>
            <w:rPr>
              <w:rStyle w:val="22"/>
              <w:rFonts w:ascii="楷体" w:hAnsi="楷体" w:eastAsia="楷体"/>
              <w:sz w:val="32"/>
              <w:szCs w:val="40"/>
              <w:lang w:bidi="ar"/>
            </w:rPr>
            <w:t>3.6.2银行优惠策略</w:t>
          </w:r>
          <w:r>
            <w:rPr>
              <w:rStyle w:val="22"/>
              <w:rFonts w:ascii="楷体" w:hAnsi="楷体" w:eastAsia="楷体"/>
              <w:sz w:val="32"/>
              <w:szCs w:val="40"/>
              <w:lang w:bidi="ar"/>
            </w:rPr>
            <w:tab/>
          </w:r>
          <w:r>
            <w:rPr>
              <w:rStyle w:val="22"/>
              <w:rFonts w:hint="eastAsia" w:ascii="楷体" w:hAnsi="楷体" w:eastAsia="楷体"/>
              <w:sz w:val="32"/>
              <w:szCs w:val="40"/>
              <w:lang w:val="en-US" w:eastAsia="zh-CN" w:bidi="ar"/>
            </w:rPr>
            <w:t>4</w:t>
          </w:r>
          <w:r>
            <w:rPr>
              <w:rStyle w:val="22"/>
              <w:rFonts w:ascii="楷体" w:hAnsi="楷体" w:eastAsia="楷体"/>
              <w:sz w:val="32"/>
              <w:szCs w:val="40"/>
              <w:lang w:bidi="ar"/>
            </w:rPr>
            <w:fldChar w:fldCharType="end"/>
          </w:r>
          <w:r>
            <w:rPr>
              <w:rStyle w:val="22"/>
              <w:rFonts w:hint="eastAsia" w:ascii="楷体" w:hAnsi="楷体" w:eastAsia="楷体"/>
              <w:sz w:val="32"/>
              <w:szCs w:val="40"/>
              <w:lang w:val="en-US" w:eastAsia="zh-CN" w:bidi="ar"/>
            </w:rPr>
            <w:t>0</w:t>
          </w:r>
        </w:p>
        <w:p>
          <w:pPr>
            <w:pStyle w:val="14"/>
            <w:tabs>
              <w:tab w:val="right" w:leader="dot" w:pos="8931"/>
            </w:tabs>
            <w:ind w:left="0" w:leftChars="0" w:right="210" w:firstLine="743" w:firstLineChars="354"/>
            <w:rPr>
              <w:rStyle w:val="22"/>
              <w:rFonts w:hint="eastAsia" w:ascii="楷体" w:hAnsi="楷体" w:eastAsia="楷体"/>
              <w:sz w:val="32"/>
              <w:szCs w:val="40"/>
              <w:lang w:val="en-US" w:eastAsia="zh-CN" w:bidi="ar"/>
            </w:rPr>
          </w:pPr>
          <w:r>
            <w:fldChar w:fldCharType="begin"/>
          </w:r>
          <w:r>
            <w:instrText xml:space="preserve"> HYPERLINK \l "_Toc58405063" </w:instrText>
          </w:r>
          <w:r>
            <w:fldChar w:fldCharType="separate"/>
          </w:r>
          <w:r>
            <w:rPr>
              <w:rStyle w:val="22"/>
              <w:rFonts w:ascii="楷体" w:hAnsi="楷体" w:eastAsia="楷体"/>
              <w:sz w:val="32"/>
              <w:szCs w:val="40"/>
              <w:lang w:bidi="ar"/>
            </w:rPr>
            <w:t>3.6.3绿色建筑保险</w:t>
          </w:r>
          <w:r>
            <w:rPr>
              <w:rStyle w:val="22"/>
              <w:rFonts w:ascii="楷体" w:hAnsi="楷体" w:eastAsia="楷体"/>
              <w:sz w:val="32"/>
              <w:szCs w:val="40"/>
              <w:lang w:bidi="ar"/>
            </w:rPr>
            <w:tab/>
          </w:r>
          <w:r>
            <w:rPr>
              <w:rStyle w:val="22"/>
              <w:rFonts w:hint="eastAsia" w:ascii="楷体" w:hAnsi="楷体" w:eastAsia="楷体"/>
              <w:sz w:val="32"/>
              <w:szCs w:val="40"/>
              <w:lang w:val="en-US" w:eastAsia="zh-CN" w:bidi="ar"/>
            </w:rPr>
            <w:t>4</w:t>
          </w:r>
          <w:r>
            <w:rPr>
              <w:rStyle w:val="22"/>
              <w:rFonts w:ascii="楷体" w:hAnsi="楷体" w:eastAsia="楷体"/>
              <w:sz w:val="32"/>
              <w:szCs w:val="40"/>
              <w:lang w:bidi="ar"/>
            </w:rPr>
            <w:fldChar w:fldCharType="end"/>
          </w:r>
          <w:r>
            <w:rPr>
              <w:rStyle w:val="22"/>
              <w:rFonts w:hint="eastAsia" w:ascii="楷体" w:hAnsi="楷体" w:eastAsia="楷体"/>
              <w:sz w:val="32"/>
              <w:szCs w:val="40"/>
              <w:lang w:val="en-US" w:eastAsia="zh-CN" w:bidi="ar"/>
            </w:rPr>
            <w:t>1</w:t>
          </w:r>
        </w:p>
        <w:p>
          <w:pPr>
            <w:pStyle w:val="14"/>
            <w:tabs>
              <w:tab w:val="right" w:leader="dot" w:pos="8931"/>
            </w:tabs>
            <w:ind w:left="0" w:leftChars="0" w:right="210" w:firstLine="743" w:firstLineChars="354"/>
            <w:rPr>
              <w:rStyle w:val="22"/>
              <w:rFonts w:hint="eastAsia" w:ascii="楷体" w:hAnsi="楷体" w:eastAsia="楷体"/>
              <w:sz w:val="32"/>
              <w:szCs w:val="40"/>
              <w:lang w:val="en-US" w:eastAsia="zh-CN" w:bidi="ar"/>
            </w:rPr>
          </w:pPr>
          <w:r>
            <w:fldChar w:fldCharType="begin"/>
          </w:r>
          <w:r>
            <w:instrText xml:space="preserve"> HYPERLINK \l "_Toc58405064" </w:instrText>
          </w:r>
          <w:r>
            <w:fldChar w:fldCharType="separate"/>
          </w:r>
          <w:r>
            <w:rPr>
              <w:rStyle w:val="22"/>
              <w:rFonts w:ascii="楷体" w:hAnsi="楷体" w:eastAsia="楷体"/>
              <w:sz w:val="32"/>
              <w:szCs w:val="40"/>
              <w:lang w:bidi="ar"/>
            </w:rPr>
            <w:t>3.6.4容积率奖励</w:t>
          </w:r>
          <w:r>
            <w:rPr>
              <w:rStyle w:val="22"/>
              <w:rFonts w:ascii="楷体" w:hAnsi="楷体" w:eastAsia="楷体"/>
              <w:sz w:val="32"/>
              <w:szCs w:val="40"/>
              <w:lang w:bidi="ar"/>
            </w:rPr>
            <w:tab/>
          </w:r>
          <w:r>
            <w:rPr>
              <w:rStyle w:val="22"/>
              <w:rFonts w:hint="eastAsia" w:ascii="楷体" w:hAnsi="楷体" w:eastAsia="楷体"/>
              <w:sz w:val="32"/>
              <w:szCs w:val="40"/>
              <w:lang w:val="en-US" w:eastAsia="zh-CN" w:bidi="ar"/>
            </w:rPr>
            <w:t>4</w:t>
          </w:r>
          <w:r>
            <w:rPr>
              <w:rStyle w:val="22"/>
              <w:rFonts w:ascii="楷体" w:hAnsi="楷体" w:eastAsia="楷体"/>
              <w:sz w:val="32"/>
              <w:szCs w:val="40"/>
              <w:lang w:bidi="ar"/>
            </w:rPr>
            <w:fldChar w:fldCharType="end"/>
          </w:r>
          <w:r>
            <w:rPr>
              <w:rStyle w:val="22"/>
              <w:rFonts w:hint="eastAsia" w:ascii="楷体" w:hAnsi="楷体" w:eastAsia="楷体"/>
              <w:sz w:val="32"/>
              <w:szCs w:val="40"/>
              <w:lang w:val="en-US" w:eastAsia="zh-CN" w:bidi="ar"/>
            </w:rPr>
            <w:t>2</w:t>
          </w:r>
        </w:p>
        <w:p>
          <w:r>
            <w:rPr>
              <w:b/>
              <w:bCs/>
              <w:lang w:val="zh-CN"/>
            </w:rPr>
            <w:fldChar w:fldCharType="end"/>
          </w:r>
        </w:p>
      </w:sdtContent>
    </w:sdt>
    <w:p>
      <w:pPr>
        <w:jc w:val="center"/>
        <w:rPr>
          <w:lang w:val="zh-CN"/>
        </w:rPr>
      </w:pPr>
    </w:p>
    <w:p>
      <w:pPr>
        <w:tabs>
          <w:tab w:val="center" w:pos="4607"/>
        </w:tabs>
        <w:rPr>
          <w:lang w:val="zh-CN" w:bidi="ar"/>
        </w:rPr>
        <w:sectPr>
          <w:footerReference r:id="rId4" w:type="default"/>
          <w:pgSz w:w="11906" w:h="16838"/>
          <w:pgMar w:top="1440" w:right="1274" w:bottom="1440" w:left="1418" w:header="851" w:footer="992" w:gutter="0"/>
          <w:cols w:space="720" w:num="1"/>
          <w:docGrid w:type="lines" w:linePitch="312" w:charSpace="0"/>
        </w:sectPr>
      </w:pPr>
    </w:p>
    <w:p>
      <w:pPr>
        <w:widowControl/>
        <w:tabs>
          <w:tab w:val="left" w:pos="6580"/>
        </w:tabs>
        <w:jc w:val="left"/>
        <w:rPr>
          <w:rFonts w:ascii="宋体" w:hAnsi="宋体" w:cs="宋体"/>
          <w:b/>
          <w:color w:val="000000"/>
          <w:kern w:val="0"/>
          <w:sz w:val="31"/>
          <w:szCs w:val="31"/>
          <w:lang w:bidi="ar"/>
        </w:rPr>
      </w:pPr>
      <w:r>
        <w:rPr>
          <w:rFonts w:ascii="宋体" w:hAnsi="宋体" w:cs="宋体"/>
          <w:b/>
          <w:color w:val="000000"/>
          <w:kern w:val="0"/>
          <w:sz w:val="31"/>
          <w:szCs w:val="31"/>
          <w:lang w:bidi="ar"/>
        </w:rPr>
        <w:tab/>
      </w:r>
    </w:p>
    <w:p>
      <w:pPr>
        <w:widowControl/>
        <w:rPr>
          <w:rFonts w:ascii="宋体" w:hAnsi="宋体" w:cs="宋体"/>
          <w:b/>
          <w:color w:val="000000"/>
          <w:kern w:val="0"/>
          <w:sz w:val="31"/>
          <w:szCs w:val="31"/>
          <w:lang w:bidi="ar"/>
        </w:rPr>
      </w:pPr>
      <w:r>
        <w:rPr>
          <w:rFonts w:ascii="宋体" w:hAnsi="宋体" w:cs="宋体"/>
          <w:b/>
          <w:color w:val="000000"/>
          <w:kern w:val="0"/>
          <w:sz w:val="31"/>
          <w:szCs w:val="31"/>
          <w:lang w:bidi="ar"/>
        </w:rPr>
        <w:br w:type="page"/>
      </w:r>
    </w:p>
    <w:p>
      <w:pPr>
        <w:pStyle w:val="15"/>
        <w:rPr>
          <w:rFonts w:ascii="宋体" w:hAnsi="宋体"/>
          <w:sz w:val="36"/>
          <w:szCs w:val="36"/>
        </w:rPr>
      </w:pPr>
      <w:bookmarkStart w:id="0" w:name="_Toc57238381"/>
      <w:bookmarkStart w:id="1" w:name="_Toc58405002"/>
      <w:r>
        <w:rPr>
          <w:rFonts w:hint="eastAsia" w:ascii="Times New Roman" w:hAnsi="Times New Roman"/>
          <w:kern w:val="28"/>
          <w:sz w:val="36"/>
          <w:szCs w:val="36"/>
          <w:lang w:bidi="ar"/>
        </w:rPr>
        <w:t xml:space="preserve">一. </w:t>
      </w:r>
      <w:r>
        <w:rPr>
          <w:rFonts w:hint="eastAsia" w:ascii="宋体" w:hAnsi="宋体"/>
          <w:sz w:val="36"/>
          <w:szCs w:val="36"/>
        </w:rPr>
        <w:t>总  则</w:t>
      </w:r>
      <w:bookmarkEnd w:id="0"/>
      <w:bookmarkEnd w:id="1"/>
    </w:p>
    <w:p>
      <w:pPr>
        <w:widowControl/>
        <w:rPr>
          <w:rFonts w:ascii="宋体" w:hAnsi="宋体" w:cs="宋体"/>
          <w:b/>
          <w:color w:val="000000"/>
          <w:kern w:val="0"/>
          <w:sz w:val="31"/>
          <w:szCs w:val="31"/>
          <w:lang w:bidi="ar"/>
        </w:rPr>
      </w:pPr>
    </w:p>
    <w:p>
      <w:pPr>
        <w:pStyle w:val="15"/>
        <w:jc w:val="left"/>
        <w:rPr>
          <w:rFonts w:ascii="宋体" w:hAnsi="宋体"/>
        </w:rPr>
      </w:pPr>
      <w:bookmarkStart w:id="2" w:name="_Toc57238382"/>
      <w:bookmarkStart w:id="3" w:name="_Toc58405003"/>
      <w:r>
        <w:rPr>
          <w:rFonts w:ascii="Times New Roman" w:hAnsi="Times New Roman"/>
          <w:kern w:val="28"/>
          <w:lang w:bidi="ar"/>
        </w:rPr>
        <w:t>1.1</w:t>
      </w:r>
      <w:r>
        <w:rPr>
          <w:rFonts w:hint="eastAsia" w:ascii="宋体" w:hAnsi="宋体" w:cs="宋体"/>
          <w:lang w:bidi="ar"/>
        </w:rPr>
        <w:t>规划目的</w:t>
      </w:r>
      <w:bookmarkEnd w:id="2"/>
      <w:bookmarkEnd w:id="3"/>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sz w:val="28"/>
          <w:szCs w:val="28"/>
        </w:rPr>
      </w:pPr>
      <w:r>
        <w:rPr>
          <w:rFonts w:hint="eastAsia" w:ascii="仿宋" w:hAnsi="仿宋" w:eastAsia="仿宋" w:cs="仿宋"/>
          <w:color w:val="000000"/>
          <w:kern w:val="0"/>
          <w:sz w:val="28"/>
          <w:szCs w:val="28"/>
          <w:lang w:bidi="ar"/>
        </w:rPr>
        <w:t>“十四五”时期是我国由全面建成小康社会向基本实现社会主义现代化迈进的关键时期，加快推进汕头市建筑业转型升级，提高现代工业化水平势在必行。发展绿色建筑</w:t>
      </w:r>
      <w:r>
        <w:rPr>
          <w:rFonts w:hint="eastAsia" w:ascii="仿宋" w:hAnsi="仿宋" w:eastAsia="仿宋" w:cs="仿宋"/>
          <w:color w:val="000000"/>
          <w:kern w:val="0"/>
          <w:sz w:val="28"/>
          <w:szCs w:val="28"/>
          <w:vertAlign w:val="superscript"/>
          <w:lang w:bidi="ar"/>
        </w:rPr>
        <w:t>1</w:t>
      </w:r>
      <w:r>
        <w:rPr>
          <w:rFonts w:hint="eastAsia" w:ascii="仿宋" w:hAnsi="仿宋" w:eastAsia="仿宋" w:cs="仿宋"/>
          <w:color w:val="000000"/>
          <w:kern w:val="0"/>
          <w:sz w:val="28"/>
          <w:szCs w:val="28"/>
          <w:lang w:bidi="ar"/>
        </w:rPr>
        <w:t>，需尽快建立健全一个“政府引导、市场运作、市民喜爱”的社会综合体系，促进经济发展、提升人民群众生活品质不仅是利在当代的伟大事业，对于实现汕头建筑业的可持续发展更是具有重要的现实意义和深远的战略意义。根据国家、省、市的相关规定，结合汕头现有的建筑业与绿色建筑的实际情况，合理考虑和设置“十四五”期间建筑业与绿色建筑发展的总体目标、定位、战略以及技术路线，明确规划分区及指标控制要求，将规划要求与空间落实紧密结合，从而有效指导汕头市建筑业的绿色可持续化发展，以及促成绿色建筑逐渐形成具有潮汕文化、特区风采的特色产业，促进能源资源的节约利用，改善人居环境，提高民众生活质量，努力将汕头打造成为和谐宜居、富有活力、特色鲜明的现代化绿色新都市，为加快推进城市国际化、建设具有岭南独特韵味的世界名城提供规划保障。</w:t>
      </w:r>
    </w:p>
    <w:p>
      <w:pPr>
        <w:pStyle w:val="15"/>
        <w:jc w:val="left"/>
        <w:rPr>
          <w:rFonts w:ascii="宋体" w:hAnsi="宋体"/>
        </w:rPr>
      </w:pPr>
      <w:bookmarkStart w:id="4" w:name="_Toc58405004"/>
      <w:bookmarkStart w:id="5" w:name="_Toc57238383"/>
      <w:r>
        <w:rPr>
          <w:rFonts w:ascii="Times New Roman" w:hAnsi="Times New Roman"/>
          <w:kern w:val="28"/>
          <w:lang w:bidi="ar"/>
        </w:rPr>
        <w:t>1.2</w:t>
      </w:r>
      <w:r>
        <w:rPr>
          <w:rFonts w:hint="eastAsia" w:ascii="宋体" w:hAnsi="宋体" w:cs="宋体"/>
          <w:lang w:bidi="ar"/>
        </w:rPr>
        <w:t>规划原则</w:t>
      </w:r>
      <w:bookmarkEnd w:id="4"/>
      <w:bookmarkEnd w:id="5"/>
    </w:p>
    <w:p>
      <w:pPr>
        <w:pStyle w:val="13"/>
        <w:jc w:val="left"/>
        <w:rPr>
          <w:rFonts w:ascii="Times New Roman" w:hAnsi="Times New Roman"/>
          <w:sz w:val="28"/>
          <w:szCs w:val="28"/>
          <w:lang w:bidi="ar"/>
        </w:rPr>
      </w:pPr>
      <w:bookmarkStart w:id="6" w:name="_Toc58405005"/>
      <w:bookmarkStart w:id="7" w:name="_Toc53754802"/>
      <w:bookmarkStart w:id="8" w:name="_Toc54605804"/>
      <w:bookmarkStart w:id="9" w:name="_Toc54604885"/>
      <w:bookmarkStart w:id="10" w:name="_Toc57238384"/>
      <w:r>
        <w:rPr>
          <w:rFonts w:ascii="Times New Roman" w:hAnsi="Times New Roman"/>
          <w:sz w:val="28"/>
          <w:szCs w:val="28"/>
          <w:lang w:bidi="ar"/>
        </w:rPr>
        <w:t>1.2.1</w:t>
      </w:r>
      <w:r>
        <w:rPr>
          <w:rFonts w:hint="eastAsia" w:ascii="Times New Roman" w:hAnsi="Times New Roman"/>
          <w:sz w:val="28"/>
          <w:szCs w:val="28"/>
          <w:lang w:bidi="ar"/>
        </w:rPr>
        <w:t>以人为本，创新驱动</w:t>
      </w:r>
      <w:bookmarkEnd w:id="6"/>
      <w:bookmarkEnd w:id="7"/>
      <w:bookmarkEnd w:id="8"/>
      <w:bookmarkEnd w:id="9"/>
      <w:bookmarkEnd w:id="10"/>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建筑业与绿色建筑专项规划要以人为本，将人本导向作为其第一发展理念，把人的发展作为经济社会发展的根本出发点和落脚点。实施创新驱动发展战略，科学分析规划区域绿色建筑的技术发展基础、条件和趋势，综合考虑各类绿色建筑技术的协调发展。</w:t>
      </w:r>
    </w:p>
    <w:p>
      <w:pPr>
        <w:pStyle w:val="13"/>
        <w:jc w:val="left"/>
        <w:rPr>
          <w:rFonts w:ascii="Times New Roman" w:hAnsi="Times New Roman"/>
          <w:sz w:val="28"/>
          <w:szCs w:val="28"/>
          <w:lang w:bidi="ar"/>
        </w:rPr>
      </w:pPr>
      <w:bookmarkStart w:id="11" w:name="_Toc58405006"/>
      <w:bookmarkStart w:id="12" w:name="_Toc54604886"/>
      <w:bookmarkStart w:id="13" w:name="_Toc57238385"/>
      <w:bookmarkStart w:id="14" w:name="_Toc54605805"/>
      <w:bookmarkStart w:id="15" w:name="_Toc53754803"/>
      <w:r>
        <w:rPr>
          <w:rFonts w:ascii="Times New Roman" w:hAnsi="Times New Roman"/>
          <w:sz w:val="28"/>
          <w:szCs w:val="28"/>
          <w:lang w:bidi="ar"/>
        </w:rPr>
        <w:t>1.2.2</w:t>
      </w:r>
      <w:r>
        <w:rPr>
          <w:rFonts w:hint="eastAsia" w:ascii="Times New Roman" w:hAnsi="Times New Roman"/>
          <w:sz w:val="28"/>
          <w:szCs w:val="28"/>
          <w:lang w:bidi="ar"/>
        </w:rPr>
        <w:t>因地制宜，分类指导</w:t>
      </w:r>
      <w:bookmarkEnd w:id="11"/>
      <w:bookmarkEnd w:id="12"/>
      <w:bookmarkEnd w:id="13"/>
      <w:bookmarkEnd w:id="14"/>
      <w:bookmarkEnd w:id="15"/>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结合汕头市经济社会发展水平、资源禀赋、气候条件和建筑特点，建立健全发展规划和技术路线，有针对性地制定有关政策措施并具备可实施性和可操作性。</w:t>
      </w:r>
    </w:p>
    <w:p>
      <w:pPr>
        <w:pStyle w:val="13"/>
        <w:jc w:val="left"/>
        <w:rPr>
          <w:rFonts w:ascii="Times New Roman" w:hAnsi="Times New Roman"/>
          <w:sz w:val="28"/>
          <w:szCs w:val="28"/>
          <w:lang w:bidi="ar"/>
        </w:rPr>
      </w:pPr>
      <w:bookmarkStart w:id="16" w:name="_Toc57238386"/>
      <w:bookmarkStart w:id="17" w:name="_Toc54605806"/>
      <w:bookmarkStart w:id="18" w:name="_Toc58405007"/>
      <w:bookmarkStart w:id="19" w:name="_Toc53754804"/>
      <w:bookmarkStart w:id="20" w:name="_Toc54604887"/>
      <w:r>
        <w:rPr>
          <w:rFonts w:ascii="Times New Roman" w:hAnsi="Times New Roman"/>
          <w:sz w:val="28"/>
          <w:szCs w:val="28"/>
          <w:lang w:bidi="ar"/>
        </w:rPr>
        <w:t>1.2.3</w:t>
      </w:r>
      <w:r>
        <w:rPr>
          <w:rFonts w:hint="eastAsia" w:ascii="Times New Roman" w:hAnsi="Times New Roman"/>
          <w:sz w:val="28"/>
          <w:szCs w:val="28"/>
          <w:lang w:bidi="ar"/>
        </w:rPr>
        <w:t>政府引导，市场推动</w:t>
      </w:r>
      <w:bookmarkEnd w:id="16"/>
      <w:bookmarkEnd w:id="17"/>
      <w:bookmarkEnd w:id="18"/>
      <w:bookmarkEnd w:id="19"/>
      <w:bookmarkEnd w:id="20"/>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以政策、规划、标准等手段规范市场主体行为，综合运用价格、财税、金融等经济手段，发挥市场配置资源的决定性作用，营造有利于建筑业与绿色建筑发展的市场环境，激发市场主体设计、建造、使用绿色建筑的内生动力，积极引导鼓励各类要素参与建筑业与绿色建筑发展，逐步形成全社会关心、重视和支持发展建筑业与绿色建筑的良好氛围。</w:t>
      </w:r>
    </w:p>
    <w:p>
      <w:pPr>
        <w:pStyle w:val="13"/>
        <w:jc w:val="left"/>
        <w:rPr>
          <w:rFonts w:ascii="宋体" w:hAnsi="宋体"/>
          <w:sz w:val="28"/>
          <w:szCs w:val="28"/>
          <w:lang w:bidi="ar"/>
        </w:rPr>
      </w:pPr>
      <w:bookmarkStart w:id="21" w:name="_Toc54605807"/>
      <w:bookmarkStart w:id="22" w:name="_Toc53754805"/>
      <w:bookmarkStart w:id="23" w:name="_Toc57238387"/>
      <w:bookmarkStart w:id="24" w:name="_Toc58405008"/>
      <w:bookmarkStart w:id="25" w:name="_Toc54604888"/>
      <w:r>
        <w:rPr>
          <w:rFonts w:ascii="Times New Roman" w:hAnsi="Times New Roman"/>
          <w:sz w:val="28"/>
          <w:szCs w:val="28"/>
          <w:lang w:bidi="ar"/>
        </w:rPr>
        <w:t>1.2.4</w:t>
      </w:r>
      <w:r>
        <w:rPr>
          <w:rFonts w:hint="eastAsia" w:ascii="宋体" w:hAnsi="宋体"/>
          <w:sz w:val="28"/>
          <w:szCs w:val="28"/>
          <w:lang w:bidi="ar"/>
        </w:rPr>
        <w:t>立足当前，着眼长远</w:t>
      </w:r>
      <w:bookmarkEnd w:id="21"/>
      <w:bookmarkEnd w:id="22"/>
      <w:bookmarkEnd w:id="23"/>
      <w:bookmarkEnd w:id="24"/>
      <w:bookmarkEnd w:id="25"/>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立足汕头现状，树立全寿命周期理念，综合考虑投入产出效益，选择合理的规划、建设方案和技术措施，切实避免盲目的高投入和资源消耗。通过合理的规划目标、技术手段和建设时序，增强规划的可实施性与可操作性；近期规划立足于现状，远期规划基于近期规划及对未来的预测，做到近远结合、近期可行、远期合理，制定逐步推进的实施计划和分级目标，主次分明、先后有序，以实现最终的规划目标。</w:t>
      </w:r>
    </w:p>
    <w:p>
      <w:pPr>
        <w:widowControl/>
        <w:jc w:val="left"/>
        <w:rPr>
          <w:rFonts w:ascii="Times New Roman" w:hAnsi="Times New Roman"/>
          <w:b/>
          <w:bCs/>
          <w:kern w:val="28"/>
          <w:sz w:val="28"/>
          <w:szCs w:val="28"/>
          <w:lang w:bidi="ar"/>
        </w:rPr>
      </w:pPr>
      <w:bookmarkStart w:id="26" w:name="_Toc53754806"/>
      <w:bookmarkStart w:id="27" w:name="_Toc54605808"/>
      <w:bookmarkStart w:id="28" w:name="_Toc57238388"/>
      <w:bookmarkStart w:id="29" w:name="_Toc58405009"/>
      <w:bookmarkStart w:id="30" w:name="_Toc54604889"/>
      <w:r>
        <w:rPr>
          <w:rFonts w:ascii="Times New Roman" w:hAnsi="Times New Roman"/>
          <w:sz w:val="28"/>
          <w:szCs w:val="28"/>
          <w:lang w:bidi="ar"/>
        </w:rPr>
        <w:br w:type="page"/>
      </w:r>
    </w:p>
    <w:p>
      <w:pPr>
        <w:pStyle w:val="13"/>
        <w:jc w:val="left"/>
        <w:rPr>
          <w:rFonts w:ascii="宋体" w:hAnsi="宋体"/>
          <w:sz w:val="28"/>
          <w:szCs w:val="28"/>
          <w:lang w:bidi="ar"/>
        </w:rPr>
      </w:pPr>
      <w:r>
        <w:rPr>
          <w:rFonts w:ascii="Times New Roman" w:hAnsi="Times New Roman"/>
          <w:sz w:val="28"/>
          <w:szCs w:val="28"/>
          <w:lang w:bidi="ar"/>
        </w:rPr>
        <w:t>1.2.5</w:t>
      </w:r>
      <w:r>
        <w:rPr>
          <w:rFonts w:hint="eastAsia" w:ascii="宋体" w:hAnsi="宋体"/>
          <w:sz w:val="28"/>
          <w:szCs w:val="28"/>
          <w:lang w:bidi="ar"/>
        </w:rPr>
        <w:t>全面推进，突出重点</w:t>
      </w:r>
      <w:bookmarkEnd w:id="26"/>
      <w:bookmarkEnd w:id="27"/>
      <w:bookmarkEnd w:id="28"/>
      <w:bookmarkEnd w:id="29"/>
      <w:bookmarkEnd w:id="30"/>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建筑业以绿色建筑为突破口，带动建筑业的全面发展。绿色建筑全面执行国家绿色建筑标准，在此基础上，政府投资建筑、公益性建筑、保障性住房以及大型公共建筑采用高星级绿色建筑标准，同时积极推进和鼓励既有建筑的绿色改造，实现绿色建筑发展的全面突破，推进城乡绿色建筑向深度和广度发展。</w:t>
      </w:r>
    </w:p>
    <w:p>
      <w:pPr>
        <w:pStyle w:val="15"/>
        <w:jc w:val="left"/>
      </w:pPr>
      <w:bookmarkStart w:id="31" w:name="_Toc58405010"/>
      <w:bookmarkStart w:id="32" w:name="_Toc57238389"/>
      <w:r>
        <w:rPr>
          <w:rFonts w:ascii="Times New Roman" w:hAnsi="Times New Roman"/>
          <w:lang w:bidi="ar"/>
        </w:rPr>
        <w:t>1.3</w:t>
      </w:r>
      <w:r>
        <w:rPr>
          <w:rFonts w:hint="eastAsia" w:cs="宋体"/>
          <w:lang w:bidi="ar"/>
        </w:rPr>
        <w:t>规划依据</w:t>
      </w:r>
      <w:bookmarkEnd w:id="31"/>
      <w:bookmarkEnd w:id="32"/>
    </w:p>
    <w:p>
      <w:pPr>
        <w:pStyle w:val="13"/>
        <w:jc w:val="left"/>
        <w:rPr>
          <w:rFonts w:ascii="Times New Roman" w:hAnsi="Times New Roman"/>
          <w:sz w:val="28"/>
          <w:szCs w:val="28"/>
          <w:lang w:bidi="ar"/>
        </w:rPr>
      </w:pPr>
      <w:bookmarkStart w:id="33" w:name="_Toc57238390"/>
      <w:bookmarkStart w:id="34" w:name="_Toc58405011"/>
      <w:r>
        <w:rPr>
          <w:rFonts w:ascii="Times New Roman" w:hAnsi="Times New Roman"/>
          <w:sz w:val="28"/>
          <w:szCs w:val="28"/>
          <w:lang w:bidi="ar"/>
        </w:rPr>
        <w:t>1.3.1</w:t>
      </w:r>
      <w:r>
        <w:rPr>
          <w:rFonts w:hint="eastAsia" w:ascii="Times New Roman" w:hAnsi="Times New Roman"/>
          <w:sz w:val="28"/>
          <w:szCs w:val="28"/>
          <w:lang w:bidi="ar"/>
        </w:rPr>
        <w:t>法律法规</w:t>
      </w:r>
      <w:bookmarkEnd w:id="33"/>
      <w:bookmarkEnd w:id="34"/>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1）《中华人民共和国节约能源法》（2016年7月修订）</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2）《民用建筑节能条例》（2008年10月）</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3）《七部门关于印发绿色建筑创建行动方案的通知》</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（建标【2020】65号）（2020年7月15日）</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4)《广东省绿色建筑条例》（2020年11月27日）</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5）《汕头经济特区城乡规划条例》（2014年10月29日）</w:t>
      </w:r>
    </w:p>
    <w:p>
      <w:pPr>
        <w:pStyle w:val="13"/>
        <w:jc w:val="left"/>
        <w:rPr>
          <w:rFonts w:ascii="Times New Roman" w:hAnsi="Times New Roman"/>
          <w:sz w:val="28"/>
          <w:szCs w:val="28"/>
          <w:lang w:bidi="ar"/>
        </w:rPr>
      </w:pPr>
      <w:bookmarkStart w:id="35" w:name="_Toc57238391"/>
      <w:bookmarkStart w:id="36" w:name="_Toc58405012"/>
      <w:r>
        <w:rPr>
          <w:rFonts w:ascii="Times New Roman" w:hAnsi="Times New Roman"/>
          <w:sz w:val="28"/>
          <w:szCs w:val="28"/>
          <w:lang w:bidi="ar"/>
        </w:rPr>
        <w:t>1.3.2</w:t>
      </w:r>
      <w:r>
        <w:rPr>
          <w:rFonts w:hint="eastAsia" w:ascii="Times New Roman" w:hAnsi="Times New Roman"/>
          <w:sz w:val="28"/>
          <w:szCs w:val="28"/>
          <w:lang w:bidi="ar"/>
        </w:rPr>
        <w:t>规范标准</w:t>
      </w:r>
      <w:bookmarkEnd w:id="35"/>
      <w:bookmarkEnd w:id="36"/>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1）《绿色建筑评价标准》GB/T 50378-2019</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2）《绿色工业建筑评价标准》GB/T 50878-2013</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3）《既有建筑绿色改造评价标准》GB/T 51141-2015</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4）《广东省绿色建筑评价标准》DBJ/T 15-83-2017</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5）《广东省绿色建筑设计规范》DBJ/T 15-201-2020</w:t>
      </w:r>
    </w:p>
    <w:p>
      <w:pPr>
        <w:pStyle w:val="13"/>
        <w:jc w:val="left"/>
        <w:rPr>
          <w:rFonts w:ascii="Times New Roman" w:hAnsi="Times New Roman"/>
          <w:sz w:val="28"/>
          <w:szCs w:val="28"/>
          <w:lang w:bidi="ar"/>
        </w:rPr>
      </w:pPr>
      <w:bookmarkStart w:id="37" w:name="_Toc58405013"/>
      <w:bookmarkStart w:id="38" w:name="_Toc57238392"/>
    </w:p>
    <w:p>
      <w:pPr>
        <w:pStyle w:val="13"/>
        <w:jc w:val="left"/>
        <w:rPr>
          <w:rFonts w:ascii="Times New Roman" w:hAnsi="Times New Roman"/>
          <w:sz w:val="28"/>
          <w:szCs w:val="28"/>
          <w:lang w:bidi="ar"/>
        </w:rPr>
      </w:pPr>
      <w:r>
        <w:rPr>
          <w:rFonts w:ascii="Times New Roman" w:hAnsi="Times New Roman"/>
          <w:sz w:val="28"/>
          <w:szCs w:val="28"/>
          <w:lang w:bidi="ar"/>
        </w:rPr>
        <w:t>1.3.3</w:t>
      </w:r>
      <w:r>
        <w:rPr>
          <w:rFonts w:hint="eastAsia" w:ascii="Times New Roman" w:hAnsi="Times New Roman"/>
          <w:sz w:val="28"/>
          <w:szCs w:val="28"/>
          <w:lang w:bidi="ar"/>
        </w:rPr>
        <w:t>相关规划</w:t>
      </w:r>
      <w:bookmarkEnd w:id="37"/>
      <w:bookmarkEnd w:id="38"/>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1）《“十四五”建筑节能和绿色建筑发展规划（征求意见稿〉》</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2）《广东省绿色建筑发展“十四五”规划（征求意见稿）》</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3）《汕头市城市发展战略规划》</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4）《汕头市城市总体规划（2002-2020年）》（2017年修订）</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5）《广东省汕头市土地利用总体规划（2006-2020年）》</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6）《汕头市海绵城市专项规划》</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7）《汕头市装配式建筑专项规划（2018-2025）》</w:t>
      </w:r>
    </w:p>
    <w:p>
      <w:pPr>
        <w:pStyle w:val="15"/>
        <w:jc w:val="left"/>
        <w:rPr>
          <w:kern w:val="28"/>
          <w:sz w:val="30"/>
          <w:szCs w:val="30"/>
          <w:lang w:bidi="ar"/>
        </w:rPr>
      </w:pPr>
      <w:bookmarkStart w:id="39" w:name="_Toc58405014"/>
      <w:bookmarkStart w:id="40" w:name="_Toc57238393"/>
      <w:r>
        <w:rPr>
          <w:rFonts w:ascii="Times New Roman" w:hAnsi="Times New Roman"/>
          <w:kern w:val="28"/>
          <w:sz w:val="30"/>
          <w:szCs w:val="30"/>
          <w:lang w:bidi="ar"/>
        </w:rPr>
        <w:t>1.4</w:t>
      </w:r>
      <w:r>
        <w:rPr>
          <w:rStyle w:val="28"/>
          <w:rFonts w:hint="eastAsia" w:ascii="宋体" w:hAnsi="宋体"/>
          <w:b/>
          <w:bCs/>
          <w:lang w:bidi="ar"/>
        </w:rPr>
        <w:t>规划范围和内容</w:t>
      </w:r>
      <w:bookmarkEnd w:id="39"/>
      <w:bookmarkEnd w:id="40"/>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确定建筑业发展计划和指标。确定汕头市中心城区与其他城区绿色建筑的总体发展目标任务及高星级绿色建筑占新建民用建筑的面积比例等目标要求。</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本规划中提及的所有绿色建筑星级相关表述均出自《绿色建筑评价标识》GB/T 50378-2019。</w:t>
      </w:r>
    </w:p>
    <w:p>
      <w:pPr>
        <w:pStyle w:val="15"/>
        <w:spacing w:after="240"/>
        <w:jc w:val="left"/>
        <w:rPr>
          <w:lang w:bidi="ar"/>
        </w:rPr>
      </w:pPr>
      <w:bookmarkStart w:id="41" w:name="_Toc57238394"/>
      <w:bookmarkStart w:id="42" w:name="_Toc58405015"/>
      <w:r>
        <w:rPr>
          <w:rFonts w:ascii="Times New Roman" w:hAnsi="Times New Roman"/>
          <w:lang w:bidi="ar"/>
        </w:rPr>
        <w:t>1.5</w:t>
      </w:r>
      <w:r>
        <w:rPr>
          <w:rStyle w:val="28"/>
          <w:rFonts w:hint="eastAsia" w:ascii="宋体" w:hAnsi="宋体"/>
          <w:b/>
          <w:bCs/>
          <w:lang w:bidi="ar"/>
        </w:rPr>
        <w:t>规划期限</w:t>
      </w:r>
      <w:bookmarkEnd w:id="41"/>
      <w:bookmarkEnd w:id="42"/>
    </w:p>
    <w:p>
      <w:pPr>
        <w:widowControl/>
        <w:ind w:firstLine="638" w:firstLineChars="228"/>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本次规划期限为</w:t>
      </w:r>
      <w:r>
        <w:rPr>
          <w:rFonts w:ascii="仿宋" w:hAnsi="仿宋" w:eastAsia="仿宋" w:cs="仿宋"/>
          <w:color w:val="000000"/>
          <w:kern w:val="0"/>
          <w:sz w:val="28"/>
          <w:szCs w:val="28"/>
          <w:lang w:bidi="ar"/>
        </w:rPr>
        <w:t>20</w:t>
      </w:r>
      <w:r>
        <w:rPr>
          <w:rFonts w:hint="eastAsia" w:ascii="仿宋" w:hAnsi="仿宋" w:eastAsia="仿宋" w:cs="仿宋"/>
          <w:color w:val="000000"/>
          <w:kern w:val="0"/>
          <w:sz w:val="28"/>
          <w:szCs w:val="28"/>
          <w:lang w:bidi="ar"/>
        </w:rPr>
        <w:t>21</w:t>
      </w:r>
      <w:r>
        <w:rPr>
          <w:rFonts w:ascii="仿宋" w:hAnsi="仿宋" w:eastAsia="仿宋" w:cs="仿宋"/>
          <w:color w:val="000000"/>
          <w:kern w:val="0"/>
          <w:sz w:val="28"/>
          <w:szCs w:val="28"/>
          <w:lang w:bidi="ar"/>
        </w:rPr>
        <w:t>-2025</w:t>
      </w:r>
      <w:r>
        <w:rPr>
          <w:rFonts w:hint="eastAsia" w:ascii="仿宋" w:hAnsi="仿宋" w:eastAsia="仿宋" w:cs="仿宋"/>
          <w:color w:val="000000"/>
          <w:kern w:val="0"/>
          <w:sz w:val="28"/>
          <w:szCs w:val="28"/>
          <w:lang w:bidi="ar"/>
        </w:rPr>
        <w:t>年。</w:t>
      </w:r>
    </w:p>
    <w:p>
      <w:pPr>
        <w:widowControl/>
        <w:ind w:firstLine="638" w:firstLineChars="228"/>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近期为：</w:t>
      </w:r>
      <w:r>
        <w:rPr>
          <w:rFonts w:ascii="仿宋" w:hAnsi="仿宋" w:eastAsia="仿宋" w:cs="仿宋"/>
          <w:color w:val="000000"/>
          <w:kern w:val="0"/>
          <w:sz w:val="28"/>
          <w:szCs w:val="28"/>
          <w:lang w:bidi="ar"/>
        </w:rPr>
        <w:t>20</w:t>
      </w:r>
      <w:r>
        <w:rPr>
          <w:rFonts w:hint="eastAsia" w:ascii="仿宋" w:hAnsi="仿宋" w:eastAsia="仿宋" w:cs="仿宋"/>
          <w:color w:val="000000"/>
          <w:kern w:val="0"/>
          <w:sz w:val="28"/>
          <w:szCs w:val="28"/>
          <w:lang w:bidi="ar"/>
        </w:rPr>
        <w:t>21</w:t>
      </w:r>
      <w:r>
        <w:rPr>
          <w:rFonts w:ascii="仿宋" w:hAnsi="仿宋" w:eastAsia="仿宋" w:cs="仿宋"/>
          <w:color w:val="000000"/>
          <w:kern w:val="0"/>
          <w:sz w:val="28"/>
          <w:szCs w:val="28"/>
          <w:lang w:bidi="ar"/>
        </w:rPr>
        <w:t>-2022</w:t>
      </w:r>
      <w:r>
        <w:rPr>
          <w:rFonts w:hint="eastAsia" w:ascii="仿宋" w:hAnsi="仿宋" w:eastAsia="仿宋" w:cs="仿宋"/>
          <w:color w:val="000000"/>
          <w:kern w:val="0"/>
          <w:sz w:val="28"/>
          <w:szCs w:val="28"/>
          <w:lang w:bidi="ar"/>
        </w:rPr>
        <w:t>年；远期为：</w:t>
      </w:r>
      <w:r>
        <w:rPr>
          <w:rFonts w:ascii="仿宋" w:hAnsi="仿宋" w:eastAsia="仿宋" w:cs="仿宋"/>
          <w:color w:val="000000"/>
          <w:kern w:val="0"/>
          <w:sz w:val="28"/>
          <w:szCs w:val="28"/>
          <w:lang w:bidi="ar"/>
        </w:rPr>
        <w:t>2023-2025</w:t>
      </w:r>
      <w:r>
        <w:rPr>
          <w:rFonts w:hint="eastAsia" w:ascii="仿宋" w:hAnsi="仿宋" w:eastAsia="仿宋" w:cs="仿宋"/>
          <w:color w:val="000000"/>
          <w:kern w:val="0"/>
          <w:sz w:val="28"/>
          <w:szCs w:val="28"/>
          <w:lang w:bidi="ar"/>
        </w:rPr>
        <w:t>年。</w:t>
      </w:r>
    </w:p>
    <w:p>
      <w:pPr>
        <w:pStyle w:val="15"/>
        <w:rPr>
          <w:rFonts w:ascii="Times New Roman" w:hAnsi="Times New Roman"/>
          <w:kern w:val="28"/>
          <w:sz w:val="36"/>
          <w:szCs w:val="36"/>
          <w:lang w:bidi="ar"/>
        </w:rPr>
      </w:pPr>
      <w:r>
        <w:br w:type="page"/>
      </w:r>
      <w:bookmarkStart w:id="43" w:name="_Toc58405016"/>
      <w:bookmarkStart w:id="44" w:name="_Toc57238395"/>
      <w:r>
        <w:rPr>
          <w:rFonts w:hint="eastAsia" w:ascii="Times New Roman" w:hAnsi="Times New Roman"/>
          <w:kern w:val="28"/>
          <w:sz w:val="36"/>
          <w:szCs w:val="36"/>
          <w:lang w:bidi="ar"/>
        </w:rPr>
        <w:t>二</w:t>
      </w:r>
      <w:r>
        <w:rPr>
          <w:rFonts w:ascii="Times New Roman" w:hAnsi="Times New Roman"/>
          <w:kern w:val="28"/>
          <w:sz w:val="36"/>
          <w:szCs w:val="36"/>
          <w:lang w:bidi="ar"/>
        </w:rPr>
        <w:t>．建筑</w:t>
      </w:r>
      <w:r>
        <w:rPr>
          <w:rFonts w:hint="eastAsia" w:ascii="Times New Roman" w:hAnsi="Times New Roman"/>
          <w:kern w:val="28"/>
          <w:sz w:val="36"/>
          <w:szCs w:val="36"/>
          <w:lang w:bidi="ar"/>
        </w:rPr>
        <w:t>业发展规划</w:t>
      </w:r>
      <w:bookmarkEnd w:id="43"/>
      <w:bookmarkEnd w:id="44"/>
    </w:p>
    <w:p>
      <w:pPr>
        <w:pStyle w:val="15"/>
        <w:jc w:val="left"/>
        <w:rPr>
          <w:rFonts w:ascii="宋体" w:hAnsi="宋体" w:cs="仿宋"/>
          <w:color w:val="000000"/>
          <w:kern w:val="0"/>
          <w:lang w:bidi="ar"/>
        </w:rPr>
      </w:pPr>
      <w:bookmarkStart w:id="45" w:name="_Toc58405017"/>
      <w:bookmarkStart w:id="46" w:name="_Toc57238396"/>
      <w:r>
        <w:rPr>
          <w:rFonts w:ascii="Times New Roman" w:hAnsi="Times New Roman"/>
          <w:color w:val="000000"/>
          <w:kern w:val="0"/>
          <w:lang w:bidi="ar"/>
        </w:rPr>
        <w:t>2.1</w:t>
      </w:r>
      <w:r>
        <w:rPr>
          <w:rFonts w:hint="eastAsia" w:ascii="宋体" w:hAnsi="宋体" w:cs="仿宋"/>
          <w:color w:val="000000"/>
          <w:kern w:val="0"/>
          <w:lang w:bidi="ar"/>
        </w:rPr>
        <w:t>建筑业发展情况综述</w:t>
      </w:r>
      <w:bookmarkEnd w:id="45"/>
      <w:bookmarkEnd w:id="46"/>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汕头市建筑业历史悠久，是我省建筑强市之一，汕头建安、达濠建筑、达濠市政、潮阳建筑工程总公司等本市建筑企业多次获“中国建设工程鲁班奖”、“中国土木工程詹天佑奖”、“全国市政金杯示范工程”、“全国建筑工程装饰奖”等全国性奖项。2017年12月，经广东省建筑业协会推荐，汕头市濠江区被中国建筑业协会正式授予“中国建筑之乡”称号。历经多年发展，建筑业已成为汕头市的重要支柱产业，全市建筑业生产保持了稳中有增的发展态势，各项指标增长良好，为促进全市经济社会发展作出了积极贡献。</w:t>
      </w:r>
    </w:p>
    <w:p>
      <w:pPr>
        <w:pStyle w:val="13"/>
        <w:jc w:val="left"/>
        <w:rPr>
          <w:rFonts w:ascii="Times New Roman" w:hAnsi="Times New Roman"/>
          <w:sz w:val="28"/>
          <w:szCs w:val="28"/>
          <w:lang w:bidi="ar"/>
        </w:rPr>
      </w:pPr>
      <w:bookmarkStart w:id="47" w:name="_Toc57238397"/>
      <w:bookmarkStart w:id="48" w:name="_Toc58405018"/>
      <w:r>
        <w:rPr>
          <w:rFonts w:hint="eastAsia" w:ascii="Times New Roman" w:hAnsi="Times New Roman"/>
          <w:sz w:val="28"/>
          <w:szCs w:val="28"/>
          <w:lang w:bidi="ar"/>
        </w:rPr>
        <w:t>2</w:t>
      </w:r>
      <w:r>
        <w:rPr>
          <w:rFonts w:ascii="Times New Roman" w:hAnsi="Times New Roman"/>
          <w:sz w:val="28"/>
          <w:szCs w:val="28"/>
          <w:lang w:bidi="ar"/>
        </w:rPr>
        <w:t>.1.1</w:t>
      </w:r>
      <w:bookmarkEnd w:id="47"/>
      <w:r>
        <w:rPr>
          <w:rFonts w:hint="eastAsia" w:ascii="Times New Roman" w:hAnsi="Times New Roman"/>
          <w:sz w:val="28"/>
          <w:szCs w:val="28"/>
          <w:lang w:bidi="ar"/>
        </w:rPr>
        <w:t>“十三五”期间建筑业发展概况</w:t>
      </w:r>
      <w:bookmarkEnd w:id="48"/>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①</w:t>
      </w:r>
      <w:r>
        <w:rPr>
          <w:rFonts w:ascii="仿宋" w:hAnsi="仿宋" w:eastAsia="仿宋" w:cs="仿宋"/>
          <w:b/>
          <w:bCs/>
          <w:color w:val="000000"/>
          <w:kern w:val="0"/>
          <w:sz w:val="28"/>
          <w:szCs w:val="28"/>
          <w:lang w:bidi="ar"/>
        </w:rPr>
        <w:t xml:space="preserve"> </w:t>
      </w:r>
      <w:r>
        <w:rPr>
          <w:rFonts w:hint="eastAsia" w:ascii="仿宋" w:hAnsi="仿宋" w:eastAsia="仿宋" w:cs="仿宋"/>
          <w:b/>
          <w:bCs/>
          <w:color w:val="000000"/>
          <w:kern w:val="0"/>
          <w:sz w:val="28"/>
          <w:szCs w:val="28"/>
          <w:lang w:bidi="ar"/>
        </w:rPr>
        <w:t>建筑业经济运行稳中向好</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“十三五”期间，我市建筑业平稳健康发展，2016年，全市建筑业总产值为453.76亿元，同比增长11.9%</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2017年，全市建筑业总产值为519.64亿元，同比增长14.52%</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 xml:space="preserve">2018年，全市建筑业总产值为610.53亿元，同比增长17.49%；2019年，全市建筑业总产值为713.3亿元，同比增长16.83%。2020年，全市建筑业总产值为790.57亿元，同比增长10.8%，比“十二五”增长95%。 </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② 抓好制度建设，助力建筑业高质量发展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val="en-US" w:eastAsia="zh-CN" w:bidi="ar"/>
        </w:rPr>
        <w:t>a</w:t>
      </w:r>
      <w:r>
        <w:rPr>
          <w:rFonts w:hint="eastAsia" w:ascii="仿宋" w:hAnsi="仿宋" w:eastAsia="仿宋" w:cs="仿宋"/>
          <w:color w:val="000000"/>
          <w:kern w:val="0"/>
          <w:sz w:val="28"/>
          <w:szCs w:val="28"/>
          <w:lang w:bidi="ar"/>
        </w:rPr>
        <w:t>）修订完善招投标实施意见。在深入调研，借鉴先进城市经验做法的基础上，制</w:t>
      </w:r>
      <w:r>
        <w:rPr>
          <w:rFonts w:hint="eastAsia" w:ascii="仿宋" w:hAnsi="仿宋" w:eastAsia="仿宋" w:cs="仿宋"/>
          <w:color w:val="000000"/>
          <w:kern w:val="0"/>
          <w:sz w:val="28"/>
          <w:szCs w:val="28"/>
          <w:lang w:eastAsia="zh-CN" w:bidi="ar"/>
        </w:rPr>
        <w:t>定</w:t>
      </w:r>
      <w:r>
        <w:rPr>
          <w:rFonts w:hint="eastAsia" w:ascii="仿宋" w:hAnsi="仿宋" w:eastAsia="仿宋" w:cs="仿宋"/>
          <w:color w:val="000000"/>
          <w:kern w:val="0"/>
          <w:sz w:val="28"/>
          <w:szCs w:val="28"/>
          <w:lang w:bidi="ar"/>
        </w:rPr>
        <w:t>并由市政府印发《关于进一步加强汕头市政府投资房屋建筑和市政公用工程招标投标管理工作的意见》（汕府〔2019〕43号），开展“责权归位”招标投标改革，首次实行“评定分离”，促进择优和竞价的有机融合，深化诚信体系在招标评标中的应用，进一步规范工程项目招投标行为，提升工程投资建设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b）逐步建立用工实名制管理制度。建立汕头市“智慧工地”（实名制）管理系统平台，利用现代信息化管理手段，对市场主体建立基本信息档案，进行施工现场实时监控，提升建设行政主管部门对在建项目的监督效能，有效遏制转包、违法分包、挂靠等违法违规行为的发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c）健全建筑市场信用体系。建立“汕头市建筑企业诚信公示平台”，实现建筑企业信用信息公开化透明化。结合建筑市场“黑名单”管理的实施情况，经修订形成了《建筑市场“黑名单”管理办法》（汕住建〔2019〕25号），对在我市行政区域内从事房屋建筑和市政公用工程活动的各方行为主体制定了具体的列入建筑市场“黑名单”条款和进入程序，以强化守信激励、失信惩戒，进一步促进建筑行业健康发展。</w:t>
      </w:r>
    </w:p>
    <w:p>
      <w:pPr>
        <w:pStyle w:val="13"/>
        <w:jc w:val="left"/>
        <w:rPr>
          <w:rFonts w:ascii="Times New Roman" w:hAnsi="Times New Roman"/>
          <w:sz w:val="28"/>
          <w:szCs w:val="28"/>
          <w:lang w:bidi="ar"/>
        </w:rPr>
      </w:pPr>
      <w:bookmarkStart w:id="49" w:name="_Toc58405019"/>
      <w:r>
        <w:rPr>
          <w:rFonts w:hint="eastAsia" w:ascii="Times New Roman" w:hAnsi="Times New Roman"/>
          <w:sz w:val="28"/>
          <w:szCs w:val="28"/>
          <w:lang w:bidi="ar"/>
        </w:rPr>
        <w:t>2</w:t>
      </w:r>
      <w:r>
        <w:rPr>
          <w:rFonts w:ascii="Times New Roman" w:hAnsi="Times New Roman"/>
          <w:sz w:val="28"/>
          <w:szCs w:val="28"/>
          <w:lang w:bidi="ar"/>
        </w:rPr>
        <w:t>.1.2</w:t>
      </w:r>
      <w:r>
        <w:rPr>
          <w:rFonts w:hint="eastAsia" w:ascii="Times New Roman" w:hAnsi="Times New Roman"/>
          <w:sz w:val="28"/>
          <w:szCs w:val="28"/>
          <w:lang w:bidi="ar"/>
        </w:rPr>
        <w:t>问题与短板</w:t>
      </w:r>
      <w:bookmarkEnd w:id="49"/>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①建筑业产值总量不大，抗风险能力较弱，缺少核心竞争力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从“十三五”期间建筑业经济运行情况来看，我市建筑业产值总量不大，且外出产值占主要地位，抗风险能力较弱，易受外部市场波动影响；企业资质整体偏低，规模整体偏小，特级、一级及专业性强的企业较少，盈利能力较低的二、三级企业数量较多，缺少核心竞争力。</w:t>
      </w:r>
    </w:p>
    <w:p>
      <w:pPr>
        <w:widowControl/>
        <w:jc w:val="left"/>
        <w:rPr>
          <w:rFonts w:ascii="仿宋" w:hAnsi="仿宋" w:eastAsia="仿宋" w:cs="仿宋"/>
          <w:b/>
          <w:bCs/>
          <w:color w:val="000000"/>
          <w:kern w:val="0"/>
          <w:sz w:val="28"/>
          <w:szCs w:val="28"/>
          <w:lang w:bidi="ar"/>
        </w:rPr>
      </w:pPr>
      <w:r>
        <w:rPr>
          <w:rFonts w:ascii="仿宋" w:hAnsi="仿宋" w:eastAsia="仿宋" w:cs="仿宋"/>
          <w:b/>
          <w:bCs/>
          <w:color w:val="000000"/>
          <w:kern w:val="0"/>
          <w:sz w:val="28"/>
          <w:szCs w:val="28"/>
          <w:lang w:bidi="ar"/>
        </w:rPr>
        <w:br w:type="page"/>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②可持续发展基础不牢，达不到实现建筑业跨越式发展的必要条件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我市建筑企业在对外开拓市场方面取得了较好的成绩，外出完成产值约为在本地市场完成的2倍，为我市建筑业规模每年以约百亿元的增量高速发展作出了积极重要的贡献，体现了我市建筑业企业积极开拓进取、迎难而上的企业精神，同时也反映出我市建筑业企业在承接本市建筑工程项目上占比较少，企业综合发展不平衡的问题。这种外强内弱的情况，对我市建筑业持续健康发展极为不利，同时也说明我市建筑工程项目产生的税收外流严重，与我们积蓄力量、找准机会实现建筑业跨越式发展的思路不相符合，亟待破解。</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③行业乱象的治理力度仍需进一步加大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建筑市场各方主体众多，涉及到建设、施工、勘察设计、监理、造价咨询、招标代理等企业及其各种从业人员，参与的主体十分广泛，违法发包、转包、违法分包、挂证、项目主要管理人员履职不到位等问题难以根治，仍需要在接下来的工作中加大治理力度。</w:t>
      </w:r>
    </w:p>
    <w:p>
      <w:pPr>
        <w:pStyle w:val="13"/>
        <w:jc w:val="left"/>
        <w:rPr>
          <w:rFonts w:ascii="Times New Roman" w:hAnsi="Times New Roman"/>
          <w:sz w:val="28"/>
          <w:szCs w:val="28"/>
          <w:lang w:bidi="ar"/>
        </w:rPr>
      </w:pPr>
      <w:bookmarkStart w:id="50" w:name="_Toc58405020"/>
      <w:r>
        <w:rPr>
          <w:rFonts w:hint="eastAsia" w:ascii="Times New Roman" w:hAnsi="Times New Roman"/>
          <w:sz w:val="28"/>
          <w:szCs w:val="28"/>
          <w:lang w:bidi="ar"/>
        </w:rPr>
        <w:t>2</w:t>
      </w:r>
      <w:r>
        <w:rPr>
          <w:rFonts w:ascii="Times New Roman" w:hAnsi="Times New Roman"/>
          <w:sz w:val="28"/>
          <w:szCs w:val="28"/>
          <w:lang w:bidi="ar"/>
        </w:rPr>
        <w:t>.1.3</w:t>
      </w:r>
      <w:r>
        <w:rPr>
          <w:rFonts w:hint="eastAsia" w:ascii="Times New Roman" w:hAnsi="Times New Roman"/>
          <w:sz w:val="28"/>
          <w:szCs w:val="28"/>
          <w:lang w:bidi="ar"/>
        </w:rPr>
        <w:t>建筑业“十四五”规划思路</w:t>
      </w:r>
      <w:bookmarkEnd w:id="5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① 建筑业经济保持平稳运行和健康发展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在保持“十三五”规划期间建筑业经济运行平稳态势的基础上，建筑业总产值按11%-15%的增长率继续健康发展，力争“十四五”建筑业总产值达到约1445.06亿元。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② 深化工程招标投标制度改革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在制定《关于进一步加强汕头市政府投资房屋建筑和市政公用工程招标投标管理工作的意见》的基础上开展“责权归位”招标投标改革，实行“评定分离”，促进择优和竞价的有机融合，深化诚信体系在招标评标中的应用，进一步规范工程项目招投标行为，提升工程投资建设效益。同时推进招投标全流程电子化，优化建设工程招投标流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③ 完善建筑市场信用管理，严厉打击违法违规行为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完善建筑市场诚信评价体系，落实建筑市场主体黑名单制度，同时根据国家和省有关认定查处办法，加大对转包、违法分包、挂靠等违法违规行为的查处力度，开展建筑市场监督执法检查，运用好诚信评价体系和“黑名单”制度，坚决对违法违规的建筑市场主体进行联合惩戒，进一步促进建筑行业健康发展。</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④ 加大扶持力度，推动建筑业企业转型升级做强做大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加大对本地建筑业企业的培育力度，鼓励扶持企业进行资质升级增项，在人员配置等升级增项所需要件方面给予支持，加快建筑企业转型升级步伐，提升我市建筑业企业资质层次。鼓励本地建筑业企业发挥本土优势，与实力雄厚、技术管理先进的龙头企业在技术难度大、综合要求高的项目上进行合作，在合作中学习先进管理经验和技术经验，培育人才，在双赢中壮大自己，为企业实现跨越式发展积蓄力量，为企业资质升级提供基础保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⑤ 大力发展绿色建筑，培育建筑业发展新动力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推进汕头市绿色建筑和建筑工业化的发展，对于汕头城区建设节能低碳、绿色生态、集约高效的建筑用能体系，以及推动住房城乡建设领域供给侧结构性改革有重要意义。大力发展绿色建筑产业，引领我市经济实现绿色转型，抓住建筑节能与绿色建筑这个龙头，发展绿色建筑产业，通过相关产业的人才引进和科技创新，带动孵化新兴产业，促进建筑业的行业经济和产业结构调整升级，培育我市建筑业绿色发展新动力。</w:t>
      </w:r>
      <w:bookmarkStart w:id="51" w:name="_Toc57238403"/>
      <w:bookmarkStart w:id="52" w:name="_Toc58405025"/>
    </w:p>
    <w:p>
      <w:pPr>
        <w:pStyle w:val="15"/>
        <w:jc w:val="left"/>
        <w:rPr>
          <w:rFonts w:ascii="宋体" w:hAnsi="宋体" w:cs="仿宋"/>
          <w:color w:val="000000"/>
          <w:kern w:val="0"/>
          <w:lang w:bidi="ar"/>
        </w:rPr>
      </w:pPr>
      <w:r>
        <w:rPr>
          <w:rFonts w:ascii="Times New Roman" w:hAnsi="Times New Roman"/>
          <w:color w:val="000000"/>
          <w:kern w:val="0"/>
          <w:lang w:bidi="ar"/>
        </w:rPr>
        <w:t>2.</w:t>
      </w:r>
      <w:bookmarkEnd w:id="51"/>
      <w:r>
        <w:rPr>
          <w:rFonts w:ascii="Times New Roman" w:hAnsi="Times New Roman"/>
          <w:color w:val="000000"/>
          <w:kern w:val="0"/>
          <w:lang w:bidi="ar"/>
        </w:rPr>
        <w:t>2</w:t>
      </w:r>
      <w:r>
        <w:rPr>
          <w:rFonts w:hint="eastAsia" w:ascii="宋体" w:hAnsi="宋体" w:cs="仿宋"/>
          <w:color w:val="000000"/>
          <w:kern w:val="0"/>
          <w:lang w:bidi="ar"/>
        </w:rPr>
        <w:t xml:space="preserve"> 发展绿色建筑对于建筑业的意义</w:t>
      </w:r>
      <w:bookmarkEnd w:id="52"/>
    </w:p>
    <w:p>
      <w:pPr>
        <w:keepNext w:val="0"/>
        <w:keepLines w:val="0"/>
        <w:pageBreakBefore w:val="0"/>
        <w:widowControl w:val="0"/>
        <w:kinsoku/>
        <w:wordWrap/>
        <w:overflowPunct/>
        <w:topLinePunct w:val="0"/>
        <w:autoSpaceDE/>
        <w:autoSpaceDN/>
        <w:bidi w:val="0"/>
        <w:adjustRightInd/>
        <w:snapToGrid/>
        <w:ind w:firstLine="560" w:firstLineChars="200"/>
        <w:textAlignment w:val="auto"/>
        <w:rPr>
          <w:lang w:bidi="ar"/>
        </w:rPr>
      </w:pPr>
      <w:r>
        <w:rPr>
          <w:rFonts w:hint="eastAsia" w:ascii="仿宋" w:hAnsi="仿宋" w:eastAsia="仿宋" w:cs="仿宋"/>
          <w:color w:val="000000"/>
          <w:kern w:val="0"/>
          <w:sz w:val="28"/>
          <w:szCs w:val="28"/>
          <w:lang w:bidi="ar"/>
        </w:rPr>
        <w:t>建筑是城市的主要载体，既为城乡居民提供生活、工作基本场所，同时也是能源消耗与温室气体排放的重点领域。深入推进建筑节能以及适时地发展绿色建筑关系到全社会节能减排目标，也是实现关系城乡建设模式的转型升级的关键一步。加速发展绿色建筑更是关注广大人民群众的切身利益，促进建筑业与自然生态环境的和谐共生。</w:t>
      </w:r>
    </w:p>
    <w:p>
      <w:pPr>
        <w:pStyle w:val="13"/>
        <w:jc w:val="left"/>
        <w:rPr>
          <w:rFonts w:ascii="Times New Roman" w:hAnsi="Times New Roman"/>
          <w:sz w:val="28"/>
          <w:szCs w:val="28"/>
          <w:lang w:bidi="ar"/>
        </w:rPr>
      </w:pPr>
      <w:bookmarkStart w:id="53" w:name="_Toc57238404"/>
      <w:bookmarkStart w:id="54" w:name="_Toc58405026"/>
      <w:r>
        <w:rPr>
          <w:rFonts w:ascii="Times New Roman" w:hAnsi="Times New Roman"/>
          <w:sz w:val="28"/>
          <w:szCs w:val="28"/>
          <w:lang w:bidi="ar"/>
        </w:rPr>
        <w:t>2.2.1</w:t>
      </w:r>
      <w:bookmarkEnd w:id="53"/>
      <w:r>
        <w:rPr>
          <w:rFonts w:hint="eastAsia" w:ascii="Times New Roman" w:hAnsi="Times New Roman"/>
          <w:sz w:val="28"/>
          <w:szCs w:val="28"/>
          <w:lang w:bidi="ar"/>
        </w:rPr>
        <w:t>新时期建设生态文明的重要举措</w:t>
      </w:r>
      <w:bookmarkEnd w:id="5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面对日趋强化的资源环境约束，要加快构建资源节约、环境友好的生产方式和消费模式增强可持续发展能力。推进发展绿色建筑，把节能环保和绿色低碳理念体现到城市规划、工业生产、建筑施工等建筑业的各个领域将有效提高建筑生态文明水平。</w:t>
      </w:r>
    </w:p>
    <w:p>
      <w:pPr>
        <w:pStyle w:val="13"/>
        <w:jc w:val="left"/>
        <w:rPr>
          <w:rFonts w:ascii="Times New Roman" w:hAnsi="Times New Roman"/>
          <w:sz w:val="28"/>
          <w:szCs w:val="28"/>
          <w:lang w:bidi="ar"/>
        </w:rPr>
      </w:pPr>
      <w:bookmarkStart w:id="55" w:name="_Toc58405027"/>
      <w:r>
        <w:rPr>
          <w:rFonts w:ascii="Times New Roman" w:hAnsi="Times New Roman"/>
          <w:sz w:val="28"/>
          <w:szCs w:val="28"/>
          <w:lang w:bidi="ar"/>
        </w:rPr>
        <w:t>2.2.2</w:t>
      </w:r>
      <w:r>
        <w:rPr>
          <w:rFonts w:hint="eastAsia" w:ascii="Times New Roman" w:hAnsi="Times New Roman"/>
          <w:sz w:val="28"/>
          <w:szCs w:val="28"/>
          <w:lang w:bidi="ar"/>
        </w:rPr>
        <w:t>建筑业节能减排进程的重要途径</w:t>
      </w:r>
      <w:bookmarkEnd w:id="5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大力发展绿色建筑是有效促进资源节约与环境保护的重要途径。据统计，城市中的土地、能源、水、材料等资源消耗及污水、垃圾等污染物排放约50％是由建筑产生的，抓住了绿色建筑这个龙头也就抓住了节能减排的关键。绿色建筑标准要求在建筑的全寿命周期里最大限度节能、节地、节水、节材，坚持源头控制，应用绿色低碳环保产品，实现节能减排目的，有效保护生态环境。在“十四五”期间，通过大力发展低碳绿色建筑，将有利于促进新建建筑的绿色可持续发展，有利于在广大群众中牢固树立节约资源与保护环境的观念，加快建立节能减排长效机制。</w:t>
      </w:r>
    </w:p>
    <w:p>
      <w:pPr>
        <w:pStyle w:val="13"/>
        <w:jc w:val="left"/>
        <w:rPr>
          <w:rFonts w:ascii="Times New Roman" w:hAnsi="Times New Roman"/>
          <w:sz w:val="28"/>
          <w:szCs w:val="28"/>
          <w:lang w:bidi="ar"/>
        </w:rPr>
      </w:pPr>
      <w:bookmarkStart w:id="56" w:name="_Toc58405028"/>
      <w:r>
        <w:rPr>
          <w:rFonts w:ascii="Times New Roman" w:hAnsi="Times New Roman"/>
          <w:sz w:val="28"/>
          <w:szCs w:val="28"/>
          <w:lang w:bidi="ar"/>
        </w:rPr>
        <w:t>2.2.3</w:t>
      </w:r>
      <w:r>
        <w:rPr>
          <w:rFonts w:hint="eastAsia" w:ascii="Times New Roman" w:hAnsi="Times New Roman"/>
          <w:sz w:val="28"/>
          <w:szCs w:val="28"/>
          <w:lang w:bidi="ar"/>
        </w:rPr>
        <w:t>保障和改善住房条件的有效手段</w:t>
      </w:r>
      <w:bookmarkEnd w:id="56"/>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大力发展绿色建筑是保障和改善住房条件的有效手段。绿色建筑标准充分体现了以人为本的理念</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要求为人们提供健康、舒适、安全的居住、工作和活动空间</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对建筑物日照环境、采光通风和热舒适性都有明确规定，将为城乡居民改善住房条件、促进建筑业转型升级提供基本制度保障。</w:t>
      </w:r>
    </w:p>
    <w:p>
      <w:pPr>
        <w:pStyle w:val="13"/>
        <w:jc w:val="left"/>
        <w:rPr>
          <w:rFonts w:ascii="Times New Roman" w:hAnsi="Times New Roman"/>
          <w:sz w:val="28"/>
          <w:szCs w:val="28"/>
          <w:lang w:bidi="ar"/>
        </w:rPr>
      </w:pPr>
      <w:bookmarkStart w:id="57" w:name="_Toc58405029"/>
      <w:r>
        <w:rPr>
          <w:rFonts w:ascii="Times New Roman" w:hAnsi="Times New Roman"/>
          <w:sz w:val="28"/>
          <w:szCs w:val="28"/>
          <w:lang w:bidi="ar"/>
        </w:rPr>
        <w:t>2.2.4</w:t>
      </w:r>
      <w:r>
        <w:rPr>
          <w:rFonts w:hint="eastAsia" w:ascii="Times New Roman" w:hAnsi="Times New Roman"/>
          <w:sz w:val="28"/>
          <w:szCs w:val="28"/>
          <w:lang w:bidi="ar"/>
        </w:rPr>
        <w:t>推进城乡建设模式转型的必经之路</w:t>
      </w:r>
      <w:bookmarkEnd w:id="5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大力发展绿色建筑是促进实现城乡建设模式转型升级的必然要求。当前促进我国经济结构战略性调整，迫切需要打造大的政策平台，找准突破口。建筑业产业链条长，对下游产业的带动作用大。绿色建筑集成了节能节地节水、数字化、智能化等新技术新产品，是建筑业转型升级的重要方向。在欧洲国家低碳社区、零能耗建筑发展方兴未艾，美国也将绿色建筑作为新一轮科技创新的主要方向。在我国大力推动发展绿色建筑，将有效带动新型建材、新能源、节能服务等产业发展，推动我国建筑行业集约化、内涵式增长。初步估计，绿色建筑市场规模将超过万亿元，发展绿色建筑能够极大地促进经济结构调整。</w:t>
      </w:r>
    </w:p>
    <w:p>
      <w:pPr>
        <w:ind w:firstLine="425" w:firstLineChars="152"/>
        <w:rPr>
          <w:rFonts w:ascii="仿宋" w:hAnsi="仿宋" w:eastAsia="仿宋" w:cs="仿宋"/>
          <w:color w:val="000000"/>
          <w:kern w:val="0"/>
          <w:sz w:val="28"/>
          <w:szCs w:val="28"/>
          <w:lang w:bidi="ar"/>
        </w:rPr>
      </w:pPr>
    </w:p>
    <w:p>
      <w:pPr>
        <w:widowControl/>
        <w:jc w:val="left"/>
        <w:rPr>
          <w:rFonts w:ascii="仿宋" w:hAnsi="仿宋" w:eastAsia="仿宋" w:cs="仿宋"/>
          <w:b/>
          <w:bCs/>
          <w:sz w:val="20"/>
          <w:szCs w:val="20"/>
          <w:lang w:bidi="ar"/>
        </w:rPr>
      </w:pPr>
      <w:r>
        <w:rPr>
          <w:rFonts w:ascii="仿宋" w:hAnsi="仿宋" w:eastAsia="仿宋" w:cs="仿宋"/>
          <w:b/>
          <w:bCs/>
          <w:sz w:val="20"/>
          <w:szCs w:val="20"/>
          <w:lang w:bidi="ar"/>
        </w:rPr>
        <w:br w:type="page"/>
      </w:r>
    </w:p>
    <w:p>
      <w:pPr>
        <w:pStyle w:val="15"/>
        <w:spacing w:line="600" w:lineRule="auto"/>
        <w:rPr>
          <w:rFonts w:ascii="宋体" w:hAnsi="宋体"/>
          <w:sz w:val="36"/>
          <w:szCs w:val="36"/>
          <w:lang w:bidi="ar"/>
        </w:rPr>
      </w:pPr>
      <w:bookmarkStart w:id="58" w:name="_Toc57066674"/>
      <w:bookmarkStart w:id="59" w:name="_Toc58405030"/>
      <w:bookmarkStart w:id="60" w:name="_Toc57238406"/>
      <w:r>
        <w:rPr>
          <w:rFonts w:hint="eastAsia" w:ascii="Times New Roman" w:hAnsi="Times New Roman"/>
          <w:kern w:val="28"/>
          <w:sz w:val="36"/>
          <w:szCs w:val="36"/>
          <w:lang w:bidi="ar"/>
        </w:rPr>
        <w:t>三．</w:t>
      </w:r>
      <w:r>
        <w:rPr>
          <w:rFonts w:hint="eastAsia" w:ascii="宋体" w:hAnsi="宋体"/>
          <w:sz w:val="36"/>
          <w:szCs w:val="36"/>
          <w:lang w:bidi="ar"/>
        </w:rPr>
        <w:t>绿色建筑发展</w:t>
      </w:r>
      <w:bookmarkEnd w:id="58"/>
      <w:r>
        <w:rPr>
          <w:rFonts w:hint="eastAsia" w:ascii="宋体" w:hAnsi="宋体"/>
          <w:sz w:val="36"/>
          <w:szCs w:val="36"/>
          <w:lang w:bidi="ar"/>
        </w:rPr>
        <w:t>规划</w:t>
      </w:r>
      <w:bookmarkEnd w:id="59"/>
      <w:bookmarkEnd w:id="60"/>
    </w:p>
    <w:p>
      <w:pPr>
        <w:keepNext w:val="0"/>
        <w:keepLines w:val="0"/>
        <w:pageBreakBefore w:val="0"/>
        <w:widowControl/>
        <w:kinsoku/>
        <w:wordWrap/>
        <w:overflowPunct/>
        <w:topLinePunct w:val="0"/>
        <w:autoSpaceDE/>
        <w:autoSpaceDN/>
        <w:bidi w:val="0"/>
        <w:adjustRightInd/>
        <w:snapToGrid/>
        <w:spacing w:before="240"/>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全面贯彻执行《广东省绿色建筑条例》的要求，坚持汕头市绿色建筑发展体系和技术路线的与时俱进，全面推进绿色建筑发展，促进绿色建筑提标，加快实施既有建筑节能改造，贯彻建筑全寿命周期绿色发展战略，实现建筑全寿命周期的资源节约和环境保护，确保汕头市绿色建筑的健康有序发展。</w:t>
      </w:r>
    </w:p>
    <w:p>
      <w:pPr>
        <w:pStyle w:val="15"/>
        <w:jc w:val="left"/>
        <w:rPr>
          <w:rFonts w:ascii="宋体" w:hAnsi="宋体"/>
          <w:lang w:bidi="ar"/>
        </w:rPr>
      </w:pPr>
      <w:bookmarkStart w:id="61" w:name="_Toc58405031"/>
      <w:bookmarkStart w:id="62" w:name="_Toc57238407"/>
      <w:r>
        <w:rPr>
          <w:rFonts w:ascii="Times New Roman" w:hAnsi="Times New Roman"/>
          <w:lang w:bidi="ar"/>
        </w:rPr>
        <w:t>3.1</w:t>
      </w:r>
      <w:r>
        <w:rPr>
          <w:rFonts w:hint="eastAsia" w:ascii="宋体" w:hAnsi="宋体"/>
          <w:lang w:bidi="ar"/>
        </w:rPr>
        <w:t>绿色建筑发展综述</w:t>
      </w:r>
      <w:bookmarkEnd w:id="61"/>
      <w:bookmarkEnd w:id="62"/>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2015年后，汕头市大力实施城市降温行动，完善绿道网络，着力建设城市步行、自行车绿道，加快城市轨道交通系统建设，积极发展大容量地面公共交通。通过构建由区域绿地、风景名胜区、城乡公园、河湖湿地等构成的生态板块，以及由河道走廊、湖海岸线、绿道等构成的生态廊道，形成有效衔接、相互协调的绿地生态网络。严格落实城市建筑密度、屋顶绿化面积比例、硬质地面透水面积比例、清洁能源利用率等指标要求，开展城市大广场、硬铺装和大面积玻璃幕墙改造，实施城市立体（屋顶、墙面、阳台）绿化工程。大力推广绿色设计、绿色施工，广泛采用自然通风、遮阳等技术，引导新建建筑由以节能为主向绿色建筑发展方向转变。2017年后更是拥有了像广东以色列理工学院、潮汕文化博物馆、汕头市金山中学等一批取得绿色建筑认证标识的“绿建先行者”。</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而后汕头的绿色建筑发展逐渐趋于平稳停滞，追求绿色建筑高星级的建筑也受挫于许多现实情况的约束。所以，汕头现阶段急需开展一次真正意义上的“绿色建筑革命”。</w:t>
      </w:r>
    </w:p>
    <w:p>
      <w:pPr>
        <w:pStyle w:val="15"/>
        <w:jc w:val="left"/>
        <w:rPr>
          <w:rFonts w:ascii="Times New Roman" w:hAnsi="Times New Roman"/>
          <w:lang w:bidi="ar"/>
        </w:rPr>
      </w:pPr>
      <w:bookmarkStart w:id="63" w:name="_Toc58405032"/>
      <w:bookmarkStart w:id="64" w:name="_Toc57238408"/>
      <w:r>
        <w:rPr>
          <w:rFonts w:ascii="Times New Roman" w:hAnsi="Times New Roman"/>
          <w:lang w:bidi="ar"/>
        </w:rPr>
        <w:t>3.</w:t>
      </w:r>
      <w:r>
        <w:rPr>
          <w:rFonts w:hint="eastAsia" w:ascii="Times New Roman" w:hAnsi="Times New Roman"/>
          <w:lang w:bidi="ar"/>
        </w:rPr>
        <w:t>2完善监督管理机制</w:t>
      </w:r>
      <w:bookmarkEnd w:id="63"/>
      <w:bookmarkEnd w:id="64"/>
    </w:p>
    <w:p>
      <w:pPr>
        <w:pStyle w:val="13"/>
        <w:jc w:val="left"/>
        <w:rPr>
          <w:rFonts w:ascii="Times New Roman" w:hAnsi="Times New Roman"/>
          <w:sz w:val="28"/>
          <w:szCs w:val="28"/>
          <w:lang w:bidi="ar"/>
        </w:rPr>
      </w:pPr>
      <w:bookmarkStart w:id="65" w:name="_Toc57238409"/>
      <w:bookmarkStart w:id="66" w:name="_Toc58405033"/>
      <w:r>
        <w:rPr>
          <w:rFonts w:ascii="Times New Roman" w:hAnsi="Times New Roman"/>
          <w:sz w:val="28"/>
          <w:szCs w:val="28"/>
          <w:lang w:bidi="ar"/>
        </w:rPr>
        <w:t>3.2.1</w:t>
      </w:r>
      <w:r>
        <w:rPr>
          <w:rFonts w:hint="eastAsia" w:ascii="Times New Roman" w:hAnsi="Times New Roman"/>
          <w:sz w:val="28"/>
          <w:szCs w:val="28"/>
          <w:lang w:bidi="ar"/>
        </w:rPr>
        <w:t>完善汕头绿色建筑管理机制</w:t>
      </w:r>
      <w:bookmarkEnd w:id="65"/>
      <w:bookmarkEnd w:id="66"/>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实施绿色建筑的首要任务是完善绿色建筑的管理机制，并充分利用特区立法权优势，通过人大立法，规范各个职能部门的权限和职责，确保绿色建筑的各项工作得到贯彻落实。</w:t>
      </w:r>
      <w:bookmarkStart w:id="67" w:name="_Toc58405034"/>
      <w:bookmarkStart w:id="68" w:name="_Toc57238410"/>
    </w:p>
    <w:p>
      <w:pPr>
        <w:pStyle w:val="13"/>
        <w:jc w:val="left"/>
        <w:rPr>
          <w:rFonts w:ascii="Times New Roman" w:hAnsi="Times New Roman"/>
          <w:sz w:val="28"/>
          <w:szCs w:val="28"/>
          <w:lang w:bidi="ar"/>
        </w:rPr>
      </w:pPr>
      <w:r>
        <w:rPr>
          <w:rFonts w:ascii="Times New Roman" w:hAnsi="Times New Roman"/>
          <w:sz w:val="28"/>
          <w:szCs w:val="28"/>
          <w:lang w:bidi="ar"/>
        </w:rPr>
        <w:t>3.2.2</w:t>
      </w:r>
      <w:r>
        <w:rPr>
          <w:rFonts w:hint="eastAsia" w:ascii="Times New Roman" w:hAnsi="Times New Roman"/>
          <w:sz w:val="28"/>
          <w:szCs w:val="28"/>
          <w:lang w:bidi="ar"/>
        </w:rPr>
        <w:t>建立绿色建筑生态圈</w:t>
      </w:r>
      <w:bookmarkEnd w:id="67"/>
      <w:bookmarkEnd w:id="68"/>
    </w:p>
    <w:p>
      <w:pPr>
        <w:keepNext w:val="0"/>
        <w:keepLines w:val="0"/>
        <w:pageBreakBefore w:val="0"/>
        <w:widowControl/>
        <w:kinsoku/>
        <w:wordWrap/>
        <w:overflowPunct/>
        <w:topLinePunct w:val="0"/>
        <w:autoSpaceDE/>
        <w:autoSpaceDN/>
        <w:bidi w:val="0"/>
        <w:adjustRightInd/>
        <w:snapToGrid/>
        <w:spacing w:before="240"/>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在机制确立并完善之后，需要进一步建立汕头市绿色建筑生态圈。生态圈覆盖建筑全寿命周期，包括建立绿色建筑第三方评价机构、绿色建筑第三方金融信托机构、绿色建筑监督管理机构等。绿色建筑项目申请人可以向第三方评价机构申请绿色建筑标识的评价认定。第三方评价机构应当按照绿色建筑标识评价工作要求和绿色建筑评价标准，对项目作出评价。</w:t>
      </w:r>
    </w:p>
    <w:p>
      <w:pPr>
        <w:keepNext w:val="0"/>
        <w:keepLines w:val="0"/>
        <w:pageBreakBefore w:val="0"/>
        <w:widowControl/>
        <w:kinsoku/>
        <w:wordWrap/>
        <w:overflowPunct/>
        <w:topLinePunct w:val="0"/>
        <w:autoSpaceDE/>
        <w:autoSpaceDN/>
        <w:bidi w:val="0"/>
        <w:adjustRightInd/>
        <w:snapToGrid/>
        <w:spacing w:before="240"/>
        <w:ind w:firstLine="562" w:firstLineChars="200"/>
        <w:jc w:val="left"/>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① 第三方评价机构建立</w:t>
      </w:r>
    </w:p>
    <w:p>
      <w:pPr>
        <w:keepNext w:val="0"/>
        <w:keepLines w:val="0"/>
        <w:pageBreakBefore w:val="0"/>
        <w:widowControl/>
        <w:kinsoku/>
        <w:wordWrap/>
        <w:overflowPunct/>
        <w:topLinePunct w:val="0"/>
        <w:autoSpaceDE/>
        <w:autoSpaceDN/>
        <w:bidi w:val="0"/>
        <w:adjustRightInd/>
        <w:snapToGrid/>
        <w:spacing w:before="240"/>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建立第三方评价机构，辅助政府落实开展绿色建筑评价标识相关工作为主，协助政府适当调整相关法规以适应汕头绿色建筑发展现状。根据国家及省发布的最新绿色建筑法律法规及时对汕头绿色建筑规章制度进行升级换代，保证汕头绿色建筑发展紧跟国家步伐。</w:t>
      </w:r>
    </w:p>
    <w:p>
      <w:pPr>
        <w:keepNext w:val="0"/>
        <w:keepLines w:val="0"/>
        <w:pageBreakBefore w:val="0"/>
        <w:widowControl/>
        <w:kinsoku/>
        <w:wordWrap/>
        <w:overflowPunct/>
        <w:topLinePunct w:val="0"/>
        <w:autoSpaceDE/>
        <w:autoSpaceDN/>
        <w:bidi w:val="0"/>
        <w:adjustRightInd/>
        <w:snapToGrid/>
        <w:spacing w:before="240"/>
        <w:ind w:firstLine="562" w:firstLineChars="200"/>
        <w:jc w:val="left"/>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② 第三方绿色金融信托机构建立</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建立绿色建筑第三方金融信托机构。金融信托机构主要职责是对申报绿色建筑评价项目的本身条件、开发商实力进行综合调研评估后，发挥信托在资金配置等方面的优势，为绿色节能企业发展绿色节能项目提供融资支持。信托还可以针对支持绿色节能项目研发、设计等中长期资金需求，提供包括资产证券化在内的多元金融工具及金融服务支持，发展绿色供应链金融，引导社会资金向低耗能、低排放、低污染、高效率领域流动和集聚。</w:t>
      </w:r>
    </w:p>
    <w:p>
      <w:pPr>
        <w:keepNext w:val="0"/>
        <w:keepLines w:val="0"/>
        <w:pageBreakBefore w:val="0"/>
        <w:widowControl/>
        <w:kinsoku/>
        <w:wordWrap/>
        <w:overflowPunct/>
        <w:topLinePunct w:val="0"/>
        <w:autoSpaceDE/>
        <w:autoSpaceDN/>
        <w:bidi w:val="0"/>
        <w:adjustRightInd/>
        <w:snapToGrid/>
        <w:spacing w:before="240"/>
        <w:ind w:firstLine="562" w:firstLineChars="200"/>
        <w:jc w:val="left"/>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③ 建立绿色建筑监督管理机构</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在绿色建筑申报项目通过竣工验收并取得相应认证标识后，绿色建筑监督管理机构根据单位取得的星级评价，对于高星级项目给予申报奖励并公示。监督管理机构应负责对项目申报验收通过后的运营管理情况进行评估，对不再符合相应绿色建筑等级</w:t>
      </w:r>
      <w:r>
        <w:rPr>
          <w:rFonts w:hint="eastAsia" w:ascii="仿宋" w:hAnsi="仿宋" w:eastAsia="仿宋" w:cs="仿宋"/>
          <w:color w:val="000000"/>
          <w:kern w:val="0"/>
          <w:sz w:val="28"/>
          <w:szCs w:val="28"/>
          <w:vertAlign w:val="superscript"/>
          <w:lang w:val="en-US" w:eastAsia="zh-CN" w:bidi="ar"/>
        </w:rPr>
        <w:t>2</w:t>
      </w:r>
      <w:r>
        <w:rPr>
          <w:rFonts w:hint="eastAsia" w:ascii="仿宋" w:hAnsi="仿宋" w:eastAsia="仿宋" w:cs="仿宋"/>
          <w:color w:val="000000"/>
          <w:kern w:val="0"/>
          <w:sz w:val="28"/>
          <w:szCs w:val="28"/>
          <w:lang w:bidi="ar"/>
        </w:rPr>
        <w:t>要求的，应当按照国家和省有关规定进行处理并公布相关情况。</w:t>
      </w:r>
    </w:p>
    <w:p>
      <w:pPr>
        <w:pStyle w:val="13"/>
        <w:jc w:val="left"/>
        <w:rPr>
          <w:rFonts w:ascii="Times New Roman" w:hAnsi="Times New Roman"/>
          <w:sz w:val="28"/>
          <w:szCs w:val="28"/>
          <w:lang w:bidi="ar"/>
        </w:rPr>
      </w:pPr>
      <w:bookmarkStart w:id="69" w:name="_Toc58405035"/>
      <w:bookmarkStart w:id="70" w:name="_Toc57238411"/>
      <w:r>
        <w:rPr>
          <w:rFonts w:hint="eastAsia" w:ascii="Times New Roman" w:hAnsi="Times New Roman"/>
          <w:sz w:val="28"/>
          <w:szCs w:val="28"/>
          <w:lang w:bidi="ar"/>
        </w:rPr>
        <w:t>3</w:t>
      </w:r>
      <w:r>
        <w:rPr>
          <w:rFonts w:ascii="Times New Roman" w:hAnsi="Times New Roman"/>
          <w:sz w:val="28"/>
          <w:szCs w:val="28"/>
          <w:lang w:bidi="ar"/>
        </w:rPr>
        <w:t>.2.3</w:t>
      </w:r>
      <w:r>
        <w:rPr>
          <w:rFonts w:hint="eastAsia" w:ascii="Times New Roman" w:hAnsi="Times New Roman"/>
          <w:sz w:val="28"/>
          <w:szCs w:val="28"/>
          <w:lang w:bidi="ar"/>
        </w:rPr>
        <w:t>开展绿色社区创建行动</w:t>
      </w:r>
      <w:bookmarkEnd w:id="6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① 建立健全社区人居环境建设和整治机制。绿色社区创建要与加强基层党组织建设、居民自治机制建设、社区服务体系建设有机结合，坚持美好环境与幸福生活共同缔造理念，充分发挥社区党组织领导作用和社区居民委员会主体作用，统筹协调业主委员会、社区内的机关和企事业单位等，共同参与绿色社区创建。搭建沟通议事平台，利用“互联网＋共建共治共享”等线上线下手段，开展多种形式基层协商，实现决策共谋、发展共建、建设共管、效果共评、成果共享。推动城市管理进社区，推动设计师、工程师进社区，辅导居民谋划社区人居环境建设和整治方案，有效参与城镇老旧小区改造、生活垃圾分类、节能节水、环境绿化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② 推进社区基础设施绿色化。结合城市更新和存量住房改造提升，以城镇老旧小区改造、市政基础设施和公共服务设施维护等工作为抓手，积极改造提升社区供水、排水、供电、弱电、道路、供气、消防、生活垃圾分类等基础设施，在改造中采用节能照明、节水器具等绿色产品、材料。综合治理社区道路，消除路面坑洼破损等安全隐患，畅通消防、救护等生命通道。加大既有建筑节能改造力度提高既有建筑绿色化水平。实施生活垃圾分类，完善分类投放、分类收集、分类运输设施。综合采取“渗滞蓄净用排”等举措推进海绵化改造和建设，结合本地区地形地貌进行竖向设计，逐步减少硬质铺装场地，避免和解决内涝积水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③ 营造社区宜居环境。因地制宜开展社区人居环境建设和整治。整治小区及周边绿化、照明等环境，推动适老化改造和无障碍设施建设。合理布局和建设各类社区绿地，增加荫下公共活动场所、小型运动场地和健身设施。合理配建停车及充电设施，优化停车管理。进一步规范管线设置，实施架空线规整（入地），加强噪声治理，提升社区宜居水平。针对新冠肺炎疫情暴露出的问题，加快社区服务设施建设，补齐在卫生防疫、社区服务等方面的短板，打通服务群众的“最后一公里”。结合绿色社区创建，探索建设安全健康、设施完善、管理有序的完整居住社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④ 提高社区信息化智能化水平。推进社区市政基础设施智能化改造和安防系统智能化建设。搭建社区公共服务综合信息平台，集成不同部门各类业务信息系统。整合社区安保、车辆、公共设施管理、生活垃圾排放登记等数据信息。推动门禁管理、停车管理、公共活动区域监测、公共服务设施监管等领域智能化升级。鼓励物业服务企业大力发展线上线下社区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⑤ 培育社区绿色文化。建立健全社区宣传教育制度，加强培训，完善宣传场所及设施设置。运用社区论坛和两微一端等信息化媒介，定期发布绿色社区创建活动信息，开展绿色生活主题宣传教育，使生态文明理念扎根社区。依托社区内的中小学校和幼儿园，开展“小手拉大手”等生态环保知识普及并带动社区居民积极参与社会实践活动。贯彻共建共治共享理念，编制发布社区绿色生活行为公约，倡导居民选择绿色生活方式，节约资源、开展绿色消费和绿色出行，形成富有特色的社区绿色文化。加强社区相关文物古迹、历史建筑、古树名木等历史文化保护，展现社区特色，延续历史文脉。</w:t>
      </w:r>
    </w:p>
    <w:p>
      <w:pPr>
        <w:pStyle w:val="13"/>
        <w:jc w:val="left"/>
        <w:rPr>
          <w:rFonts w:ascii="Times New Roman" w:hAnsi="Times New Roman"/>
          <w:sz w:val="28"/>
          <w:szCs w:val="28"/>
          <w:lang w:bidi="ar"/>
        </w:rPr>
      </w:pPr>
      <w:bookmarkStart w:id="71" w:name="_Toc58405036"/>
      <w:r>
        <w:rPr>
          <w:rFonts w:hint="eastAsia" w:ascii="Times New Roman" w:hAnsi="Times New Roman"/>
          <w:sz w:val="28"/>
          <w:szCs w:val="28"/>
          <w:lang w:bidi="ar"/>
        </w:rPr>
        <w:t>3</w:t>
      </w:r>
      <w:r>
        <w:rPr>
          <w:rFonts w:ascii="Times New Roman" w:hAnsi="Times New Roman"/>
          <w:sz w:val="28"/>
          <w:szCs w:val="28"/>
          <w:lang w:bidi="ar"/>
        </w:rPr>
        <w:t>.2.4</w:t>
      </w:r>
      <w:r>
        <w:rPr>
          <w:rFonts w:hint="eastAsia" w:ascii="Times New Roman" w:hAnsi="Times New Roman"/>
          <w:sz w:val="28"/>
          <w:szCs w:val="28"/>
          <w:lang w:bidi="ar"/>
        </w:rPr>
        <w:t>大力推广绿色建材应用</w:t>
      </w:r>
      <w:bookmarkEnd w:id="70"/>
      <w:bookmarkEnd w:id="71"/>
    </w:p>
    <w:p>
      <w:pPr>
        <w:keepNext w:val="0"/>
        <w:keepLines w:val="0"/>
        <w:pageBreakBefore w:val="0"/>
        <w:widowControl/>
        <w:kinsoku/>
        <w:wordWrap/>
        <w:overflowPunct/>
        <w:topLinePunct w:val="0"/>
        <w:autoSpaceDE/>
        <w:autoSpaceDN/>
        <w:bidi w:val="0"/>
        <w:adjustRightInd/>
        <w:snapToGrid/>
        <w:spacing w:before="240"/>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① 加强行业绿色发展监管。进一步提升散装水泥使用率，禁止现场搅拌混凝土和砂浆。积极开展规范标准编制，实施质量安全管理。深入推进预拌混凝土企业绿色化改造，到202</w:t>
      </w:r>
      <w:r>
        <w:rPr>
          <w:rFonts w:ascii="仿宋" w:hAnsi="仿宋" w:eastAsia="仿宋" w:cs="仿宋"/>
          <w:color w:val="000000"/>
          <w:kern w:val="0"/>
          <w:sz w:val="28"/>
          <w:szCs w:val="28"/>
          <w:lang w:bidi="ar"/>
        </w:rPr>
        <w:t>3</w:t>
      </w:r>
      <w:r>
        <w:rPr>
          <w:rFonts w:hint="eastAsia" w:ascii="仿宋" w:hAnsi="仿宋" w:eastAsia="仿宋" w:cs="仿宋"/>
          <w:color w:val="000000"/>
          <w:kern w:val="0"/>
          <w:sz w:val="28"/>
          <w:szCs w:val="28"/>
          <w:lang w:bidi="ar"/>
        </w:rPr>
        <w:t>年预拌混凝土企业绿色生产全面达标。建立健全预拌混凝土、预拌砂浆动态管理机制，促进行业优胜劣汰，加快绿色转型发展。进一步完善预拌混凝土及砂浆企业备案管理，加强信息公开，实施企业诚信激励，取缔无资质搅拌站，加大对产品质量低劣的搅拌站、现场违规使用袋装水泥和现场搅拌混凝土行为的处罚力度。</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② 全市禁止使用实心粘土砖和粘土制品。会同有关部门，强化进场材料质量监管。不断发展适用于装配式建筑</w:t>
      </w:r>
      <w:r>
        <w:rPr>
          <w:rFonts w:hint="eastAsia" w:ascii="仿宋" w:hAnsi="仿宋" w:eastAsia="仿宋" w:cs="仿宋"/>
          <w:color w:val="000000"/>
          <w:kern w:val="0"/>
          <w:sz w:val="28"/>
          <w:szCs w:val="28"/>
          <w:vertAlign w:val="superscript"/>
          <w:lang w:bidi="ar"/>
        </w:rPr>
        <w:t>3</w:t>
      </w:r>
      <w:r>
        <w:rPr>
          <w:rFonts w:hint="eastAsia" w:ascii="仿宋" w:hAnsi="仿宋" w:eastAsia="仿宋" w:cs="仿宋"/>
          <w:color w:val="000000"/>
          <w:kern w:val="0"/>
          <w:sz w:val="28"/>
          <w:szCs w:val="28"/>
          <w:lang w:bidi="ar"/>
        </w:rPr>
        <w:t>的墙体材料，发展节能环保、轻质高强的墙体和屋面材料，推进利用可再生资源制备新型墙体材料。墙材生产实现绿色化、智能化。发展一批新型墙材绿色化、智能化生产基地。</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③ 加快开展绿色建材产品认证，推动汕头市开展国家政府采购支持绿色建材推广试点，建立健全绿色建材采信机制，在绿色建筑、装配式建筑等政府投资工程中率先采用绿色建材，提升城镇新建建筑中绿色建材应用比例。推动建材产品质量提升，鼓励相关企业开展提升建筑使用功能、健康性能的绿色建材产品关键技术研发，鼓励有关单位参与制定绿色建材产品指标，推动技术创新，提升性能要求。建立不同类型建筑内部空间适宜的建材产品数据库。强化绿色建材信息化管理，运用大数据、区块链技术构建有效监督和诚信管理机制，提升绿色建材行业管理水平。</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④ 根据省住房城乡建设厅建立的绿色建材采信应用数据库，汕头市住房城乡建设局推广应用绿色建材，结合汕头市的实际情况开展绿色建材推广应用试点工作，逐步建立绿色建材发展长效机制：</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a</w:t>
      </w:r>
      <w:r>
        <w:rPr>
          <w:rFonts w:hint="eastAsia" w:ascii="仿宋" w:hAnsi="仿宋" w:eastAsia="仿宋" w:cs="仿宋"/>
          <w:color w:val="000000"/>
          <w:kern w:val="0"/>
          <w:sz w:val="28"/>
          <w:szCs w:val="28"/>
          <w:lang w:bidi="ar"/>
        </w:rPr>
        <w:t>）鼓励在绿色建筑、装配式建筑</w:t>
      </w:r>
      <w:r>
        <w:rPr>
          <w:rFonts w:hint="eastAsia" w:ascii="仿宋" w:hAnsi="仿宋" w:eastAsia="仿宋" w:cs="仿宋"/>
          <w:color w:val="000000"/>
          <w:kern w:val="0"/>
          <w:sz w:val="28"/>
          <w:szCs w:val="28"/>
          <w:vertAlign w:val="superscript"/>
          <w:lang w:bidi="ar"/>
        </w:rPr>
        <w:t>3</w:t>
      </w:r>
      <w:r>
        <w:rPr>
          <w:rFonts w:hint="eastAsia" w:ascii="仿宋" w:hAnsi="仿宋" w:eastAsia="仿宋" w:cs="仿宋"/>
          <w:color w:val="000000"/>
          <w:kern w:val="0"/>
          <w:sz w:val="28"/>
          <w:szCs w:val="28"/>
          <w:lang w:bidi="ar"/>
        </w:rPr>
        <w:t>等工程建设项目中优先采用绿色建材采信应用数据库中的产品。</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b</w:t>
      </w:r>
      <w:r>
        <w:rPr>
          <w:rFonts w:hint="eastAsia" w:ascii="仿宋" w:hAnsi="仿宋" w:eastAsia="仿宋" w:cs="仿宋"/>
          <w:color w:val="000000"/>
          <w:kern w:val="0"/>
          <w:sz w:val="28"/>
          <w:szCs w:val="28"/>
          <w:lang w:bidi="ar"/>
        </w:rPr>
        <w:t>）鼓励采购人在材料采购需求中提出绿色材料采购要求，推进绿色建材推广应用。</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b/>
          <w:bCs/>
          <w:color w:val="000000"/>
          <w:kern w:val="0"/>
          <w:sz w:val="28"/>
          <w:szCs w:val="28"/>
          <w:lang w:bidi="ar"/>
        </w:rPr>
      </w:pPr>
      <w:r>
        <w:rPr>
          <w:rFonts w:hint="eastAsia" w:ascii="仿宋" w:hAnsi="仿宋" w:eastAsia="仿宋" w:cs="仿宋"/>
          <w:color w:val="000000"/>
          <w:kern w:val="0"/>
          <w:sz w:val="28"/>
          <w:szCs w:val="28"/>
          <w:lang w:bidi="ar"/>
        </w:rPr>
        <w:t>⑤</w:t>
      </w:r>
      <w:r>
        <w:rPr>
          <w:rFonts w:hint="eastAsia" w:ascii="仿宋" w:hAnsi="仿宋" w:eastAsia="仿宋" w:cs="仿宋"/>
          <w:b/>
          <w:bCs/>
          <w:color w:val="000000"/>
          <w:kern w:val="0"/>
          <w:sz w:val="28"/>
          <w:szCs w:val="28"/>
          <w:lang w:bidi="ar"/>
        </w:rPr>
        <w:t xml:space="preserve"> </w:t>
      </w:r>
      <w:r>
        <w:rPr>
          <w:rFonts w:hint="eastAsia" w:ascii="仿宋" w:hAnsi="仿宋" w:eastAsia="仿宋" w:cs="仿宋"/>
          <w:color w:val="000000"/>
          <w:kern w:val="0"/>
          <w:sz w:val="28"/>
          <w:szCs w:val="28"/>
          <w:lang w:bidi="ar"/>
        </w:rPr>
        <w:t>根据省工业和信息化厅制订的绿色建材产品名录，积极培育绿色建材示范产品和示范企业。根据汕头地域特点并且结合实际市场需求，加强与下游用户的衔接，按照工信部具体要求组织项目申报。</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⑥ 市场监管、住房和城乡建设、工业和信息化等主管部门将开展多种形式的绿色建材产品宣传活动，加强对绿色建材产品标准、认证、标识相关政策的解读，提高全社会对绿色建材产品认证的认知度。加强协调，积极引导建材生产企业参与绿色建材产品认证，促进建材工业提质升级。引导消费者科学选材，强化公众绿色生产和消费理念，推动消费者选用获得认证的绿色建材产品。</w:t>
      </w:r>
      <w:bookmarkStart w:id="72" w:name="_Toc58405037"/>
      <w:bookmarkStart w:id="73" w:name="_Toc57238412"/>
    </w:p>
    <w:p>
      <w:pPr>
        <w:pStyle w:val="15"/>
        <w:jc w:val="left"/>
        <w:rPr>
          <w:rFonts w:ascii="Times New Roman" w:hAnsi="Times New Roman"/>
          <w:lang w:bidi="ar"/>
        </w:rPr>
      </w:pPr>
      <w:r>
        <w:rPr>
          <w:rFonts w:ascii="Times New Roman" w:hAnsi="Times New Roman"/>
          <w:lang w:bidi="ar"/>
        </w:rPr>
        <w:t>3.3</w:t>
      </w:r>
      <w:r>
        <w:rPr>
          <w:rFonts w:hint="eastAsia" w:ascii="Times New Roman" w:hAnsi="Times New Roman"/>
          <w:lang w:bidi="ar"/>
        </w:rPr>
        <w:t>绿色建筑规划指标</w:t>
      </w:r>
      <w:bookmarkEnd w:id="72"/>
      <w:bookmarkEnd w:id="73"/>
    </w:p>
    <w:p>
      <w:pPr>
        <w:pStyle w:val="13"/>
        <w:jc w:val="left"/>
        <w:rPr>
          <w:rFonts w:ascii="Times New Roman" w:hAnsi="Times New Roman"/>
          <w:sz w:val="28"/>
          <w:szCs w:val="28"/>
          <w:lang w:bidi="ar"/>
        </w:rPr>
      </w:pPr>
      <w:bookmarkStart w:id="74" w:name="_Toc57238413"/>
      <w:bookmarkStart w:id="75" w:name="_Toc58405038"/>
      <w:r>
        <w:rPr>
          <w:rFonts w:ascii="Times New Roman" w:hAnsi="Times New Roman"/>
          <w:sz w:val="28"/>
          <w:szCs w:val="28"/>
          <w:lang w:bidi="ar"/>
        </w:rPr>
        <w:t>3.3.1</w:t>
      </w:r>
      <w:r>
        <w:rPr>
          <w:rFonts w:hint="eastAsia" w:ascii="Times New Roman" w:hAnsi="Times New Roman"/>
          <w:sz w:val="28"/>
          <w:szCs w:val="28"/>
          <w:lang w:bidi="ar"/>
        </w:rPr>
        <w:t>规划目标</w:t>
      </w:r>
      <w:bookmarkEnd w:id="74"/>
      <w:bookmarkEnd w:id="75"/>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ascii="Times New Roman" w:hAnsi="Times New Roman"/>
          <w:sz w:val="28"/>
          <w:szCs w:val="28"/>
          <w:lang w:bidi="ar"/>
        </w:rPr>
        <mc:AlternateContent>
          <mc:Choice Requires="wps">
            <w:drawing>
              <wp:anchor distT="45720" distB="45720" distL="114300" distR="114300" simplePos="0" relativeHeight="251676672" behindDoc="0" locked="0" layoutInCell="1" allowOverlap="1">
                <wp:simplePos x="0" y="0"/>
                <wp:positionH relativeFrom="column">
                  <wp:posOffset>2513330</wp:posOffset>
                </wp:positionH>
                <wp:positionV relativeFrom="paragraph">
                  <wp:posOffset>4282440</wp:posOffset>
                </wp:positionV>
                <wp:extent cx="3185160" cy="1404620"/>
                <wp:effectExtent l="0" t="0" r="15240" b="25400"/>
                <wp:wrapSquare wrapText="bothSides"/>
                <wp:docPr id="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185160" cy="1404620"/>
                        </a:xfrm>
                        <a:prstGeom prst="rect">
                          <a:avLst/>
                        </a:prstGeom>
                        <a:solidFill>
                          <a:srgbClr val="FFFFFF"/>
                        </a:solidFill>
                        <a:ln w="9525">
                          <a:solidFill>
                            <a:srgbClr val="000000"/>
                          </a:solidFill>
                          <a:miter lim="800000"/>
                        </a:ln>
                      </wps:spPr>
                      <wps:txbx>
                        <w:txbxContent>
                          <w:p>
                            <w:pPr>
                              <w:ind w:firstLine="1995" w:firstLineChars="950"/>
                            </w:pPr>
                            <w:r>
                              <w:rPr>
                                <w:rFonts w:hint="eastAsia"/>
                              </w:rPr>
                              <w:t>适用建筑</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97.9pt;margin-top:337.2pt;height:110.6pt;width:250.8pt;mso-wrap-distance-bottom:3.6pt;mso-wrap-distance-left:9pt;mso-wrap-distance-right:9pt;mso-wrap-distance-top:3.6pt;z-index:251676672;mso-width-relative:page;mso-height-relative:margin;mso-height-percent:200;" fillcolor="#FFFFFF" filled="t" stroked="t" coordsize="21600,21600" o:gfxdata="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NgjRJDYAAAACwEAAA8AAAAAAAAAAQAgAAAAOAAAAGRycy9k&#10;b3ducmV2LnhtbFBLAQIUABQAAAAIAIdO4kCMGCG4JQIAADgEAAAOAAAAAAAAAAEAIAAAAD0BAABk&#10;cnMvZTJvRG9jLnhtbFBLBQYAAAAABgAGAFkBAADUBQAAAAA=&#10;">
                <v:fill on="t" focussize="0,0"/>
                <v:stroke color="#000000" miterlimit="8" joinstyle="miter"/>
                <v:imagedata o:title=""/>
                <o:lock v:ext="edit" aspectratio="f"/>
                <v:textbox style="mso-fit-shape-to-text:t;">
                  <w:txbxContent>
                    <w:p>
                      <w:pPr>
                        <w:ind w:firstLine="1995" w:firstLineChars="950"/>
                      </w:pPr>
                      <w:r>
                        <w:rPr>
                          <w:rFonts w:hint="eastAsia"/>
                        </w:rPr>
                        <w:t>适用建筑</w:t>
                      </w:r>
                    </w:p>
                  </w:txbxContent>
                </v:textbox>
                <w10:wrap type="square"/>
              </v:shape>
            </w:pict>
          </mc:Fallback>
        </mc:AlternateContent>
      </w:r>
      <w:r>
        <w:rPr>
          <w:rFonts w:ascii="Times New Roman" w:hAnsi="Times New Roman"/>
          <w:sz w:val="28"/>
          <w:szCs w:val="28"/>
          <w:lang w:bidi="ar"/>
        </w:rPr>
        <mc:AlternateContent>
          <mc:Choice Requires="wps">
            <w:drawing>
              <wp:anchor distT="45720" distB="45720" distL="114300" distR="114300" simplePos="0" relativeHeight="251674624" behindDoc="0" locked="0" layoutInCell="1" allowOverlap="1">
                <wp:simplePos x="0" y="0"/>
                <wp:positionH relativeFrom="column">
                  <wp:posOffset>783590</wp:posOffset>
                </wp:positionH>
                <wp:positionV relativeFrom="paragraph">
                  <wp:posOffset>4274820</wp:posOffset>
                </wp:positionV>
                <wp:extent cx="784860" cy="1404620"/>
                <wp:effectExtent l="0" t="0" r="15240" b="25400"/>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784860" cy="1404620"/>
                        </a:xfrm>
                        <a:prstGeom prst="rect">
                          <a:avLst/>
                        </a:prstGeom>
                        <a:solidFill>
                          <a:srgbClr val="FFFFFF"/>
                        </a:solidFill>
                        <a:ln w="9525">
                          <a:solidFill>
                            <a:srgbClr val="000000"/>
                          </a:solidFill>
                          <a:miter lim="800000"/>
                        </a:ln>
                      </wps:spPr>
                      <wps:txbx>
                        <w:txbxContent>
                          <w:p>
                            <w:pPr>
                              <w:rPr>
                                <w:rFonts w:hint="eastAsia"/>
                              </w:rPr>
                            </w:pPr>
                            <w:r>
                              <w:rPr>
                                <w:rFonts w:hint="eastAsia"/>
                              </w:rPr>
                              <w:t>立体绿化</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61.7pt;margin-top:336.6pt;height:110.6pt;width:61.8pt;mso-wrap-distance-bottom:3.6pt;mso-wrap-distance-left:9pt;mso-wrap-distance-right:9pt;mso-wrap-distance-top:3.6pt;z-index:251674624;mso-width-relative:page;mso-height-relative:margin;mso-height-percent:200;" fillcolor="#FFFFFF" filled="t" stroked="t" coordsize="21600,21600" o:gfxdata="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eB8zP2AAAAAsBAAAPAAAAAAAAAAEAIAAAADgAAABkcnMv&#10;ZG93bnJldi54bWxQSwECFAAUAAAACACHTuJAlOp7aCYCAAA5BAAADgAAAAAAAAABACAAAAA9AQAA&#10;ZHJzL2Uyb0RvYy54bWxQSwUGAAAAAAYABgBZAQAA1QUAAAAA&#10;">
                <v:fill on="t" focussize="0,0"/>
                <v:stroke color="#000000" miterlimit="8" joinstyle="miter"/>
                <v:imagedata o:title=""/>
                <o:lock v:ext="edit" aspectratio="f"/>
                <v:textbox style="mso-fit-shape-to-text:t;">
                  <w:txbxContent>
                    <w:p>
                      <w:pPr>
                        <w:rPr>
                          <w:rFonts w:hint="eastAsia"/>
                        </w:rPr>
                      </w:pPr>
                      <w:r>
                        <w:rPr>
                          <w:rFonts w:hint="eastAsia"/>
                        </w:rPr>
                        <w:t>立体绿化</w:t>
                      </w:r>
                    </w:p>
                  </w:txbxContent>
                </v:textbox>
                <w10:wrap type="square"/>
              </v:shape>
            </w:pict>
          </mc:Fallback>
        </mc:AlternateContent>
      </w:r>
      <w:r>
        <w:rPr>
          <w:rFonts w:ascii="Times New Roman" w:hAnsi="Times New Roman"/>
          <w:sz w:val="28"/>
          <w:szCs w:val="28"/>
          <w:lang w:bidi="ar"/>
        </w:rPr>
        <w:drawing>
          <wp:anchor distT="0" distB="0" distL="114300" distR="114300" simplePos="0" relativeHeight="251672576" behindDoc="0" locked="0" layoutInCell="1" allowOverlap="1">
            <wp:simplePos x="0" y="0"/>
            <wp:positionH relativeFrom="column">
              <wp:posOffset>-158115</wp:posOffset>
            </wp:positionH>
            <wp:positionV relativeFrom="paragraph">
              <wp:posOffset>1303020</wp:posOffset>
            </wp:positionV>
            <wp:extent cx="5988050" cy="5010150"/>
            <wp:effectExtent l="0" t="0" r="0" b="0"/>
            <wp:wrapTopAndBottom/>
            <wp:docPr id="32" name="图片 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true" noChangeArrowheads="true"/>
                    </pic:cNvPicPr>
                  </pic:nvPicPr>
                  <pic:blipFill>
                    <a:blip r:embed="rId7">
                      <a:extLst>
                        <a:ext uri="{28A0092B-C50C-407E-A947-70E740481C1C}">
                          <a14:useLocalDpi xmlns:a14="http://schemas.microsoft.com/office/drawing/2010/main" val="false"/>
                        </a:ext>
                      </a:extLst>
                    </a:blip>
                    <a:srcRect b="12976"/>
                    <a:stretch>
                      <a:fillRect/>
                    </a:stretch>
                  </pic:blipFill>
                  <pic:spPr>
                    <a:xfrm>
                      <a:off x="0" y="0"/>
                      <a:ext cx="5988050" cy="5010150"/>
                    </a:xfrm>
                    <a:prstGeom prst="rect">
                      <a:avLst/>
                    </a:prstGeom>
                    <a:noFill/>
                    <a:ln>
                      <a:noFill/>
                    </a:ln>
                  </pic:spPr>
                </pic:pic>
              </a:graphicData>
            </a:graphic>
          </wp:anchor>
        </w:drawing>
      </w:r>
      <w:r>
        <w:rPr>
          <w:rFonts w:hint="eastAsia" w:ascii="仿宋" w:hAnsi="仿宋" w:eastAsia="仿宋" w:cs="仿宋"/>
          <w:color w:val="000000"/>
          <w:kern w:val="0"/>
          <w:sz w:val="28"/>
          <w:szCs w:val="28"/>
          <w:lang w:bidi="ar"/>
        </w:rPr>
        <w:t>于2021年</w:t>
      </w:r>
      <w:r>
        <w:rPr>
          <w:rFonts w:ascii="仿宋" w:hAnsi="仿宋" w:eastAsia="仿宋" w:cs="仿宋"/>
          <w:color w:val="000000"/>
          <w:kern w:val="0"/>
          <w:sz w:val="28"/>
          <w:szCs w:val="28"/>
          <w:lang w:bidi="ar"/>
        </w:rPr>
        <w:t>1</w:t>
      </w:r>
      <w:r>
        <w:rPr>
          <w:rFonts w:hint="eastAsia" w:ascii="仿宋" w:hAnsi="仿宋" w:eastAsia="仿宋" w:cs="仿宋"/>
          <w:color w:val="000000"/>
          <w:kern w:val="0"/>
          <w:sz w:val="28"/>
          <w:szCs w:val="28"/>
          <w:lang w:bidi="ar"/>
        </w:rPr>
        <w:t>月</w:t>
      </w:r>
      <w:r>
        <w:rPr>
          <w:rFonts w:ascii="仿宋" w:hAnsi="仿宋" w:eastAsia="仿宋" w:cs="仿宋"/>
          <w:color w:val="000000"/>
          <w:kern w:val="0"/>
          <w:sz w:val="28"/>
          <w:szCs w:val="28"/>
          <w:lang w:bidi="ar"/>
        </w:rPr>
        <w:t>1</w:t>
      </w:r>
      <w:r>
        <w:rPr>
          <w:rFonts w:hint="eastAsia" w:ascii="仿宋" w:hAnsi="仿宋" w:eastAsia="仿宋" w:cs="仿宋"/>
          <w:color w:val="000000"/>
          <w:kern w:val="0"/>
          <w:sz w:val="28"/>
          <w:szCs w:val="28"/>
          <w:lang w:bidi="ar"/>
        </w:rPr>
        <w:t>日起，汕头市域城镇建设用地范围内新建、改建扩建的所有民用建筑，应全面按照基本级或以上绿色建筑标准进行建设。（其他相关规划详见下表）</w:t>
      </w:r>
    </w:p>
    <w:p>
      <w:pPr>
        <w:widowControl/>
      </w:pPr>
      <w:r>
        <w:rPr>
          <w:rFonts w:ascii="仿宋" w:hAnsi="仿宋" w:eastAsia="仿宋" w:cs="仿宋"/>
          <w:color w:val="000000"/>
          <w:kern w:val="0"/>
          <w:sz w:val="28"/>
          <w:szCs w:val="28"/>
          <w:lang w:bidi="ar"/>
        </w:rPr>
        <mc:AlternateContent>
          <mc:Choice Requires="wps">
            <w:drawing>
              <wp:anchor distT="0" distB="0" distL="114300" distR="114300" simplePos="0" relativeHeight="251671552" behindDoc="0" locked="0" layoutInCell="1" allowOverlap="1">
                <wp:simplePos x="0" y="0"/>
                <wp:positionH relativeFrom="page">
                  <wp:posOffset>2240915</wp:posOffset>
                </wp:positionH>
                <wp:positionV relativeFrom="paragraph">
                  <wp:posOffset>5302885</wp:posOffset>
                </wp:positionV>
                <wp:extent cx="2806700" cy="347345"/>
                <wp:effectExtent l="0" t="0" r="12700" b="14605"/>
                <wp:wrapNone/>
                <wp:docPr id="30" name="Text Box 52"/>
                <wp:cNvGraphicFramePr/>
                <a:graphic xmlns:a="http://schemas.openxmlformats.org/drawingml/2006/main">
                  <a:graphicData uri="http://schemas.microsoft.com/office/word/2010/wordprocessingShape">
                    <wps:wsp>
                      <wps:cNvSpPr txBox="true">
                        <a:spLocks noChangeArrowheads="true"/>
                      </wps:cNvSpPr>
                      <wps:spPr bwMode="auto">
                        <a:xfrm>
                          <a:off x="0" y="0"/>
                          <a:ext cx="2806700" cy="347345"/>
                        </a:xfrm>
                        <a:prstGeom prst="rect">
                          <a:avLst/>
                        </a:prstGeom>
                        <a:solidFill>
                          <a:srgbClr val="FFFFFF"/>
                        </a:solidFill>
                        <a:ln w="0">
                          <a:solidFill>
                            <a:srgbClr val="FFFFFF"/>
                          </a:solidFill>
                          <a:miter lim="800000"/>
                        </a:ln>
                      </wps:spPr>
                      <wps:txbx>
                        <w:txbxContent>
                          <w:p>
                            <w:pPr>
                              <w:rPr>
                                <w:b/>
                                <w:bCs/>
                              </w:rPr>
                            </w:pPr>
                            <w:r>
                              <w:rPr>
                                <w:rFonts w:hint="eastAsia"/>
                                <w:b/>
                                <w:bCs/>
                              </w:rPr>
                              <w:t>表3-</w:t>
                            </w:r>
                            <w:r>
                              <w:rPr>
                                <w:b/>
                                <w:bCs/>
                              </w:rPr>
                              <w:t xml:space="preserve">1 </w:t>
                            </w:r>
                            <w:r>
                              <w:rPr>
                                <w:rFonts w:hint="eastAsia"/>
                                <w:b/>
                                <w:bCs/>
                              </w:rPr>
                              <w:t>汕头市绿色建筑规划指引性指标列表</w:t>
                            </w:r>
                          </w:p>
                        </w:txbxContent>
                      </wps:txbx>
                      <wps:bodyPr rot="0" vert="horz" wrap="square" lIns="91440" tIns="45720" rIns="91440" bIns="45720" anchor="t" anchorCtr="false" upright="true">
                        <a:noAutofit/>
                      </wps:bodyPr>
                    </wps:wsp>
                  </a:graphicData>
                </a:graphic>
              </wp:anchor>
            </w:drawing>
          </mc:Choice>
          <mc:Fallback>
            <w:pict>
              <v:shape id="Text Box 52" o:spid="_x0000_s1026" o:spt="202" type="#_x0000_t202" style="position:absolute;left:0pt;margin-left:176.45pt;margin-top:417.55pt;height:27.35pt;width:221pt;mso-position-horizontal-relative:page;z-index:251671552;mso-width-relative:page;mso-height-relative:page;" fillcolor="#FFFFFF" filled="t" stroked="t" coordsize="21600,21600" o:gfxdata="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1MrLG2QAAAAsBAAAPAAAAAAAAAAEAIAAAADgAAABkcnMvZG93bnJldi54bWxQSwECFAAU&#10;AAAACACHTuJAUS9TtxMCAABEBAAADgAAAAAAAAABACAAAAA+AQAAZHJzL2Uyb0RvYy54bWxQSwUG&#10;AAAAAAYABgBZAQAAwwUAAAAA&#10;">
                <v:fill on="t" focussize="0,0"/>
                <v:stroke weight="0pt" color="#FFFFFF" miterlimit="8" joinstyle="miter"/>
                <v:imagedata o:title=""/>
                <o:lock v:ext="edit" aspectratio="f"/>
                <v:textbox>
                  <w:txbxContent>
                    <w:p>
                      <w:pPr>
                        <w:rPr>
                          <w:b/>
                          <w:bCs/>
                        </w:rPr>
                      </w:pPr>
                      <w:r>
                        <w:rPr>
                          <w:rFonts w:hint="eastAsia"/>
                          <w:b/>
                          <w:bCs/>
                        </w:rPr>
                        <w:t>表3-</w:t>
                      </w:r>
                      <w:r>
                        <w:rPr>
                          <w:b/>
                          <w:bCs/>
                        </w:rPr>
                        <w:t xml:space="preserve">1 </w:t>
                      </w:r>
                      <w:r>
                        <w:rPr>
                          <w:rFonts w:hint="eastAsia"/>
                          <w:b/>
                          <w:bCs/>
                        </w:rPr>
                        <w:t>汕头市绿色建筑规划指引性指标列表</w:t>
                      </w:r>
                    </w:p>
                  </w:txbxContent>
                </v:textbox>
              </v:shape>
            </w:pict>
          </mc:Fallback>
        </mc:AlternateContent>
      </w:r>
    </w:p>
    <w:p>
      <w:pPr>
        <w:widowControl/>
        <w:jc w:val="left"/>
        <w:rPr>
          <w:rFonts w:ascii="Times New Roman" w:hAnsi="Times New Roman"/>
          <w:b/>
          <w:bCs/>
          <w:kern w:val="28"/>
          <w:sz w:val="28"/>
          <w:szCs w:val="28"/>
          <w:lang w:bidi="ar"/>
        </w:rPr>
      </w:pPr>
      <w:bookmarkStart w:id="76" w:name="_Toc57238414"/>
      <w:bookmarkStart w:id="77" w:name="_Toc58405039"/>
      <w:r>
        <w:rPr>
          <w:rFonts w:ascii="Times New Roman" w:hAnsi="Times New Roman"/>
          <w:sz w:val="28"/>
          <w:szCs w:val="28"/>
          <w:lang w:bidi="ar"/>
        </w:rPr>
        <w:br w:type="page"/>
      </w:r>
    </w:p>
    <w:p>
      <w:pPr>
        <w:pStyle w:val="13"/>
        <w:jc w:val="left"/>
        <w:rPr>
          <w:rFonts w:ascii="Times New Roman" w:hAnsi="Times New Roman"/>
          <w:sz w:val="28"/>
          <w:szCs w:val="28"/>
          <w:lang w:bidi="ar"/>
        </w:rPr>
      </w:pPr>
      <w:r>
        <w:rPr>
          <w:rFonts w:hint="eastAsia" w:ascii="Times New Roman" w:hAnsi="Times New Roman"/>
          <w:sz w:val="28"/>
          <w:szCs w:val="28"/>
          <w:lang w:bidi="ar"/>
        </w:rPr>
        <w:t>3</w:t>
      </w:r>
      <w:r>
        <w:rPr>
          <w:rFonts w:ascii="Times New Roman" w:hAnsi="Times New Roman"/>
          <w:sz w:val="28"/>
          <w:szCs w:val="28"/>
          <w:lang w:bidi="ar"/>
        </w:rPr>
        <w:t>.3.2</w:t>
      </w:r>
      <w:r>
        <w:rPr>
          <w:rFonts w:hint="eastAsia" w:ascii="Times New Roman" w:hAnsi="Times New Roman"/>
          <w:sz w:val="28"/>
          <w:szCs w:val="28"/>
          <w:lang w:bidi="ar"/>
        </w:rPr>
        <w:t>相关专项目标规划</w:t>
      </w:r>
      <w:bookmarkEnd w:id="76"/>
      <w:bookmarkEnd w:id="77"/>
    </w:p>
    <w:p>
      <w:pPr>
        <w:keepNext w:val="0"/>
        <w:keepLines w:val="0"/>
        <w:pageBreakBefore w:val="0"/>
        <w:widowControl/>
        <w:numPr>
          <w:ilvl w:val="0"/>
          <w:numId w:val="0"/>
        </w:numPr>
        <w:kinsoku/>
        <w:wordWrap/>
        <w:overflowPunct/>
        <w:topLinePunct w:val="0"/>
        <w:autoSpaceDE/>
        <w:autoSpaceDN/>
        <w:bidi w:val="0"/>
        <w:adjustRightInd/>
        <w:snapToGrid/>
        <w:spacing w:before="240"/>
        <w:ind w:firstLine="562" w:firstLineChars="200"/>
        <w:jc w:val="left"/>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①</w:t>
      </w:r>
      <w:r>
        <w:rPr>
          <w:rFonts w:hint="eastAsia" w:ascii="仿宋" w:hAnsi="仿宋" w:eastAsia="仿宋" w:cs="仿宋"/>
          <w:b/>
          <w:bCs/>
          <w:color w:val="000000"/>
          <w:kern w:val="0"/>
          <w:sz w:val="28"/>
          <w:szCs w:val="28"/>
          <w:lang w:val="en-US" w:eastAsia="zh-CN" w:bidi="ar"/>
        </w:rPr>
        <w:t xml:space="preserve"> </w:t>
      </w:r>
      <w:r>
        <w:rPr>
          <w:rFonts w:hint="eastAsia" w:ascii="仿宋" w:hAnsi="仿宋" w:eastAsia="仿宋" w:cs="仿宋"/>
          <w:b/>
          <w:bCs/>
          <w:color w:val="000000"/>
          <w:kern w:val="0"/>
          <w:sz w:val="28"/>
          <w:szCs w:val="28"/>
          <w:lang w:bidi="ar"/>
        </w:rPr>
        <w:t>绿色建筑目标规划</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a</w:t>
      </w:r>
      <w:r>
        <w:rPr>
          <w:rFonts w:hint="eastAsia" w:ascii="仿宋" w:hAnsi="仿宋" w:eastAsia="仿宋" w:cs="仿宋"/>
          <w:color w:val="000000"/>
          <w:kern w:val="0"/>
          <w:sz w:val="28"/>
          <w:szCs w:val="28"/>
          <w:lang w:bidi="ar"/>
        </w:rPr>
        <w:t>）民用建筑：新建民用建筑全面按照绿色建筑标准进行建设。大型公共建筑和国家机关办公建筑、国有资金参与投资建设的其他公共建筑应当按照高于最低等级绿色建筑标准进行建设。</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b</w:t>
      </w:r>
      <w:r>
        <w:rPr>
          <w:rFonts w:hint="eastAsia" w:ascii="仿宋" w:hAnsi="仿宋" w:eastAsia="仿宋" w:cs="仿宋"/>
          <w:color w:val="000000"/>
          <w:kern w:val="0"/>
          <w:sz w:val="28"/>
          <w:szCs w:val="28"/>
          <w:lang w:bidi="ar"/>
        </w:rPr>
        <w:t>）工业建筑：全面按照绿色工业建筑设计标识一星级或以上标准进行建设。</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c</w:t>
      </w:r>
      <w:r>
        <w:rPr>
          <w:rFonts w:hint="eastAsia" w:ascii="仿宋" w:hAnsi="仿宋" w:eastAsia="仿宋" w:cs="仿宋"/>
          <w:color w:val="000000"/>
          <w:kern w:val="0"/>
          <w:sz w:val="28"/>
          <w:szCs w:val="28"/>
          <w:lang w:bidi="ar"/>
        </w:rPr>
        <w:t>）鼓励有条件的项目按照绿色建筑二星级或以上标准进行建设。</w:t>
      </w:r>
    </w:p>
    <w:p>
      <w:pPr>
        <w:keepNext w:val="0"/>
        <w:keepLines w:val="0"/>
        <w:pageBreakBefore w:val="0"/>
        <w:widowControl/>
        <w:numPr>
          <w:ilvl w:val="0"/>
          <w:numId w:val="0"/>
        </w:numPr>
        <w:kinsoku/>
        <w:wordWrap/>
        <w:overflowPunct/>
        <w:topLinePunct w:val="0"/>
        <w:autoSpaceDE/>
        <w:autoSpaceDN/>
        <w:bidi w:val="0"/>
        <w:adjustRightInd/>
        <w:snapToGrid/>
        <w:spacing w:before="240"/>
        <w:ind w:firstLine="562" w:firstLineChars="200"/>
        <w:jc w:val="left"/>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② 既有建筑节能改造目标规划</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a</w:t>
      </w:r>
      <w:r>
        <w:rPr>
          <w:rFonts w:hint="eastAsia" w:ascii="仿宋" w:hAnsi="仿宋" w:eastAsia="仿宋" w:cs="仿宋"/>
          <w:color w:val="000000"/>
          <w:kern w:val="0"/>
          <w:sz w:val="28"/>
          <w:szCs w:val="28"/>
          <w:lang w:bidi="ar"/>
        </w:rPr>
        <w:t>）推进可再生能源</w:t>
      </w:r>
      <w:r>
        <w:rPr>
          <w:rFonts w:ascii="仿宋" w:hAnsi="仿宋" w:eastAsia="仿宋" w:cs="仿宋"/>
          <w:color w:val="000000"/>
          <w:kern w:val="0"/>
          <w:sz w:val="28"/>
          <w:szCs w:val="28"/>
          <w:vertAlign w:val="superscript"/>
          <w:lang w:bidi="ar"/>
        </w:rPr>
        <w:t>4</w:t>
      </w:r>
      <w:r>
        <w:rPr>
          <w:rFonts w:hint="eastAsia" w:ascii="仿宋" w:hAnsi="仿宋" w:eastAsia="仿宋" w:cs="仿宋"/>
          <w:color w:val="000000"/>
          <w:kern w:val="0"/>
          <w:sz w:val="28"/>
          <w:szCs w:val="28"/>
          <w:lang w:bidi="ar"/>
        </w:rPr>
        <w:t>建筑发展，促进新建民用建筑可再生能源使用率达到15%以上。</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b</w:t>
      </w:r>
      <w:r>
        <w:rPr>
          <w:rFonts w:hint="eastAsia" w:ascii="仿宋" w:hAnsi="仿宋" w:eastAsia="仿宋" w:cs="仿宋"/>
          <w:color w:val="000000"/>
          <w:kern w:val="0"/>
          <w:sz w:val="28"/>
          <w:szCs w:val="28"/>
          <w:lang w:bidi="ar"/>
        </w:rPr>
        <w:t>）对具备升级条件的既有居住建筑进行节能改造，并探索以建筑节能改造为重点，适老化改造、建筑功能提升及居住环境整治同步实施的综合改造模式。改造实施时要注重前期诊断与评估，推行“共同缔造”理念，顺应群众期盼，按照群众需求迫切程度统筹改造内容，推动形成共谋共建共享的改造模式。</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c</w:t>
      </w:r>
      <w:r>
        <w:rPr>
          <w:rFonts w:hint="eastAsia" w:ascii="仿宋" w:hAnsi="仿宋" w:eastAsia="仿宋" w:cs="仿宋"/>
          <w:color w:val="000000"/>
          <w:kern w:val="0"/>
          <w:sz w:val="28"/>
          <w:szCs w:val="28"/>
          <w:lang w:bidi="ar"/>
        </w:rPr>
        <w:t>）建立公共建筑能耗监控及控制系统，统筹分析应用能耗统计、能源审计、能耗监测等数据信息，并对高能耗建筑重点进行节能改造。开展建筑能耗信息公示及披露试点。划定公共建筑合理用能区间，探索实施基于限额指标的公共建筑用能管理制度。推动建立公共建筑运行调适制度。积极会同有关部门推动绿色学校、医院建设。</w:t>
      </w:r>
    </w:p>
    <w:p>
      <w:pPr>
        <w:keepNext w:val="0"/>
        <w:keepLines w:val="0"/>
        <w:pageBreakBefore w:val="0"/>
        <w:widowControl/>
        <w:numPr>
          <w:ilvl w:val="0"/>
          <w:numId w:val="0"/>
        </w:numPr>
        <w:kinsoku/>
        <w:wordWrap/>
        <w:overflowPunct/>
        <w:topLinePunct w:val="0"/>
        <w:autoSpaceDE/>
        <w:autoSpaceDN/>
        <w:bidi w:val="0"/>
        <w:adjustRightInd/>
        <w:snapToGrid/>
        <w:spacing w:before="240"/>
        <w:ind w:firstLine="562" w:firstLineChars="200"/>
        <w:jc w:val="left"/>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③ 推进海绵城市建设目标规划</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根据《汕头市海绵城市专项规划》的要求，规划依托我市“山、水、城”的自然格局和优良的生态资源本底，坚持走绿色发展道路，融入和突出“海绵城市”理念，全力打造“水韵山灵新汕头”，实现“旖旎山水卷，园林海绵城”的总体目标，建设自然渗透、自然积存、自然净化的粤东水网城市的海绵建设示范典型。规划结合汕头市城市发展需求，从水安全、水环境、水资源、水生态等功能需求出发，兼顾水景观、水文化等方面的需求，从而实现“涵养城市水资源、修复城市水生态、改善城市水环境、提高城市水安全”的多重目标。规划提出，到2030年，城市建成区80%以上的面积达到海绵城市目标要求：片区水环境质量总体改善，生态环境质量全面改善，水生态系统功能基本恢复，生态系统实现良性循环，主要涉及近期建成区、改造难度大的老城区和重要镇区发展片区。具体设施建设及相关指标要求等需严格按照《汕头市海绵城市专项规划》要求执行。</w:t>
      </w:r>
    </w:p>
    <w:p>
      <w:pPr>
        <w:keepNext w:val="0"/>
        <w:keepLines w:val="0"/>
        <w:pageBreakBefore w:val="0"/>
        <w:widowControl/>
        <w:numPr>
          <w:ilvl w:val="0"/>
          <w:numId w:val="0"/>
        </w:numPr>
        <w:kinsoku/>
        <w:wordWrap/>
        <w:overflowPunct/>
        <w:topLinePunct w:val="0"/>
        <w:autoSpaceDE/>
        <w:autoSpaceDN/>
        <w:bidi w:val="0"/>
        <w:adjustRightInd/>
        <w:snapToGrid/>
        <w:spacing w:before="240"/>
        <w:ind w:firstLine="562" w:firstLineChars="200"/>
        <w:jc w:val="left"/>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④ 绿色建材应用目标规划</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根据《广东省绿色建材产品认证及推广应用实施方案》指示，首先要加快推进绿色建材评价认证和推广应用，结合汕头实际制定绿色建材产品认证推广应用方案。鼓励建筑单位在绿色建筑、装配式建筑等工程建设项目中优先采用绿色建材采信应用数据库中的产品。鼓励采购人在采购需求中提出绿色采购要求，推进绿色建材推广应用。其次是各级市场监管、住房和城乡建设、工业和信息化主管部门应开展多种形式的绿色建材产品宣传活动，加强对绿色建材产品标准、认证、标识相关政策的解读，提高全社会对绿色建材产品认证的认知度。加强协调，积极引导建材生产企业参与绿色建材产品认证，促进建材工业提质升级。引导消费者科学选材，强化公众绿色生产和消费理念，推动消费者选用获得认证的绿色建材产品。最后，各级工业和信息化、市场监管、住房和城乡建设主管部门在各自职能范围内，对绿色建材产品生产、认证、采信应用等进行监督管理。对获证企业、认证机构、检验检测机构在绿色建材产品认证活动中出现的问题及违法违规行为依法依规进行处罚，并及时将相应的建材产品从绿色建材采信应用数据库中移出。</w:t>
      </w:r>
    </w:p>
    <w:p>
      <w:pPr>
        <w:keepNext w:val="0"/>
        <w:keepLines w:val="0"/>
        <w:pageBreakBefore w:val="0"/>
        <w:widowControl/>
        <w:numPr>
          <w:ilvl w:val="0"/>
          <w:numId w:val="0"/>
        </w:numPr>
        <w:kinsoku/>
        <w:wordWrap/>
        <w:overflowPunct/>
        <w:topLinePunct w:val="0"/>
        <w:autoSpaceDE/>
        <w:autoSpaceDN/>
        <w:bidi w:val="0"/>
        <w:adjustRightInd/>
        <w:snapToGrid/>
        <w:spacing w:before="240"/>
        <w:ind w:firstLine="562" w:firstLineChars="200"/>
        <w:jc w:val="left"/>
        <w:textAlignment w:val="auto"/>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⑤ 装配式建筑发展目标规划</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到 2025 年末，汕头市中心城区实现装配式建筑占新建建筑面积的比例达到30%以上，汕头市其他地区实现装配式建筑占新建建筑面积的比例达到20%以上；政府投资工程装配式建筑面积占比达到50%以上，着力打造不少于10个装配式建筑示范项目，建成不超过5个装配式建筑部品部件生产基地。 </w:t>
      </w:r>
    </w:p>
    <w:p>
      <w:pPr>
        <w:pStyle w:val="13"/>
        <w:jc w:val="left"/>
        <w:rPr>
          <w:rFonts w:ascii="Times New Roman" w:hAnsi="Times New Roman"/>
          <w:sz w:val="28"/>
          <w:szCs w:val="28"/>
          <w:lang w:bidi="ar"/>
        </w:rPr>
      </w:pPr>
      <w:bookmarkStart w:id="78" w:name="_Toc57238415"/>
      <w:bookmarkStart w:id="79" w:name="_Toc58405040"/>
      <w:r>
        <w:rPr>
          <w:rFonts w:hint="eastAsia" w:ascii="Times New Roman" w:hAnsi="Times New Roman"/>
          <w:sz w:val="28"/>
          <w:szCs w:val="28"/>
          <w:lang w:bidi="ar"/>
        </w:rPr>
        <w:t>3</w:t>
      </w:r>
      <w:r>
        <w:rPr>
          <w:rFonts w:ascii="Times New Roman" w:hAnsi="Times New Roman"/>
          <w:sz w:val="28"/>
          <w:szCs w:val="28"/>
          <w:lang w:bidi="ar"/>
        </w:rPr>
        <w:t>.3.3</w:t>
      </w:r>
      <w:r>
        <w:rPr>
          <w:rFonts w:hint="eastAsia" w:ascii="Times New Roman" w:hAnsi="Times New Roman"/>
          <w:sz w:val="28"/>
          <w:szCs w:val="28"/>
          <w:lang w:bidi="ar"/>
        </w:rPr>
        <w:t>中心规划区域</w:t>
      </w:r>
      <w:bookmarkEnd w:id="78"/>
      <w:bookmarkEnd w:id="79"/>
    </w:p>
    <w:p>
      <w:pPr>
        <w:bidi w:val="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综合考虑汕头绿色建筑发展现状后，本次规划决定将一湾两岸即金平区、龙湖区以及濠江区共三个片区划分为绿色建筑发展中心城区。</w:t>
      </w:r>
      <w:bookmarkStart w:id="80" w:name="_Toc57238416"/>
      <w:bookmarkStart w:id="81" w:name="_Toc58405041"/>
    </w:p>
    <w:p>
      <w:pPr>
        <w:pStyle w:val="13"/>
        <w:jc w:val="left"/>
        <w:rPr>
          <w:rFonts w:ascii="Times New Roman" w:hAnsi="Times New Roman"/>
          <w:sz w:val="28"/>
          <w:szCs w:val="28"/>
          <w:lang w:bidi="ar"/>
        </w:rPr>
      </w:pPr>
      <w:r>
        <w:rPr>
          <w:rFonts w:hint="default" w:ascii="Times New Roman" w:hAnsi="Times New Roman"/>
          <w:sz w:val="28"/>
          <w:szCs w:val="28"/>
          <w:lang w:val="en" w:bidi="ar"/>
        </w:rPr>
        <w:t>3.</w:t>
      </w:r>
      <w:r>
        <w:rPr>
          <w:rFonts w:ascii="Times New Roman" w:hAnsi="Times New Roman"/>
          <w:sz w:val="28"/>
          <w:szCs w:val="28"/>
          <w:lang w:bidi="ar"/>
        </w:rPr>
        <w:t>3.4</w:t>
      </w:r>
      <w:r>
        <w:rPr>
          <w:rFonts w:hint="eastAsia" w:ascii="Times New Roman" w:hAnsi="Times New Roman"/>
          <w:sz w:val="28"/>
          <w:szCs w:val="28"/>
          <w:lang w:bidi="ar"/>
        </w:rPr>
        <w:t>各区年度指标规划</w:t>
      </w:r>
      <w:bookmarkEnd w:id="80"/>
      <w:bookmarkEnd w:id="81"/>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① 绿色建筑指标规划</w:t>
      </w:r>
    </w:p>
    <w:p>
      <w:pPr>
        <w:keepNext w:val="0"/>
        <w:keepLines w:val="0"/>
        <w:pageBreakBefore w:val="0"/>
        <w:widowControl w:val="0"/>
        <w:kinsoku/>
        <w:wordWrap/>
        <w:overflowPunct/>
        <w:topLinePunct w:val="0"/>
        <w:autoSpaceDE/>
        <w:autoSpaceDN/>
        <w:bidi w:val="0"/>
        <w:adjustRightInd/>
        <w:snapToGrid/>
        <w:spacing w:after="240"/>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综合考虑历年既有建筑量、国家、省、市政策要求、其它城市或城区绿色建筑规划目标和新旧《绿色建筑评价标准》更替等多方面因素，确定汕头市绿色建筑规划目标如下（详见表3-</w:t>
      </w:r>
      <w:r>
        <w:rPr>
          <w:rFonts w:ascii="仿宋" w:hAnsi="仿宋" w:eastAsia="仿宋" w:cs="仿宋"/>
          <w:color w:val="000000"/>
          <w:kern w:val="0"/>
          <w:sz w:val="28"/>
          <w:szCs w:val="28"/>
          <w:lang w:bidi="ar"/>
        </w:rPr>
        <w:t xml:space="preserve">2 </w:t>
      </w:r>
      <w:r>
        <w:rPr>
          <w:rFonts w:hint="eastAsia" w:ascii="仿宋" w:hAnsi="仿宋" w:eastAsia="仿宋" w:cs="仿宋"/>
          <w:color w:val="000000"/>
          <w:kern w:val="0"/>
          <w:sz w:val="28"/>
          <w:szCs w:val="28"/>
          <w:lang w:bidi="ar"/>
        </w:rPr>
        <w:t>绿色建筑面积占新建建筑面积比例）：</w:t>
      </w:r>
      <w:r>
        <w:rPr>
          <w:rFonts w:ascii="仿宋" w:hAnsi="仿宋" w:eastAsia="仿宋" w:cs="仿宋"/>
          <w:color w:val="000000"/>
          <w:kern w:val="0"/>
          <w:sz w:val="28"/>
          <w:szCs w:val="28"/>
          <w:lang w:bidi="ar"/>
        </w:rPr>
        <w:t xml:space="preserve"> </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a</w:t>
      </w:r>
      <w:r>
        <w:rPr>
          <w:rFonts w:hint="eastAsia" w:ascii="仿宋" w:hAnsi="仿宋" w:eastAsia="仿宋" w:cs="仿宋"/>
          <w:color w:val="000000"/>
          <w:kern w:val="0"/>
          <w:sz w:val="28"/>
          <w:szCs w:val="28"/>
          <w:lang w:bidi="ar"/>
        </w:rPr>
        <w:t>）近期规划：在2022年内，汕头市新建民用建筑中绿色建筑面积占比达到</w:t>
      </w:r>
      <w:r>
        <w:rPr>
          <w:rFonts w:hint="eastAsia" w:ascii="仿宋" w:hAnsi="仿宋" w:eastAsia="仿宋" w:cs="仿宋"/>
          <w:color w:val="000000"/>
          <w:kern w:val="0"/>
          <w:sz w:val="28"/>
          <w:szCs w:val="28"/>
          <w:lang w:val="en-US" w:eastAsia="zh-CN" w:bidi="ar"/>
        </w:rPr>
        <w:t>60</w:t>
      </w:r>
      <w:r>
        <w:rPr>
          <w:rFonts w:hint="eastAsia" w:ascii="仿宋" w:hAnsi="仿宋" w:eastAsia="仿宋" w:cs="仿宋"/>
          <w:color w:val="000000"/>
          <w:kern w:val="0"/>
          <w:sz w:val="28"/>
          <w:szCs w:val="28"/>
          <w:lang w:bidi="ar"/>
        </w:rPr>
        <w:t>%以上；</w:t>
      </w:r>
      <w:r>
        <w:rPr>
          <w:rFonts w:ascii="仿宋" w:hAnsi="仿宋" w:eastAsia="仿宋" w:cs="仿宋"/>
          <w:color w:val="000000"/>
          <w:kern w:val="0"/>
          <w:sz w:val="28"/>
          <w:szCs w:val="28"/>
          <w:lang w:bidi="ar"/>
        </w:rPr>
        <w:t xml:space="preserve"> </w:t>
      </w:r>
    </w:p>
    <w:p>
      <w:pPr>
        <w:widowControl/>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b</w:t>
      </w:r>
      <w:r>
        <w:rPr>
          <w:rFonts w:hint="eastAsia" w:ascii="仿宋" w:hAnsi="仿宋" w:eastAsia="仿宋" w:cs="仿宋"/>
          <w:color w:val="000000"/>
          <w:kern w:val="0"/>
          <w:sz w:val="28"/>
          <w:szCs w:val="28"/>
          <w:lang w:bidi="ar"/>
        </w:rPr>
        <w:t>）远期规划：到2023年，汕头市全面实现按照绿色建筑标准建设；到2025年末，</w:t>
      </w:r>
      <w:r>
        <w:rPr>
          <w:rFonts w:hint="eastAsia" w:ascii="仿宋" w:hAnsi="仿宋" w:eastAsia="仿宋" w:cs="仿宋"/>
          <w:color w:val="000000"/>
          <w:kern w:val="0"/>
          <w:sz w:val="28"/>
          <w:szCs w:val="28"/>
          <w:lang w:eastAsia="zh-CN" w:bidi="ar"/>
        </w:rPr>
        <w:t>完成省下达</w:t>
      </w:r>
      <w:r>
        <w:rPr>
          <w:rFonts w:hint="eastAsia" w:ascii="仿宋" w:hAnsi="仿宋" w:eastAsia="仿宋" w:cs="仿宋"/>
          <w:color w:val="000000"/>
          <w:kern w:val="0"/>
          <w:sz w:val="28"/>
          <w:szCs w:val="28"/>
          <w:lang w:bidi="ar"/>
        </w:rPr>
        <w:t>汕头市一星级及以上绿色建筑竣工面积占新建绿色建筑面积比例</w:t>
      </w:r>
      <w:r>
        <w:rPr>
          <w:rFonts w:hint="eastAsia" w:ascii="仿宋" w:hAnsi="仿宋" w:eastAsia="仿宋" w:cs="仿宋"/>
          <w:color w:val="000000"/>
          <w:kern w:val="0"/>
          <w:sz w:val="28"/>
          <w:szCs w:val="28"/>
          <w:lang w:eastAsia="zh-CN" w:bidi="ar"/>
        </w:rPr>
        <w:t>目标</w:t>
      </w:r>
      <w:r>
        <w:rPr>
          <w:rFonts w:hint="eastAsia" w:ascii="仿宋" w:hAnsi="仿宋" w:eastAsia="仿宋" w:cs="仿宋"/>
          <w:color w:val="000000"/>
          <w:kern w:val="0"/>
          <w:sz w:val="28"/>
          <w:szCs w:val="28"/>
          <w:lang w:bidi="ar"/>
        </w:rPr>
        <w:t>。</w:t>
      </w:r>
    </w:p>
    <w:p>
      <w:pPr>
        <w:keepNext w:val="0"/>
        <w:keepLines w:val="0"/>
        <w:pageBreakBefore w:val="0"/>
        <w:widowControl w:val="0"/>
        <w:kinsoku/>
        <w:wordWrap/>
        <w:overflowPunct/>
        <w:topLinePunct w:val="0"/>
        <w:autoSpaceDE/>
        <w:autoSpaceDN/>
        <w:bidi w:val="0"/>
        <w:adjustRightInd/>
        <w:snapToGrid/>
        <w:spacing w:before="240"/>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② 既有建筑节能改造指标规划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b/>
          <w:bCs/>
          <w:sz w:val="32"/>
          <w:szCs w:val="32"/>
          <w:lang w:bidi="ar"/>
        </w:rPr>
      </w:pPr>
      <w:r>
        <w:rPr>
          <w:rFonts w:hint="eastAsia" w:ascii="仿宋" w:hAnsi="仿宋" w:eastAsia="仿宋" w:cs="仿宋"/>
          <w:color w:val="000000"/>
          <w:kern w:val="0"/>
          <w:sz w:val="28"/>
          <w:szCs w:val="28"/>
          <w:lang w:bidi="ar"/>
        </w:rPr>
        <w:t>到2020年</w:t>
      </w:r>
      <w:r>
        <w:rPr>
          <w:rFonts w:ascii="仿宋" w:hAnsi="仿宋" w:eastAsia="仿宋" w:cs="仿宋"/>
          <w:color w:val="000000"/>
          <w:kern w:val="0"/>
          <w:sz w:val="28"/>
          <w:szCs w:val="28"/>
          <w:lang w:bidi="ar"/>
        </w:rPr>
        <w:t>10</w:t>
      </w:r>
      <w:r>
        <w:rPr>
          <w:rFonts w:hint="eastAsia" w:ascii="仿宋" w:hAnsi="仿宋" w:eastAsia="仿宋" w:cs="仿宋"/>
          <w:color w:val="000000"/>
          <w:kern w:val="0"/>
          <w:sz w:val="28"/>
          <w:szCs w:val="28"/>
          <w:lang w:bidi="ar"/>
        </w:rPr>
        <w:t>月，汕头市既有建筑绿色改造项目匮乏，因此既有建筑绿色改造经验不足，其次，鉴于《既有建筑绿色改造评价标准》的实施难度以及汕头市开发建设规模，对汕头市既有建筑绿色改造提出目标：2020年至2025年，学习其它地区的既有建筑绿色改造项目经验，鼓励医院、酒店、国家机关办公楼等建筑进行绿色改造。</w:t>
      </w:r>
      <w:r>
        <w:rPr>
          <w:rFonts w:hint="eastAsia" w:ascii="仿宋" w:hAnsi="仿宋" w:eastAsia="仿宋" w:cs="仿宋"/>
          <w:color w:val="000000"/>
          <w:kern w:val="0"/>
          <w:sz w:val="28"/>
          <w:szCs w:val="28"/>
          <w:lang w:eastAsia="zh-CN" w:bidi="ar"/>
        </w:rPr>
        <w:t>结合老旧小区改造、绿色社区创建、海绵城市建设等工作，</w:t>
      </w:r>
      <w:r>
        <w:rPr>
          <w:rFonts w:hint="eastAsia" w:ascii="仿宋" w:hAnsi="仿宋" w:eastAsia="仿宋" w:cs="仿宋"/>
          <w:color w:val="000000"/>
          <w:kern w:val="0"/>
          <w:sz w:val="28"/>
          <w:szCs w:val="28"/>
          <w:lang w:bidi="ar"/>
        </w:rPr>
        <w:t>以中心城区为</w:t>
      </w:r>
      <w:r>
        <w:rPr>
          <w:rFonts w:hint="eastAsia" w:ascii="仿宋" w:hAnsi="仿宋" w:eastAsia="仿宋" w:cs="仿宋"/>
          <w:color w:val="000000"/>
          <w:kern w:val="0"/>
          <w:sz w:val="28"/>
          <w:szCs w:val="28"/>
          <w:lang w:eastAsia="zh-CN" w:bidi="ar"/>
        </w:rPr>
        <w:t>重点区域，</w:t>
      </w:r>
      <w:r>
        <w:rPr>
          <w:rFonts w:hint="eastAsia" w:ascii="仿宋" w:hAnsi="仿宋" w:eastAsia="仿宋" w:cs="仿宋"/>
          <w:color w:val="000000"/>
          <w:kern w:val="0"/>
          <w:sz w:val="28"/>
          <w:szCs w:val="28"/>
          <w:lang w:bidi="ar"/>
        </w:rPr>
        <w:t>试点探索开展既有建筑绿色改造，</w:t>
      </w:r>
      <w:r>
        <w:rPr>
          <w:rFonts w:hint="eastAsia" w:ascii="仿宋" w:hAnsi="仿宋" w:eastAsia="仿宋" w:cs="仿宋"/>
          <w:color w:val="000000"/>
          <w:kern w:val="0"/>
          <w:sz w:val="28"/>
          <w:szCs w:val="28"/>
          <w:lang w:eastAsia="zh-CN" w:bidi="ar"/>
        </w:rPr>
        <w:t>根据实际每年开展</w:t>
      </w:r>
      <w:r>
        <w:rPr>
          <w:rFonts w:hint="eastAsia" w:ascii="仿宋" w:hAnsi="仿宋" w:eastAsia="仿宋" w:cs="仿宋"/>
          <w:color w:val="000000"/>
          <w:kern w:val="0"/>
          <w:sz w:val="28"/>
          <w:szCs w:val="28"/>
          <w:lang w:val="en-US" w:eastAsia="zh-CN" w:bidi="ar"/>
        </w:rPr>
        <w:t>1个以上既有建筑绿色化改造项目示范，</w:t>
      </w:r>
      <w:r>
        <w:rPr>
          <w:rFonts w:hint="eastAsia" w:ascii="仿宋" w:hAnsi="仿宋" w:eastAsia="仿宋" w:cs="仿宋"/>
          <w:color w:val="000000"/>
          <w:kern w:val="0"/>
          <w:sz w:val="28"/>
          <w:szCs w:val="28"/>
          <w:lang w:bidi="ar"/>
        </w:rPr>
        <w:t>规划至2</w:t>
      </w:r>
      <w:r>
        <w:rPr>
          <w:rFonts w:ascii="仿宋" w:hAnsi="仿宋" w:eastAsia="仿宋" w:cs="仿宋"/>
          <w:color w:val="000000"/>
          <w:kern w:val="0"/>
          <w:sz w:val="28"/>
          <w:szCs w:val="28"/>
          <w:lang w:bidi="ar"/>
        </w:rPr>
        <w:t>025</w:t>
      </w:r>
      <w:r>
        <w:rPr>
          <w:rFonts w:hint="eastAsia" w:ascii="仿宋" w:hAnsi="仿宋" w:eastAsia="仿宋" w:cs="仿宋"/>
          <w:color w:val="000000"/>
          <w:kern w:val="0"/>
          <w:sz w:val="28"/>
          <w:szCs w:val="28"/>
          <w:lang w:bidi="ar"/>
        </w:rPr>
        <w:t>年底，</w:t>
      </w:r>
      <w:r>
        <w:rPr>
          <w:rFonts w:hint="eastAsia" w:ascii="仿宋" w:hAnsi="仿宋" w:eastAsia="仿宋" w:cs="仿宋"/>
          <w:color w:val="000000"/>
          <w:kern w:val="0"/>
          <w:sz w:val="28"/>
          <w:szCs w:val="28"/>
          <w:lang w:eastAsia="zh-CN" w:bidi="ar"/>
        </w:rPr>
        <w:t>完成省下达汕头市既有建筑绿色改造目标任务</w:t>
      </w:r>
      <w:r>
        <w:rPr>
          <w:rFonts w:hint="eastAsia" w:ascii="仿宋" w:hAnsi="仿宋" w:eastAsia="仿宋" w:cs="仿宋"/>
          <w:color w:val="000000"/>
          <w:kern w:val="0"/>
          <w:sz w:val="28"/>
          <w:szCs w:val="28"/>
          <w:lang w:bidi="ar"/>
        </w:rPr>
        <w:t>。</w:t>
      </w:r>
      <w:bookmarkStart w:id="82" w:name="_Toc58405042"/>
      <w:bookmarkStart w:id="83" w:name="_Toc57238417"/>
    </w:p>
    <w:p>
      <w:pPr>
        <w:pStyle w:val="15"/>
        <w:spacing w:line="720" w:lineRule="auto"/>
        <w:jc w:val="left"/>
        <w:rPr>
          <w:rFonts w:ascii="Times New Roman" w:hAnsi="Times New Roman"/>
          <w:lang w:bidi="ar"/>
        </w:rPr>
      </w:pPr>
      <w:r>
        <w:rPr>
          <w:rFonts w:hint="eastAsia" w:ascii="Times New Roman" w:hAnsi="Times New Roman"/>
          <w:lang w:bidi="ar"/>
        </w:rPr>
        <w:t>3</w:t>
      </w:r>
      <w:r>
        <w:rPr>
          <w:rFonts w:ascii="Times New Roman" w:hAnsi="Times New Roman"/>
          <w:lang w:bidi="ar"/>
        </w:rPr>
        <w:t>.4绿色建筑</w:t>
      </w:r>
      <w:r>
        <w:rPr>
          <w:rFonts w:hint="eastAsia" w:ascii="Times New Roman" w:hAnsi="Times New Roman"/>
          <w:lang w:bidi="ar"/>
        </w:rPr>
        <w:t>技术路线</w:t>
      </w:r>
      <w:bookmarkEnd w:id="82"/>
      <w:bookmarkEnd w:id="83"/>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随着绿色建筑相关理论、技术手段与政策法规的日趋发展和完善，绿建技术路线呈现精细化发展趋势。应根据建筑物所处不同条件、不同类型的特点，制定有针对性的技术路线，贯彻“因地制宜”原则，体现“全过程、整体化”的精神，通过以下技术路线实现绿色建筑。</w:t>
      </w:r>
    </w:p>
    <w:p>
      <w:pPr>
        <w:pStyle w:val="13"/>
        <w:spacing w:before="0" w:line="720" w:lineRule="auto"/>
        <w:jc w:val="left"/>
        <w:rPr>
          <w:rFonts w:ascii="Times New Roman" w:hAnsi="Times New Roman"/>
          <w:sz w:val="28"/>
          <w:szCs w:val="28"/>
          <w:lang w:bidi="ar"/>
        </w:rPr>
      </w:pPr>
      <w:bookmarkStart w:id="84" w:name="_Toc57238418"/>
      <w:bookmarkStart w:id="85" w:name="_Toc58405043"/>
      <w:r>
        <w:rPr>
          <w:rFonts w:ascii="Times New Roman" w:hAnsi="Times New Roman"/>
          <w:sz w:val="28"/>
          <w:szCs w:val="28"/>
          <w:lang w:bidi="ar"/>
        </w:rPr>
        <w:t>3.4.</w:t>
      </w:r>
      <w:r>
        <w:rPr>
          <w:rFonts w:hint="eastAsia" w:ascii="Times New Roman" w:hAnsi="Times New Roman"/>
          <w:sz w:val="28"/>
          <w:szCs w:val="28"/>
          <w:lang w:bidi="ar"/>
        </w:rPr>
        <w:t>1安全耐久</w:t>
      </w:r>
      <w:bookmarkEnd w:id="84"/>
      <w:bookmarkEnd w:id="8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坚持以建筑安全性能为第一的原则，保障用户的安全。提高建筑结构、材料和设计的耐久性能，降低建筑维护成本，延长建筑的生命周期。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①</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在选择场地时避开具有滑坡、洪涝等危险的地段和各类化学品、含氡土壤危险源，从源头上控制项目的安全性能。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②</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建筑结构必须具有足够的承载力以满足建筑使用功能需求，围护结构应满足安全、耐久和防护的功能。对于有地震风险的区域需要特别考虑提高建筑的抗震性能，以达到“小震不坏，中震可修，大震不倒”的性能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③</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在室内采取保障人员安全的各类防护措施，如采用具有安全防护功能的产品和配件、安装防护栏杆，在容易碰撞、夹伤、湿滑及危险的部位和场所设置显著、醒目的安全警示标志。在室外可利用场地设施、景观等被动地降低坠物风险，在场地内道路采取人车分流措施，并提供充足的照明，减少交通事故。室内外地面及路面都应设置防滑措施，避免用户摔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④</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建筑对紧急情况应具备应对能力，应配备有满足紧急疏散、应急救护要求的走廊和疏散通道，并应保持畅通。设置安全引导指示标志，包括人行导向标识和紧急出口标识等。创造安全的建筑环境，避免安全事故的发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⑤</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施工过程中，鼓励在项目中采用耐久性能高的材料。采用耐久性能好的建筑结构材料、建筑部品部件和装饰装修建筑材料，室内装饰装修材料还需要易于维护。建筑内部的非结构构件、设备及附属设施和外部设施设备应安装牢固，避免意外松动和脱落，并具备检修与维护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⑥</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建筑外门窗还需要符合抗风压性能和水密性能的有关规定。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⑦</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在卫生间、浴室、墙面、顶棚等易受潮部位设置防水层，避免因漏水引起的腐蚀、老化和发霉。</w:t>
      </w:r>
    </w:p>
    <w:p>
      <w:pPr>
        <w:pStyle w:val="13"/>
        <w:spacing w:before="0" w:line="720" w:lineRule="auto"/>
        <w:jc w:val="left"/>
        <w:rPr>
          <w:rFonts w:ascii="Times New Roman" w:hAnsi="Times New Roman"/>
          <w:sz w:val="28"/>
          <w:szCs w:val="28"/>
          <w:lang w:bidi="ar"/>
        </w:rPr>
      </w:pPr>
      <w:bookmarkStart w:id="86" w:name="_Toc57238419"/>
      <w:bookmarkStart w:id="87" w:name="_Toc58405044"/>
      <w:r>
        <w:rPr>
          <w:rFonts w:ascii="Times New Roman" w:hAnsi="Times New Roman"/>
          <w:sz w:val="28"/>
          <w:szCs w:val="28"/>
          <w:lang w:bidi="ar"/>
        </w:rPr>
        <w:t>3.4.</w:t>
      </w:r>
      <w:r>
        <w:rPr>
          <w:rFonts w:hint="eastAsia" w:ascii="Times New Roman" w:hAnsi="Times New Roman"/>
          <w:sz w:val="28"/>
          <w:szCs w:val="28"/>
          <w:lang w:bidi="ar"/>
        </w:rPr>
        <w:t>2健康舒适</w:t>
      </w:r>
      <w:bookmarkEnd w:id="86"/>
      <w:bookmarkEnd w:id="8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注重建筑的健康性能，排除和改善建筑环境中的不利因素，满足建筑用户生理和心理上的需求，提供舒适的建筑空间。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①</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监控并控制室内空气质量。对于主要污染物进行实时监控并制定超标时的应对措施，地下车库应特别注意对一氧化碳的监控与控制。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②</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加强室内通风，提高换气率，避免空气污染物的积累。有污染源的功能区应与其他空间分隔，并避免排气倒灌。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③</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监控并控制生活用水质量。采取必要措施保持储水设备的洁净。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④</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给排水的管道、设施、设备应明确标识，避免误用。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⑤</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对场地进行分区，避免各功能区之间的噪声干扰。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⑥ 控制室内的噪声等级，保证外墙、隔墙、楼板和门窗的隔声性能。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⑦ 保证室内照明质量满足各空间的功能需求。充分利用自然光，同时还要注意眩光的控制。人工照明需采用合格的照明设备，通过合理的照明设计提高利用率，减少耗能。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⑧</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提供舒适的室内热湿环境。通过被动或主动的手段将室内热湿环境控制在合理的区间内。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⑨ 尽量使用低逸散、低污染的绿色建材。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p>
    <w:p>
      <w:pPr>
        <w:pStyle w:val="13"/>
        <w:spacing w:before="0" w:line="720" w:lineRule="auto"/>
        <w:jc w:val="left"/>
        <w:rPr>
          <w:rFonts w:ascii="Times New Roman" w:hAnsi="Times New Roman"/>
          <w:sz w:val="28"/>
          <w:szCs w:val="28"/>
          <w:lang w:bidi="ar"/>
        </w:rPr>
      </w:pPr>
      <w:bookmarkStart w:id="88" w:name="_Toc58405045"/>
      <w:bookmarkStart w:id="89" w:name="_Toc57238420"/>
      <w:r>
        <w:rPr>
          <w:rFonts w:ascii="Times New Roman" w:hAnsi="Times New Roman"/>
          <w:sz w:val="28"/>
          <w:szCs w:val="28"/>
          <w:lang w:bidi="ar"/>
        </w:rPr>
        <w:t>3.4.</w:t>
      </w:r>
      <w:r>
        <w:rPr>
          <w:rFonts w:hint="eastAsia" w:ascii="Times New Roman" w:hAnsi="Times New Roman"/>
          <w:sz w:val="28"/>
          <w:szCs w:val="28"/>
          <w:lang w:bidi="ar"/>
        </w:rPr>
        <w:t>3生活便利</w:t>
      </w:r>
      <w:bookmarkEnd w:id="88"/>
      <w:bookmarkEnd w:id="8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绿色建筑应为用户提供安心便捷的使用体验，充分考虑各类人群的使用需求，从多方面体现人文关怀，提高用户的幸福指数。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①</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全面贯彻无障碍设计的理念，建立完善的无障碍系统，方便特殊人群的出行和使用需求。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②</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满足多样性出行的需求。建筑及场地应为公共交通、主动交通、新能源交通工具等配备满足要求的设施设备。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③</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场地内及场地周边需配备具有可达性的多样化公共服务资源和活动空间。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④</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建立智能建筑管理和运行系统。建立信息网络系统，将包括家电、照明、报警、监测等在内的建筑设备及系统接入信息网络进行统一、综合的监控和管理，实现精确高效的建筑自动化、智能化的运行调控。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⑤</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建立全面、合理的物业管理体系。落实绿色建筑运营措施，定期对绿色运营效果进行评估，确保建筑的正常运营。</w:t>
      </w:r>
    </w:p>
    <w:p>
      <w:pPr>
        <w:pStyle w:val="13"/>
        <w:spacing w:before="0" w:line="720" w:lineRule="auto"/>
        <w:jc w:val="left"/>
        <w:rPr>
          <w:rFonts w:ascii="Times New Roman" w:hAnsi="Times New Roman"/>
          <w:sz w:val="28"/>
          <w:szCs w:val="28"/>
          <w:lang w:bidi="ar"/>
        </w:rPr>
      </w:pPr>
      <w:bookmarkStart w:id="90" w:name="_Toc57238421"/>
      <w:bookmarkStart w:id="91" w:name="_Toc58405046"/>
      <w:r>
        <w:rPr>
          <w:rFonts w:ascii="Times New Roman" w:hAnsi="Times New Roman"/>
          <w:sz w:val="28"/>
          <w:szCs w:val="28"/>
          <w:lang w:bidi="ar"/>
        </w:rPr>
        <w:t>3.4.</w:t>
      </w:r>
      <w:r>
        <w:rPr>
          <w:rFonts w:hint="eastAsia" w:ascii="Times New Roman" w:hAnsi="Times New Roman"/>
          <w:sz w:val="28"/>
          <w:szCs w:val="28"/>
          <w:lang w:bidi="ar"/>
        </w:rPr>
        <w:t>4资源节约</w:t>
      </w:r>
      <w:bookmarkEnd w:id="90"/>
      <w:bookmarkEnd w:id="9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绿色建筑应制定资源利用方案，设置合理、完善、安全的资源管理系统，提高土地利用率，采用节能、节水设备，提高材料的利用率和生命周期。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①</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节省用地，提高土地利用率。合理利用地下和地上空间，最小化土地面积的开发量。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②</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结合场地自然条件和建筑功能要求，通过建筑体型、空间设计以及围护结构设计，减少建筑的能源负荷。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③</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采用符合要求的节能设备和系统。主要措施包括使用更高能效的供冷、供热空调系统、更合理的末端输配系统、节能型电气设备及节能控制等。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如暖通系统设计：如空调分区、风扇空调并用系统、大空间分层空调、回风排热、储冷槽等；自然通风节能设计：利用中庭风、植物控制气流、提高开窗通风性能等；照明系统：能源管理系统、新型照明光源等。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④</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利用可再生能源，减少对传统能源的依赖。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⑤</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对于卫生器具、绿化灌溉和空调冷却水系统，采用节水设备、系统和技术，减少水资源的消耗。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⑥</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利用雨水、再生水等非传统水源，减少建筑对水资源的消耗。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⑦</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制定合理的水资源利用方案，通过费用、监控等方式对水资源利用进行统筹管理。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⑧</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选用建筑材料时，优先考虑具有产地近、强度大、工业化、可循环、可再利用等性质的绿色建材。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⑨</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实时土建工程与装修工程一体化设计及施工，各专业、各部门统一协调，减少反复设计和施工。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⑩ 建筑外立面的节能设计，如通风开口面积达到国家绿色建筑比例要求；可调节外遮阳设施的面积占外窗透明部分比例达到最低标准；优化建筑围护结构热工性能，如鼓励采用节能玻璃等新型玻璃材料、外立面和屋顶构造采用新型节能材料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kern w:val="0"/>
          <w:sz w:val="28"/>
          <w:szCs w:val="28"/>
          <w:lang w:bidi="ar"/>
        </w:rPr>
      </w:pPr>
    </w:p>
    <w:p>
      <w:pPr>
        <w:pStyle w:val="13"/>
        <w:spacing w:before="0" w:line="720" w:lineRule="auto"/>
        <w:jc w:val="left"/>
        <w:rPr>
          <w:rFonts w:ascii="Times New Roman" w:hAnsi="Times New Roman"/>
          <w:sz w:val="28"/>
          <w:szCs w:val="28"/>
          <w:lang w:bidi="ar"/>
        </w:rPr>
      </w:pPr>
      <w:bookmarkStart w:id="92" w:name="_Toc57238422"/>
      <w:bookmarkStart w:id="93" w:name="_Toc58405047"/>
      <w:r>
        <w:rPr>
          <w:rFonts w:ascii="Times New Roman" w:hAnsi="Times New Roman"/>
          <w:sz w:val="28"/>
          <w:szCs w:val="28"/>
          <w:lang w:bidi="ar"/>
        </w:rPr>
        <w:t>3.4.</w:t>
      </w:r>
      <w:r>
        <w:rPr>
          <w:rFonts w:hint="eastAsia" w:ascii="Times New Roman" w:hAnsi="Times New Roman"/>
          <w:sz w:val="28"/>
          <w:szCs w:val="28"/>
          <w:lang w:bidi="ar"/>
        </w:rPr>
        <w:t>5环境宜居</w:t>
      </w:r>
      <w:bookmarkEnd w:id="92"/>
      <w:bookmarkEnd w:id="93"/>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绿色建筑不止考虑建筑本身的性能，也关注建筑与周边环境之间的关系，追求建筑、用户与环境的和谐。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① 应尽可能减少项目对原场地生态环境的影响，保护自然水域、湿地、植被、生物多样性等重要生态资源，必要时还应采取生态恢复或补偿措施。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② 场地内应有足够的绿化用地，并对公众开放。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③</w:t>
      </w:r>
      <w:r>
        <w:rPr>
          <w:rFonts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bidi="ar"/>
        </w:rPr>
        <w:t>项目在满足自身日照标准的同时，不应降低周边建筑的日照标准。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④</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建立合理、有效的雨水处理系统。规划场地地表和屋面雨水径流，增加径流控制率，衔接和引导屋面、道路雨水进入地面生态系统，并利用下凹式绿地、雨水花园、透水地面等措施调蓄雨水。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⑤ 建立有效的污水收集处理系统。建筑物</w:t>
      </w:r>
      <w:r>
        <w:rPr>
          <w:rFonts w:hint="eastAsia" w:ascii="仿宋" w:hAnsi="仿宋" w:eastAsia="仿宋" w:cs="仿宋"/>
          <w:color w:val="000000"/>
          <w:kern w:val="0"/>
          <w:sz w:val="28"/>
          <w:szCs w:val="28"/>
          <w:lang w:eastAsia="zh-CN" w:bidi="ar"/>
        </w:rPr>
        <w:t>按</w:t>
      </w:r>
      <w:r>
        <w:rPr>
          <w:rFonts w:hint="eastAsia" w:ascii="仿宋" w:hAnsi="仿宋" w:eastAsia="仿宋" w:cs="仿宋"/>
          <w:color w:val="000000"/>
          <w:kern w:val="0"/>
          <w:sz w:val="28"/>
          <w:szCs w:val="28"/>
          <w:lang w:bidi="ar"/>
        </w:rPr>
        <w:t>使用功能配套厨房、洗菜间、卫生间、洗浴间和衣物洗涤间等污水收集排放管网和处理设施，并汇入城镇污水处理管网系统。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⑥</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避免场地内出现污染源，生活垃圾应避开人群常驻区域，吸烟区应布置在合理的位置。生活垃圾分类收集处理，制定合理的立即分类、搜集、运输、处理体系，快速处理生活垃圾，减少垃圾填埋量。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⑦</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室外照明系统应满足室外照明的要求，保证室外夜晚的亮度，同时避免过度和不合理的照明设计导致光污染。</w:t>
      </w:r>
    </w:p>
    <w:p>
      <w:pPr>
        <w:pStyle w:val="13"/>
        <w:spacing w:before="0" w:line="720" w:lineRule="auto"/>
        <w:jc w:val="left"/>
        <w:rPr>
          <w:rFonts w:ascii="Times New Roman" w:hAnsi="Times New Roman"/>
          <w:sz w:val="28"/>
          <w:szCs w:val="28"/>
          <w:lang w:bidi="ar"/>
        </w:rPr>
      </w:pPr>
      <w:bookmarkStart w:id="94" w:name="_Toc58405048"/>
      <w:bookmarkStart w:id="95" w:name="_Toc57238423"/>
      <w:r>
        <w:rPr>
          <w:rFonts w:ascii="Times New Roman" w:hAnsi="Times New Roman"/>
          <w:sz w:val="28"/>
          <w:szCs w:val="28"/>
          <w:lang w:bidi="ar"/>
        </w:rPr>
        <w:t>3.4.</w:t>
      </w:r>
      <w:r>
        <w:rPr>
          <w:rFonts w:hint="eastAsia" w:ascii="Times New Roman" w:hAnsi="Times New Roman"/>
          <w:sz w:val="28"/>
          <w:szCs w:val="28"/>
          <w:lang w:bidi="ar"/>
        </w:rPr>
        <w:t>6提高与创新</w:t>
      </w:r>
      <w:bookmarkEnd w:id="94"/>
      <w:bookmarkEnd w:id="9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作为建筑行业的推动者，绿色建筑应追求更高的目标，尝试要求以外的措施与路线。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①</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因地制宜，采用适宜地区特色的建筑风貌设计。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②</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主结构采用钢结构、木结构或装配式混凝土结构。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③</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应用建筑信息模型（BIM）技术。</w:t>
      </w:r>
    </w:p>
    <w:p>
      <w:pPr>
        <w:pStyle w:val="38"/>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④</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进行建筑碳排放计算分析，采取措施降低碳排放强度。</w:t>
      </w:r>
    </w:p>
    <w:p>
      <w:pPr>
        <w:pStyle w:val="13"/>
        <w:spacing w:before="0" w:line="720" w:lineRule="auto"/>
        <w:jc w:val="left"/>
        <w:rPr>
          <w:rFonts w:ascii="Times New Roman" w:hAnsi="Times New Roman"/>
          <w:sz w:val="28"/>
          <w:szCs w:val="28"/>
          <w:lang w:bidi="ar"/>
        </w:rPr>
      </w:pPr>
      <w:bookmarkStart w:id="96" w:name="_Toc58405049"/>
      <w:r>
        <w:rPr>
          <w:rFonts w:hint="eastAsia" w:ascii="Times New Roman" w:hAnsi="Times New Roman"/>
          <w:sz w:val="28"/>
          <w:szCs w:val="28"/>
          <w:lang w:bidi="ar"/>
        </w:rPr>
        <w:t>3</w:t>
      </w:r>
      <w:r>
        <w:rPr>
          <w:rFonts w:ascii="Times New Roman" w:hAnsi="Times New Roman"/>
          <w:sz w:val="28"/>
          <w:szCs w:val="28"/>
          <w:lang w:bidi="ar"/>
        </w:rPr>
        <w:t>.4.7</w:t>
      </w:r>
      <w:r>
        <w:rPr>
          <w:rFonts w:hint="eastAsia" w:ascii="Times New Roman" w:hAnsi="Times New Roman"/>
          <w:sz w:val="28"/>
          <w:szCs w:val="28"/>
          <w:lang w:bidi="ar"/>
        </w:rPr>
        <w:t>绿色施工</w:t>
      </w:r>
      <w:bookmarkEnd w:id="96"/>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加强施工单位对绿色建筑的认知，从意识源头保障建设过程中绿色建筑相关内容的全面有效落实。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① 应建立绿色建筑项目的施工管理体系和组织机构，采用智慧化工地管理系统，全方位监控施工过程并制定施工全过程的环境保护计划。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② 采取多种有效措施实现降尘、降噪要求，制定并实施施工废弃物减量化、资源化计划，尽可能减少建筑施工对环境的影响。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③ 制定并实施施工节能用能、节水用水方案，并进行监测和记录。减少建筑材料损耗，降低损耗率，大力促进资源能源的节约使用。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④ 进行过程管理，严格实施设计文件中绿色建筑的重点内容，严格控制设计文件变更，避免出现降低绿色性能的重大变更；采取相关措施保证建筑的耐久性；实现土建装修一体化施工。工程竣工验收前，由建设单位组织有关责任单位，进行机电系统的综合调试和联合试运转，结果应符合设计要求。</w:t>
      </w:r>
    </w:p>
    <w:p>
      <w:pPr>
        <w:pStyle w:val="13"/>
        <w:spacing w:before="0" w:line="720" w:lineRule="auto"/>
        <w:jc w:val="left"/>
        <w:rPr>
          <w:rFonts w:ascii="Times New Roman" w:hAnsi="Times New Roman"/>
          <w:sz w:val="28"/>
          <w:szCs w:val="28"/>
          <w:lang w:bidi="ar"/>
        </w:rPr>
      </w:pPr>
      <w:bookmarkStart w:id="97" w:name="_Toc58405050"/>
      <w:r>
        <w:rPr>
          <w:rFonts w:hint="eastAsia" w:ascii="Times New Roman" w:hAnsi="Times New Roman"/>
          <w:sz w:val="28"/>
          <w:szCs w:val="28"/>
          <w:lang w:bidi="ar"/>
        </w:rPr>
        <w:t>3</w:t>
      </w:r>
      <w:r>
        <w:rPr>
          <w:rFonts w:ascii="Times New Roman" w:hAnsi="Times New Roman"/>
          <w:sz w:val="28"/>
          <w:szCs w:val="28"/>
          <w:lang w:bidi="ar"/>
        </w:rPr>
        <w:t>.4.</w:t>
      </w:r>
      <w:r>
        <w:rPr>
          <w:rFonts w:hint="eastAsia" w:ascii="Times New Roman" w:hAnsi="Times New Roman"/>
          <w:sz w:val="28"/>
          <w:szCs w:val="28"/>
          <w:lang w:bidi="ar"/>
        </w:rPr>
        <w:t>8运营管理</w:t>
      </w:r>
      <w:bookmarkEnd w:id="9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“全寿命周期”是绿色建筑的重要概念，建筑物的运营效果在验证绿建技术手段有效性的同时，对绿色建筑的实现有着非常重要的作用，真正体现了绿色建筑的意义。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经评审机构认定为绿色建筑的，建筑所有权人应当在建筑物显著位置明示绿色建筑等级</w:t>
      </w:r>
      <w:r>
        <w:rPr>
          <w:rFonts w:hint="eastAsia" w:ascii="仿宋" w:hAnsi="仿宋" w:eastAsia="仿宋" w:cs="仿宋"/>
          <w:color w:val="000000"/>
          <w:kern w:val="0"/>
          <w:sz w:val="28"/>
          <w:szCs w:val="28"/>
          <w:vertAlign w:val="superscript"/>
          <w:lang w:bidi="ar"/>
        </w:rPr>
        <w:t>2</w:t>
      </w:r>
      <w:r>
        <w:rPr>
          <w:rFonts w:hint="eastAsia" w:ascii="仿宋" w:hAnsi="仿宋" w:eastAsia="仿宋" w:cs="仿宋"/>
          <w:color w:val="000000"/>
          <w:kern w:val="0"/>
          <w:sz w:val="28"/>
          <w:szCs w:val="28"/>
          <w:lang w:bidi="ar"/>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绿色建筑所有权人或者使用权人应当对绿色建筑的设施设备进行维护和保养，也可以委托物业服务</w:t>
      </w:r>
      <w:r>
        <w:rPr>
          <w:rFonts w:hint="eastAsia" w:ascii="仿宋" w:hAnsi="仿宋" w:eastAsia="仿宋" w:cs="仿宋"/>
          <w:color w:val="000000"/>
          <w:kern w:val="0"/>
          <w:sz w:val="28"/>
          <w:szCs w:val="28"/>
          <w:lang w:eastAsia="zh-CN" w:bidi="ar"/>
        </w:rPr>
        <w:t>单位</w:t>
      </w:r>
      <w:r>
        <w:rPr>
          <w:rFonts w:hint="eastAsia" w:ascii="仿宋" w:hAnsi="仿宋" w:eastAsia="仿宋" w:cs="仿宋"/>
          <w:color w:val="000000"/>
          <w:kern w:val="0"/>
          <w:sz w:val="28"/>
          <w:szCs w:val="28"/>
          <w:lang w:bidi="ar"/>
        </w:rPr>
        <w:t>或者专业服务单位实施，确保绿色建筑达到相应的等级要求。委托物业服务</w:t>
      </w:r>
      <w:r>
        <w:rPr>
          <w:rFonts w:hint="eastAsia" w:ascii="仿宋" w:hAnsi="仿宋" w:eastAsia="仿宋" w:cs="仿宋"/>
          <w:color w:val="000000"/>
          <w:kern w:val="0"/>
          <w:sz w:val="28"/>
          <w:szCs w:val="28"/>
          <w:lang w:eastAsia="zh-CN" w:bidi="ar"/>
        </w:rPr>
        <w:t>单位</w:t>
      </w:r>
      <w:r>
        <w:rPr>
          <w:rFonts w:hint="eastAsia" w:ascii="仿宋" w:hAnsi="仿宋" w:eastAsia="仿宋" w:cs="仿宋"/>
          <w:color w:val="000000"/>
          <w:kern w:val="0"/>
          <w:sz w:val="28"/>
          <w:szCs w:val="28"/>
          <w:lang w:bidi="ar"/>
        </w:rPr>
        <w:t>或者专业服务单位实施的，应当在服务合同中约定绿色建筑的运行要求。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绿色建筑所有权人、使用权人、物业服务</w:t>
      </w:r>
      <w:r>
        <w:rPr>
          <w:rFonts w:hint="eastAsia" w:ascii="仿宋" w:hAnsi="仿宋" w:eastAsia="仿宋" w:cs="仿宋"/>
          <w:color w:val="000000"/>
          <w:kern w:val="0"/>
          <w:sz w:val="28"/>
          <w:szCs w:val="28"/>
          <w:lang w:eastAsia="zh-CN" w:bidi="ar"/>
        </w:rPr>
        <w:t>单位</w:t>
      </w:r>
      <w:r>
        <w:rPr>
          <w:rFonts w:hint="eastAsia" w:ascii="仿宋" w:hAnsi="仿宋" w:eastAsia="仿宋" w:cs="仿宋"/>
          <w:color w:val="000000"/>
          <w:kern w:val="0"/>
          <w:sz w:val="28"/>
          <w:szCs w:val="28"/>
          <w:lang w:bidi="ar"/>
        </w:rPr>
        <w:t>和专业服务单位不得损毁和破坏围护结构和节能、节水、计量等设施设备，应当协助做好绿色建筑能耗统计、能源审计、能耗监测、能效测评和绿色建筑认定、后评估等工作：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①</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应制定并实施节能、节水、节材、绿化管理、垃圾管理制度。运行过程中的污染物达标排放。保证节能节水设施与设备自动监控系统的正常运行，符合设计要求。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②</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切实落实绿色建筑的管理制度。包括：绿色建筑物业管理部门应获得有关管理体系认证。完善并有效实施节能、节水、节材、绿化等相关设施的操作规程及应急预案。物业管理机构的工作考核体系中应包含能源资源管理激励机制、采用合同能源管理模式、建立绿色教育宣传机制、编制绿色设施使用手册，开展绿色物业管理试点示范工作，形成良好的绿色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③</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切实落实绿色建筑的技术管理手段，包括：定期检查、调试公共设施设备，并根据运行检测数据进行设备系统的运行优化；对空调通风系统进行定期检查和清洗，对非传统水源的水质和用水量记录完整、准确；智能化系统的运行效果应满足建筑运行与管理的需要；应用信息化手段进行物业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④</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切实落实绿色建筑的环境管理手段，包括：采用无公害病虫害防治技术，规范化学药品的使用，有效避免对土壤和地下水环境的损害。应保证栽种和移植的树木一次成活率大于90％，植物生长状态良好。应实行垃圾分类收集和处理，垃圾收集站(点)及垃圾间不污染环境，不散发臭味。</w:t>
      </w:r>
    </w:p>
    <w:p>
      <w:pPr>
        <w:pStyle w:val="13"/>
        <w:spacing w:before="0" w:line="720" w:lineRule="auto"/>
        <w:jc w:val="left"/>
        <w:rPr>
          <w:rFonts w:ascii="Times New Roman" w:hAnsi="Times New Roman"/>
          <w:sz w:val="28"/>
          <w:szCs w:val="28"/>
          <w:lang w:bidi="ar"/>
        </w:rPr>
      </w:pPr>
      <w:bookmarkStart w:id="98" w:name="_Toc58405051"/>
      <w:bookmarkStart w:id="99" w:name="_Toc57238424"/>
      <w:r>
        <w:rPr>
          <w:rFonts w:ascii="Times New Roman" w:hAnsi="Times New Roman"/>
          <w:sz w:val="28"/>
          <w:szCs w:val="28"/>
          <w:lang w:bidi="ar"/>
        </w:rPr>
        <w:t>3.4.9</w:t>
      </w:r>
      <w:r>
        <w:rPr>
          <w:rFonts w:hint="eastAsia" w:ascii="Times New Roman" w:hAnsi="Times New Roman"/>
          <w:sz w:val="28"/>
          <w:szCs w:val="28"/>
          <w:lang w:bidi="ar"/>
        </w:rPr>
        <w:t>海绵城市的建设需求</w:t>
      </w:r>
      <w:bookmarkEnd w:id="98"/>
      <w:bookmarkEnd w:id="9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b/>
          <w:bCs/>
          <w:sz w:val="32"/>
          <w:szCs w:val="32"/>
          <w:lang w:bidi="ar"/>
        </w:rPr>
      </w:pPr>
      <w:r>
        <w:rPr>
          <w:rFonts w:hint="eastAsia" w:ascii="仿宋" w:hAnsi="仿宋" w:eastAsia="仿宋" w:cs="仿宋"/>
          <w:color w:val="000000"/>
          <w:kern w:val="0"/>
          <w:sz w:val="28"/>
          <w:szCs w:val="28"/>
          <w:lang w:bidi="ar"/>
        </w:rPr>
        <w:t>市、镇规划区内土地开发应当推广低影响开发模式，实现雨水的自然积存、自然渗透和自然净化，提高水资源的综合利用水平。建设用地面积20</w:t>
      </w:r>
      <w:r>
        <w:rPr>
          <w:rFonts w:ascii="仿宋" w:hAnsi="仿宋" w:eastAsia="仿宋" w:cs="仿宋"/>
          <w:color w:val="000000"/>
          <w:kern w:val="0"/>
          <w:sz w:val="28"/>
          <w:szCs w:val="28"/>
          <w:lang w:bidi="ar"/>
        </w:rPr>
        <w:t>,000</w:t>
      </w:r>
      <w:r>
        <w:rPr>
          <w:rFonts w:hint="eastAsia" w:ascii="仿宋" w:hAnsi="仿宋" w:eastAsia="仿宋" w:cs="仿宋"/>
          <w:color w:val="000000"/>
          <w:kern w:val="0"/>
          <w:sz w:val="28"/>
          <w:szCs w:val="28"/>
          <w:lang w:bidi="ar"/>
        </w:rPr>
        <w:t>㎡以上的新建建筑，应当按照国家和省有关标准同步建设雨水收集利用系统。绿色建筑的建设需满足《汕头市海绵城市专项规划》的相关要求。</w:t>
      </w:r>
      <w:bookmarkStart w:id="100" w:name="_Toc57238425"/>
      <w:bookmarkStart w:id="101" w:name="_Toc58405052"/>
    </w:p>
    <w:p>
      <w:pPr>
        <w:pStyle w:val="15"/>
        <w:jc w:val="left"/>
        <w:rPr>
          <w:rFonts w:ascii="Times New Roman" w:hAnsi="Times New Roman"/>
          <w:lang w:bidi="ar"/>
        </w:rPr>
      </w:pPr>
      <w:r>
        <w:rPr>
          <w:rFonts w:ascii="Times New Roman" w:hAnsi="Times New Roman"/>
          <w:lang w:bidi="ar"/>
        </w:rPr>
        <w:t>3.5</w:t>
      </w:r>
      <w:r>
        <w:rPr>
          <w:rFonts w:hint="eastAsia" w:ascii="Times New Roman" w:hAnsi="Times New Roman"/>
          <w:lang w:bidi="ar"/>
        </w:rPr>
        <w:t>绿色建筑保障措施</w:t>
      </w:r>
      <w:bookmarkEnd w:id="100"/>
      <w:bookmarkEnd w:id="101"/>
    </w:p>
    <w:p>
      <w:pPr>
        <w:pStyle w:val="13"/>
        <w:spacing w:before="0"/>
        <w:jc w:val="left"/>
        <w:rPr>
          <w:rFonts w:ascii="Times New Roman" w:hAnsi="Times New Roman"/>
          <w:sz w:val="28"/>
          <w:szCs w:val="28"/>
          <w:lang w:bidi="ar"/>
        </w:rPr>
      </w:pPr>
      <w:bookmarkStart w:id="102" w:name="_Toc57238426"/>
      <w:bookmarkStart w:id="103" w:name="_Toc58405053"/>
      <w:r>
        <w:rPr>
          <w:rFonts w:ascii="Times New Roman" w:hAnsi="Times New Roman"/>
          <w:sz w:val="28"/>
          <w:szCs w:val="28"/>
          <w:lang w:bidi="ar"/>
        </w:rPr>
        <w:t>3.5</w:t>
      </w:r>
      <w:r>
        <w:rPr>
          <w:rFonts w:hint="eastAsia" w:ascii="Times New Roman" w:hAnsi="Times New Roman"/>
          <w:sz w:val="28"/>
          <w:szCs w:val="28"/>
          <w:lang w:bidi="ar"/>
        </w:rPr>
        <w:t>.1建立区域目标考核机制，强化责任意识</w:t>
      </w:r>
      <w:bookmarkEnd w:id="102"/>
      <w:bookmarkEnd w:id="103"/>
    </w:p>
    <w:p>
      <w:pPr>
        <w:keepNext w:val="0"/>
        <w:keepLines w:val="0"/>
        <w:pageBreakBefore w:val="0"/>
        <w:widowControl/>
        <w:kinsoku/>
        <w:wordWrap/>
        <w:overflowPunct/>
        <w:topLinePunct w:val="0"/>
        <w:autoSpaceDE/>
        <w:autoSpaceDN/>
        <w:bidi w:val="0"/>
        <w:adjustRightInd/>
        <w:snapToGrid/>
        <w:spacing w:before="240"/>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建立组织领导体系。成立市推进绿色建筑发展工作领导小组，由市政府分管领导担任组长，住建、发改、科技、工信、财政、人社、自然资源、生态环境、交通运输、市场监督、市税务局、市人民银行中心支行以及市住房公积金管理中心等部门负责人为成员,成员单位要各司其职，密切协作、形成合力,共同推进全市绿色建筑工作。各成员单位要按照职责明确分工（具体职责分工参照表</w:t>
      </w:r>
      <w:r>
        <w:rPr>
          <w:rFonts w:ascii="仿宋" w:hAnsi="仿宋" w:eastAsia="仿宋" w:cs="仿宋"/>
          <w:color w:val="000000"/>
          <w:kern w:val="0"/>
          <w:sz w:val="28"/>
          <w:szCs w:val="28"/>
          <w:lang w:bidi="ar"/>
        </w:rPr>
        <w:t>3</w:t>
      </w:r>
      <w:r>
        <w:rPr>
          <w:rFonts w:hint="eastAsia" w:ascii="仿宋" w:hAnsi="仿宋" w:eastAsia="仿宋" w:cs="仿宋"/>
          <w:color w:val="000000"/>
          <w:kern w:val="0"/>
          <w:sz w:val="28"/>
          <w:szCs w:val="28"/>
          <w:lang w:bidi="ar"/>
        </w:rPr>
        <w:t>-</w:t>
      </w:r>
      <w:r>
        <w:rPr>
          <w:rFonts w:ascii="仿宋" w:hAnsi="仿宋" w:eastAsia="仿宋" w:cs="仿宋"/>
          <w:color w:val="000000"/>
          <w:kern w:val="0"/>
          <w:sz w:val="28"/>
          <w:szCs w:val="28"/>
          <w:lang w:bidi="ar"/>
        </w:rPr>
        <w:t>6</w:t>
      </w:r>
      <w:r>
        <w:rPr>
          <w:rFonts w:hint="eastAsia" w:ascii="仿宋" w:hAnsi="仿宋" w:eastAsia="仿宋" w:cs="仿宋"/>
          <w:color w:val="000000"/>
          <w:kern w:val="0"/>
          <w:sz w:val="28"/>
          <w:szCs w:val="28"/>
          <w:lang w:bidi="ar"/>
        </w:rPr>
        <w:t xml:space="preserve">各部门职责分工表）。 </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工作小组管理办公室设在市住房和城乡建设局，负责联席会议日常工作，办公室主任由市住房和城乡建设局局长兼任。各县、区人民政府要建立健全工作机制，完善配套政策，组织具体实施，确保各项任务落到实处。政府相关部门要积极制定政策措施，引导和支持社会资本发展绿色建筑。 </w:t>
      </w:r>
    </w:p>
    <w:tbl>
      <w:tblPr>
        <w:tblStyle w:val="17"/>
        <w:tblW w:w="11199" w:type="dxa"/>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2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blHeader/>
        </w:trPr>
        <w:tc>
          <w:tcPr>
            <w:tcW w:w="11199" w:type="dxa"/>
            <w:gridSpan w:val="3"/>
            <w:vAlign w:val="center"/>
          </w:tcPr>
          <w:p>
            <w:pPr>
              <w:adjustRightInd w:val="0"/>
              <w:snapToGrid w:val="0"/>
              <w:jc w:val="center"/>
              <w:rPr>
                <w:rFonts w:ascii="Times New Roman" w:hAnsi="Times New Roman" w:eastAsia="仿宋"/>
                <w:b/>
                <w:sz w:val="28"/>
                <w:szCs w:val="28"/>
              </w:rPr>
            </w:pPr>
            <w:r>
              <w:rPr>
                <w:rFonts w:hint="eastAsia" w:ascii="仿宋" w:hAnsi="仿宋" w:eastAsia="仿宋" w:cs="仿宋"/>
                <w:b/>
                <w:bCs/>
                <w:color w:val="000000"/>
                <w:kern w:val="0"/>
                <w:sz w:val="28"/>
                <w:szCs w:val="28"/>
                <w:lang w:bidi="ar"/>
              </w:rPr>
              <w:t>表3-</w:t>
            </w:r>
            <w:r>
              <w:rPr>
                <w:rFonts w:ascii="仿宋" w:hAnsi="仿宋" w:eastAsia="仿宋" w:cs="仿宋"/>
                <w:b/>
                <w:bCs/>
                <w:color w:val="000000"/>
                <w:kern w:val="0"/>
                <w:sz w:val="28"/>
                <w:szCs w:val="28"/>
                <w:lang w:bidi="ar"/>
              </w:rPr>
              <w:t>6</w:t>
            </w:r>
            <w:r>
              <w:rPr>
                <w:rFonts w:hint="eastAsia" w:ascii="仿宋" w:hAnsi="仿宋" w:eastAsia="仿宋" w:cs="仿宋"/>
                <w:b/>
                <w:bCs/>
                <w:color w:val="000000"/>
                <w:kern w:val="0"/>
                <w:sz w:val="28"/>
                <w:szCs w:val="28"/>
                <w:lang w:bidi="ar"/>
              </w:rPr>
              <w:t>各部门职责分工表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blHeader/>
        </w:trPr>
        <w:tc>
          <w:tcPr>
            <w:tcW w:w="992" w:type="dxa"/>
            <w:vAlign w:val="center"/>
          </w:tcPr>
          <w:p>
            <w:pPr>
              <w:adjustRightInd w:val="0"/>
              <w:snapToGrid w:val="0"/>
              <w:jc w:val="center"/>
              <w:rPr>
                <w:rFonts w:ascii="Times New Roman" w:hAnsi="Times New Roman" w:eastAsia="仿宋"/>
                <w:b/>
                <w:sz w:val="28"/>
                <w:szCs w:val="28"/>
              </w:rPr>
            </w:pPr>
            <w:r>
              <w:rPr>
                <w:rFonts w:ascii="Times New Roman" w:hAnsi="Times New Roman" w:eastAsia="仿宋"/>
                <w:b/>
                <w:sz w:val="28"/>
                <w:szCs w:val="28"/>
              </w:rPr>
              <w:t>序号</w:t>
            </w:r>
          </w:p>
        </w:tc>
        <w:tc>
          <w:tcPr>
            <w:tcW w:w="2127" w:type="dxa"/>
            <w:vAlign w:val="center"/>
          </w:tcPr>
          <w:p>
            <w:pPr>
              <w:adjustRightInd w:val="0"/>
              <w:snapToGrid w:val="0"/>
              <w:jc w:val="center"/>
              <w:rPr>
                <w:rFonts w:ascii="Times New Roman" w:hAnsi="Times New Roman" w:eastAsia="仿宋"/>
                <w:b/>
                <w:sz w:val="28"/>
                <w:szCs w:val="28"/>
              </w:rPr>
            </w:pPr>
            <w:r>
              <w:rPr>
                <w:rFonts w:ascii="Times New Roman" w:hAnsi="Times New Roman" w:eastAsia="仿宋"/>
                <w:b/>
                <w:sz w:val="28"/>
                <w:szCs w:val="28"/>
              </w:rPr>
              <w:t>部门名称</w:t>
            </w:r>
          </w:p>
        </w:tc>
        <w:tc>
          <w:tcPr>
            <w:tcW w:w="8080" w:type="dxa"/>
            <w:vAlign w:val="center"/>
          </w:tcPr>
          <w:p>
            <w:pPr>
              <w:adjustRightInd w:val="0"/>
              <w:snapToGrid w:val="0"/>
              <w:jc w:val="center"/>
              <w:rPr>
                <w:rFonts w:ascii="Times New Roman" w:hAnsi="Times New Roman" w:eastAsia="仿宋"/>
                <w:b/>
                <w:sz w:val="28"/>
                <w:szCs w:val="28"/>
              </w:rPr>
            </w:pPr>
            <w:r>
              <w:rPr>
                <w:rFonts w:ascii="Times New Roman" w:hAnsi="Times New Roman" w:eastAsia="仿宋"/>
                <w:b/>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1</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市住房和城乡建设局</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负责全市推广绿色建筑工作领导协调小组办公室职责，牵头负责全市绿色建筑专项规划编制以及绿色建筑实施方案的统筹实施与解释，统筹全市绿色建筑发展情况</w:t>
            </w:r>
            <w:r>
              <w:rPr>
                <w:rFonts w:hint="eastAsia" w:ascii="Times New Roman" w:hAnsi="Times New Roman" w:eastAsia="仿宋_GB2312"/>
                <w:sz w:val="28"/>
                <w:szCs w:val="28"/>
              </w:rPr>
              <w:t>（</w:t>
            </w:r>
            <w:r>
              <w:rPr>
                <w:rFonts w:ascii="Times New Roman" w:hAnsi="Times New Roman" w:eastAsia="仿宋_GB2312"/>
                <w:sz w:val="28"/>
                <w:szCs w:val="28"/>
              </w:rPr>
              <w:t>包括绿色建筑建设目标规划，绿色建材在建设项目中的应用情况等）；加强绿色建筑项目设计审查、施工图审查、施工许可审查和施工质量安全管理，对不符合验收标准的项目依法不予进行竣工备案。同时，对不按规划许可、施工许可等相关的要求落实绿色施工的商品房项目不予核发商品房预售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2</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市发展和</w:t>
            </w:r>
          </w:p>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改革局</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负责政府投资项目在立项阶段对项目申请报告或可行性研究报告落实绿色建筑要求的有关内容进行审查，将实施绿色建筑要求纳入政府投资项目立项审批内容；</w:t>
            </w:r>
            <w:r>
              <w:rPr>
                <w:rFonts w:hint="eastAsia" w:ascii="Times New Roman" w:hAnsi="Times New Roman" w:eastAsia="仿宋_GB2312"/>
                <w:sz w:val="28"/>
                <w:szCs w:val="28"/>
              </w:rPr>
              <w:t>核定涉绿色建筑政府投资项目的投资规模，负责对项目的招标范围、招标组织形式和招标方式进行审批。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3</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市科学</w:t>
            </w:r>
          </w:p>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技术局</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负责促进绿色建筑相关产品</w:t>
            </w:r>
            <w:r>
              <w:rPr>
                <w:rFonts w:hint="eastAsia" w:ascii="Times New Roman" w:hAnsi="Times New Roman" w:eastAsia="仿宋_GB2312"/>
                <w:sz w:val="28"/>
                <w:szCs w:val="28"/>
              </w:rPr>
              <w:t>的</w:t>
            </w:r>
            <w:r>
              <w:rPr>
                <w:rFonts w:ascii="Times New Roman" w:hAnsi="Times New Roman" w:eastAsia="仿宋_GB2312"/>
                <w:sz w:val="28"/>
                <w:szCs w:val="28"/>
              </w:rPr>
              <w:t>创新科研成果转化，对绿色建筑相关产品生产企业中的“高新技术企业”给予奖励和补贴，支持绿色建筑相关产品科研和引进技术的消化、吸收等工作。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4</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市工业和</w:t>
            </w:r>
          </w:p>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信息化局</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负责建立绿色建材产品名录，培育绿色建材示范产品和示范企业。根据广东特色和市场需求，加强与下游用户的衔接，按照工信部具体要求组织项目申报。</w:t>
            </w:r>
            <w:r>
              <w:rPr>
                <w:rFonts w:ascii="Times New Roman" w:hAnsi="Times New Roman" w:eastAsia="仿宋_GB2312"/>
                <w:sz w:val="28"/>
                <w:szCs w:val="28"/>
              </w:rPr>
              <w:t>支持绿色建筑相关产品生产企业实施技术改造、技术创新，推进工业化和信息化融合，引导生产企业充分利用相关产业扶持政策。</w:t>
            </w:r>
            <w:r>
              <w:rPr>
                <w:rFonts w:ascii="Times New Roman" w:hAnsi="Times New Roman" w:eastAsia="仿宋_GB2312"/>
                <w:color w:val="000000"/>
                <w:sz w:val="28"/>
                <w:szCs w:val="28"/>
              </w:rPr>
              <w:t>加大招商引资力度，引进有实力的企业进驻我市，推动绿色建筑的发展。</w:t>
            </w:r>
            <w:r>
              <w:rPr>
                <w:rFonts w:hint="eastAsia" w:ascii="Times New Roman" w:hAnsi="Times New Roman" w:eastAsia="仿宋_GB2312"/>
                <w:color w:val="000000"/>
                <w:sz w:val="28"/>
                <w:szCs w:val="28"/>
              </w:rPr>
              <w:t>配合</w:t>
            </w:r>
            <w:r>
              <w:rPr>
                <w:rFonts w:ascii="Times New Roman" w:hAnsi="Times New Roman" w:eastAsia="仿宋_GB2312"/>
                <w:sz w:val="28"/>
                <w:szCs w:val="28"/>
              </w:rPr>
              <w:t>市住房和城乡建设局</w:t>
            </w:r>
            <w:r>
              <w:rPr>
                <w:rFonts w:hint="eastAsia" w:ascii="Times New Roman" w:hAnsi="Times New Roman" w:eastAsia="仿宋_GB2312"/>
                <w:sz w:val="28"/>
                <w:szCs w:val="28"/>
              </w:rPr>
              <w:t>与</w:t>
            </w:r>
            <w:r>
              <w:rPr>
                <w:rFonts w:ascii="Times New Roman" w:hAnsi="Times New Roman" w:eastAsia="仿宋_GB2312"/>
                <w:sz w:val="28"/>
                <w:szCs w:val="28"/>
              </w:rPr>
              <w:t>市市场监督管理局</w:t>
            </w:r>
            <w:r>
              <w:rPr>
                <w:rFonts w:hint="eastAsia" w:ascii="Times New Roman" w:hAnsi="Times New Roman" w:eastAsia="仿宋_GB2312"/>
                <w:color w:val="000000"/>
                <w:sz w:val="28"/>
                <w:szCs w:val="28"/>
              </w:rPr>
              <w:t>对绿色建材产品生产、认证、采信应用等进行监督管理，对获证企业、认证机构、检验检测机构在绿色建材产品认证活动中出现的问题及违法违规行为依法依规进行处罚，并及时将相应的建材产品从绿色建材采信应用数据库中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5</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市财政局</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负责为全市绿色建筑推广应用工作提供必要的经费保障，并贯彻落实国家、省对绿色建筑的财税扶持政策。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6</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市人力资源和社会保障局</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负责配合住建部门组织开展“建筑工匠”等培训项目，负责将符合条件并考取相应证书的劳动者予以纳入补贴范畴。负责配合住建部门组织开展绿色建筑职业技能竞赛和表彰工作</w:t>
            </w:r>
            <w:r>
              <w:rPr>
                <w:rFonts w:ascii="Times New Roman" w:hAnsi="Times New Roman" w:eastAsia="仿宋_GB2312"/>
                <w:sz w:val="28"/>
                <w:szCs w:val="28"/>
              </w:rPr>
              <w:t>；协助行业内设计、施工、监理等专业技术人才进行评定；加强引进绿色建筑专业人才并落实相关的人才优惠政策。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7</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市自然资源局</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将绿色建筑专项规划纳入相关规划或指导文件中，并将发展绿色建筑相关要求落实到用地规划设计条件、建设工程规划许可等各环节；协助住建部门制定绿色建筑年度计划和目标任务，提供区域规划意见；应按照住建部门意见将绿色建筑面积比例等相关要求纳入规划条件、供地方案，落实到土地出让合同或划拨决定书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8</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市城市管理和综合执法局</w:t>
            </w:r>
          </w:p>
        </w:tc>
        <w:tc>
          <w:tcPr>
            <w:tcW w:w="8080" w:type="dxa"/>
            <w:vAlign w:val="center"/>
          </w:tcPr>
          <w:p>
            <w:pPr>
              <w:adjustRightInd w:val="0"/>
              <w:snapToGrid w:val="0"/>
              <w:spacing w:line="320" w:lineRule="exact"/>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rPr>
              <w:t>负责按照绿色建筑规范条款核准城市绿色建筑垃圾处置（收纳、排放）；负责指导全市城乡生活垃圾管理工作；负责市级环卫设施工程项目的建设和竣工验收工作；指导、监督全市市容环境卫生、生活垃圾及绿色建筑垃圾分类处理设施建设；负责在绿色建筑建筑物、相关设施上悬挂、张贴相应标识及宣传品的审批工作</w:t>
            </w:r>
            <w:r>
              <w:rPr>
                <w:rFonts w:hint="eastAsia" w:ascii="Times New Roman" w:hAnsi="Times New Roman"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9</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市生态环境局</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负责协同推进绿色建筑发展，指导绿色建筑相关产品</w:t>
            </w:r>
            <w:r>
              <w:rPr>
                <w:rFonts w:hint="eastAsia" w:ascii="Times New Roman" w:hAnsi="Times New Roman" w:eastAsia="仿宋_GB2312"/>
                <w:sz w:val="28"/>
                <w:szCs w:val="28"/>
              </w:rPr>
              <w:t>的</w:t>
            </w:r>
            <w:r>
              <w:rPr>
                <w:rFonts w:ascii="Times New Roman" w:hAnsi="Times New Roman" w:eastAsia="仿宋_GB2312"/>
                <w:sz w:val="28"/>
                <w:szCs w:val="28"/>
              </w:rPr>
              <w:t>生产企业落实相关环保制度和污染防治措施，协助办理绿色建筑项目的环评工作，会同市政府指定的相关部门，按照国家、省的有关规定，执行相应的环保责任追究和环境损害赔偿制度。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10</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市交通运输局</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负责为绿色建筑相关产品</w:t>
            </w:r>
            <w:r>
              <w:rPr>
                <w:rFonts w:hint="eastAsia" w:ascii="Times New Roman" w:hAnsi="Times New Roman" w:eastAsia="仿宋_GB2312"/>
                <w:sz w:val="28"/>
                <w:szCs w:val="28"/>
              </w:rPr>
              <w:t>的</w:t>
            </w:r>
            <w:r>
              <w:rPr>
                <w:rFonts w:ascii="Times New Roman" w:hAnsi="Times New Roman" w:eastAsia="仿宋_GB2312"/>
                <w:sz w:val="28"/>
                <w:szCs w:val="28"/>
              </w:rPr>
              <w:t>运输提供便利，在符合路桥限载、限高等要求的情况下，协调制定大（重）型运输车辆通行的相关指引，协调对大型预制构件运输计划进行审批。统筹协调涉及公路通行的不可解体的装配式建筑大型预制构件的跨区运输，指导各区交通运输管理部门落实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11</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市市场监督管理局（市知识产权局）</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做好绿色建筑相关企业的注册登记工作，对申请材料齐全并符合法定形式的绿色建筑企业，建立审批绿色通道；支持绿色建筑相关生产企业申报和获取专利，加强对绿色建筑相关知识产权的保护工作，落实知识产权优惠；配合住建部门做好对绿色建筑相关产品质量监督以及绿色建筑关键技术标准的引进、贯彻和执行等工作</w:t>
            </w:r>
            <w:r>
              <w:rPr>
                <w:rFonts w:hint="eastAsia" w:ascii="Times New Roman" w:hAnsi="Times New Roman" w:eastAsia="仿宋_GB2312"/>
                <w:sz w:val="28"/>
                <w:szCs w:val="28"/>
              </w:rPr>
              <w:t>；应开展多种形式的绿色建材产品宣传活动，加强对绿色建材产品标准、认证、标识相关政策的解读，提高全社会对绿色建材产品认证的认知度。加强协调</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积极引导建材生产企业参与绿色建材产品认证，促进建材工业提质升级。引导消费者科学选材，强化公众绿色生产和消费理念，推动消费者选用获得认证的绿色建材产品。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2</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国家税务总局汕头市税务局</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负责支持绿色建筑发展，对通过认定为高新技术的企业并符合优惠条件的绿色建筑相关产品生产企业落实相关高新技术企业税收减免优惠。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13</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中国人民银行汕头市</w:t>
            </w:r>
          </w:p>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中心支行</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负责引导金融机构按照依法合规、风险可控、商业可持续的原则，为绿色建筑项目、生产基地建设、绿色建筑相关产品的生产以及绿色</w:t>
            </w:r>
            <w:r>
              <w:rPr>
                <w:rFonts w:hint="eastAsia" w:ascii="Times New Roman" w:hAnsi="Times New Roman" w:eastAsia="仿宋_GB2312"/>
                <w:sz w:val="28"/>
                <w:szCs w:val="28"/>
              </w:rPr>
              <w:t>建筑</w:t>
            </w:r>
            <w:r>
              <w:rPr>
                <w:rFonts w:ascii="Times New Roman" w:hAnsi="Times New Roman" w:eastAsia="仿宋_GB2312"/>
                <w:sz w:val="28"/>
                <w:szCs w:val="28"/>
              </w:rPr>
              <w:t>商品房购买等环节提供多元化的资金支持。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92"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14</w:t>
            </w:r>
          </w:p>
        </w:tc>
        <w:tc>
          <w:tcPr>
            <w:tcW w:w="2127" w:type="dxa"/>
            <w:vAlign w:val="center"/>
          </w:tcPr>
          <w:p>
            <w:pPr>
              <w:adjustRightInd w:val="0"/>
              <w:snapToGrid w:val="0"/>
              <w:spacing w:line="320" w:lineRule="exact"/>
              <w:jc w:val="center"/>
              <w:rPr>
                <w:rFonts w:ascii="Times New Roman" w:hAnsi="Times New Roman" w:eastAsia="仿宋_GB2312"/>
                <w:sz w:val="28"/>
                <w:szCs w:val="28"/>
              </w:rPr>
            </w:pPr>
            <w:r>
              <w:rPr>
                <w:rFonts w:ascii="Times New Roman" w:hAnsi="Times New Roman" w:eastAsia="仿宋_GB2312"/>
                <w:sz w:val="28"/>
                <w:szCs w:val="28"/>
              </w:rPr>
              <w:t>市住房公积金管理中心</w:t>
            </w:r>
          </w:p>
        </w:tc>
        <w:tc>
          <w:tcPr>
            <w:tcW w:w="8080" w:type="dxa"/>
            <w:vAlign w:val="center"/>
          </w:tcPr>
          <w:p>
            <w:pPr>
              <w:adjustRightInd w:val="0"/>
              <w:snapToGrid w:val="0"/>
              <w:spacing w:line="3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负责在公积金个人住房贷款优先发放等方面给予扶持工作，从而引导与激励消费者购买绿色住宅。</w:t>
            </w:r>
          </w:p>
        </w:tc>
      </w:tr>
    </w:tbl>
    <w:p>
      <w:pPr>
        <w:widowControl/>
        <w:jc w:val="left"/>
        <w:rPr>
          <w:rFonts w:ascii="Times New Roman" w:hAnsi="Times New Roman"/>
          <w:b/>
          <w:bCs/>
          <w:kern w:val="28"/>
          <w:sz w:val="28"/>
          <w:szCs w:val="28"/>
          <w:lang w:bidi="ar"/>
        </w:rPr>
      </w:pPr>
      <w:bookmarkStart w:id="104" w:name="_Toc58405054"/>
      <w:bookmarkStart w:id="105" w:name="_Toc57238427"/>
    </w:p>
    <w:p>
      <w:pPr>
        <w:pStyle w:val="13"/>
        <w:jc w:val="left"/>
        <w:rPr>
          <w:rFonts w:ascii="Times New Roman" w:hAnsi="Times New Roman"/>
          <w:sz w:val="28"/>
          <w:szCs w:val="28"/>
          <w:lang w:bidi="ar"/>
        </w:rPr>
      </w:pPr>
      <w:r>
        <w:rPr>
          <w:rFonts w:ascii="Times New Roman" w:hAnsi="Times New Roman"/>
          <w:sz w:val="28"/>
          <w:szCs w:val="28"/>
          <w:lang w:bidi="ar"/>
        </w:rPr>
        <w:t>3.5</w:t>
      </w:r>
      <w:r>
        <w:rPr>
          <w:rFonts w:hint="eastAsia" w:ascii="Times New Roman" w:hAnsi="Times New Roman"/>
          <w:sz w:val="28"/>
          <w:szCs w:val="28"/>
          <w:lang w:bidi="ar"/>
        </w:rPr>
        <w:t>.2完善监督机制，促进绿色建筑量质齐升</w:t>
      </w:r>
      <w:bookmarkEnd w:id="104"/>
      <w:bookmarkEnd w:id="105"/>
    </w:p>
    <w:p>
      <w:pPr>
        <w:keepNext w:val="0"/>
        <w:keepLines w:val="0"/>
        <w:pageBreakBefore w:val="0"/>
        <w:widowControl/>
        <w:kinsoku/>
        <w:wordWrap/>
        <w:overflowPunct/>
        <w:topLinePunct w:val="0"/>
        <w:autoSpaceDE/>
        <w:autoSpaceDN/>
        <w:bidi w:val="0"/>
        <w:adjustRightInd/>
        <w:snapToGrid/>
        <w:spacing w:before="240"/>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建立“政府组织、社会参与、部门负责、区域联动”的工作机制，建立工作联席制度，定期召开会议，专题研究与交流。同时，完善信用管理体系，落实项目规划、设计、施工、监理等参建各方的主体责任，建立健全信用评价和奖惩机制，推进诚信体系建设，强化信用约束机制。在土地出让环节，市人民政府自然资源主管部门应当将绿色建筑发展专项规划相关内容纳入控制性详细规划，并根据控制性详细规划在建设用地规划条件中明确绿色建筑等级要求。</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国有建设用地使用权出让合同或者国有土地划拨决定书，以及建设工程规划许可证中应当注明绿色建筑等级要求。项目竣工验收后，建设主管部门组织针对高星级绿色建筑合规抽验，对不符合要求的项目应当按照国家和省有关规定进行处理并公布相关情况。</w:t>
      </w:r>
    </w:p>
    <w:p>
      <w:pPr>
        <w:pStyle w:val="13"/>
        <w:jc w:val="left"/>
        <w:rPr>
          <w:rFonts w:ascii="仿宋" w:hAnsi="仿宋" w:eastAsia="仿宋" w:cs="仿宋"/>
          <w:color w:val="000000"/>
          <w:kern w:val="0"/>
          <w:sz w:val="28"/>
          <w:szCs w:val="28"/>
          <w:lang w:bidi="ar"/>
        </w:rPr>
      </w:pPr>
      <w:bookmarkStart w:id="106" w:name="_Toc57238428"/>
      <w:bookmarkStart w:id="107" w:name="_Toc58405055"/>
      <w:r>
        <w:rPr>
          <w:rFonts w:ascii="Times New Roman" w:hAnsi="Times New Roman"/>
          <w:sz w:val="28"/>
          <w:szCs w:val="28"/>
          <w:lang w:bidi="ar"/>
        </w:rPr>
        <w:t>3.5</w:t>
      </w:r>
      <w:r>
        <w:rPr>
          <w:rFonts w:hint="eastAsia" w:ascii="Times New Roman" w:hAnsi="Times New Roman"/>
          <w:sz w:val="28"/>
          <w:szCs w:val="28"/>
          <w:lang w:bidi="ar"/>
        </w:rPr>
        <w:t>.3加大绿色建筑奖补力度，激发建设积极性</w:t>
      </w:r>
      <w:bookmarkEnd w:id="106"/>
      <w:bookmarkEnd w:id="107"/>
      <w:r>
        <w:rPr>
          <w:rFonts w:hint="eastAsia" w:ascii="仿宋" w:hAnsi="仿宋" w:eastAsia="仿宋" w:cs="仿宋"/>
          <w:color w:val="000000"/>
          <w:kern w:val="0"/>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before="240"/>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积极争取国家、省级财政资金支持绿色建筑发展工作，加大绿色建筑发展财政投入和奖补力度，大力支持绿色建筑发展，重点应用于绿色建筑技术咨询、检测以及评估服务、相关产品技术研发与推广、新型建筑工业化、绿色建筑相关标准制定、合同能源管理、分布式能源建筑应用、可再生能源建筑应用、既有民用建筑改造和监管信息系统建设等项目示范、绿色建筑区域示范以及绿色建筑宣传培训和公共信息服务。进一步研究制定、完善和落实关于绿色建筑领域各项工作开展的扶持和激励政策。从绿色建筑建设的全过程出发，制定激励政策，引导并激励更多社会资本投入绿色建筑的发展，强化市场主体因素，发挥市场和政府双轮驱动作用，形成以市场为主导，政府为辅助的绿色建筑发展机制，促进绿色建筑高质量发展。</w:t>
      </w:r>
    </w:p>
    <w:p>
      <w:pPr>
        <w:pStyle w:val="13"/>
        <w:jc w:val="left"/>
        <w:rPr>
          <w:rFonts w:ascii="Times New Roman" w:hAnsi="Times New Roman"/>
          <w:sz w:val="28"/>
          <w:szCs w:val="28"/>
          <w:lang w:bidi="ar"/>
        </w:rPr>
      </w:pPr>
      <w:bookmarkStart w:id="108" w:name="_Toc58405056"/>
      <w:bookmarkStart w:id="109" w:name="_Toc57238429"/>
      <w:r>
        <w:rPr>
          <w:rFonts w:ascii="Times New Roman" w:hAnsi="Times New Roman"/>
          <w:sz w:val="28"/>
          <w:szCs w:val="28"/>
          <w:lang w:bidi="ar"/>
        </w:rPr>
        <w:t>3.5</w:t>
      </w:r>
      <w:r>
        <w:rPr>
          <w:rFonts w:hint="eastAsia" w:ascii="Times New Roman" w:hAnsi="Times New Roman"/>
          <w:sz w:val="28"/>
          <w:szCs w:val="28"/>
          <w:lang w:bidi="ar"/>
        </w:rPr>
        <w:t>.4健全法律法规标准配套，强化过程监管</w:t>
      </w:r>
      <w:bookmarkEnd w:id="108"/>
      <w:bookmarkEnd w:id="109"/>
      <w:r>
        <w:rPr>
          <w:rFonts w:hint="eastAsia" w:ascii="Times New Roman" w:hAnsi="Times New Roman"/>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before="240"/>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加强推进绿色建筑方面的制度建设，逐步完善相关的法规体系。加快推进绿色建筑标准体系建设。制定相关实施细则，建立健全建筑能耗统计体系。自然资源部门应在项目审批过程中加强规划审查和土地出让监管，在土地出让、项目规划中应严格落实绿色建筑指标体系要求。住房城乡建设主管部门应将绿色建筑相关要求作为设计审查内容，并在项目施工建设全过程建立绿色建筑的监督机制，确保项目建设达到设计要求。</w:t>
      </w:r>
    </w:p>
    <w:p>
      <w:pPr>
        <w:pStyle w:val="13"/>
        <w:spacing w:after="0"/>
        <w:jc w:val="left"/>
        <w:rPr>
          <w:rFonts w:ascii="Times New Roman" w:hAnsi="Times New Roman"/>
          <w:sz w:val="28"/>
          <w:szCs w:val="28"/>
          <w:lang w:bidi="ar"/>
        </w:rPr>
      </w:pPr>
      <w:bookmarkStart w:id="110" w:name="_Toc57238430"/>
      <w:bookmarkStart w:id="111" w:name="_Toc58405057"/>
      <w:r>
        <w:rPr>
          <w:rFonts w:ascii="Times New Roman" w:hAnsi="Times New Roman"/>
          <w:sz w:val="28"/>
          <w:szCs w:val="28"/>
          <w:lang w:bidi="ar"/>
        </w:rPr>
        <w:t>3.5</w:t>
      </w:r>
      <w:r>
        <w:rPr>
          <w:rFonts w:hint="eastAsia" w:ascii="Times New Roman" w:hAnsi="Times New Roman"/>
          <w:sz w:val="28"/>
          <w:szCs w:val="28"/>
          <w:lang w:bidi="ar"/>
        </w:rPr>
        <w:t>.5加强技术交流专业培训，提升专业水准</w:t>
      </w:r>
      <w:bookmarkEnd w:id="110"/>
      <w:bookmarkEnd w:id="111"/>
      <w:r>
        <w:rPr>
          <w:rFonts w:hint="eastAsia" w:ascii="Times New Roman" w:hAnsi="Times New Roman"/>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before="240"/>
        <w:ind w:firstLine="560" w:firstLineChars="200"/>
        <w:jc w:val="left"/>
        <w:textAlignment w:val="auto"/>
        <w:rPr>
          <w:rFonts w:ascii="Times New Roman" w:hAnsi="Times New Roman"/>
          <w:b/>
          <w:bCs/>
          <w:kern w:val="28"/>
          <w:sz w:val="28"/>
          <w:szCs w:val="28"/>
          <w:lang w:bidi="ar"/>
        </w:rPr>
      </w:pPr>
      <w:r>
        <w:rPr>
          <w:rFonts w:hint="eastAsia" w:ascii="仿宋" w:hAnsi="仿宋" w:eastAsia="仿宋" w:cs="仿宋"/>
          <w:color w:val="000000"/>
          <w:kern w:val="0"/>
          <w:sz w:val="28"/>
          <w:szCs w:val="28"/>
          <w:lang w:bidi="ar"/>
        </w:rPr>
        <w:t xml:space="preserve">建立绿色建筑技术培训机制，确定一批专业、权威的培训机构，定期开展相关技术、技能的培训和交流，加强相关人员与专家队伍的建设，提升相关人员、部门、企业的技术水准，确保绿色建筑推进工作取得实效。鼓励和支持企业、高等院校、研发机构研究开发新技术、新工艺、新材料和新设备，加快成果转化和推广使用；鼓励、支持发展绿色建筑技术服务产业，建立绿色建筑技术服务质量监管制度。各级政府主管部门应积极挖掘、组织社会资源和力量，促进绿色建筑技术进步与创新，大力提升绿色建筑的专业水准。 </w:t>
      </w:r>
      <w:bookmarkStart w:id="112" w:name="_Toc57238431"/>
      <w:bookmarkStart w:id="113" w:name="_Toc58405058"/>
    </w:p>
    <w:p>
      <w:pPr>
        <w:pStyle w:val="13"/>
        <w:spacing w:after="0"/>
        <w:jc w:val="left"/>
        <w:rPr>
          <w:rFonts w:ascii="Times New Roman" w:hAnsi="Times New Roman"/>
          <w:sz w:val="28"/>
          <w:szCs w:val="28"/>
          <w:lang w:bidi="ar"/>
        </w:rPr>
      </w:pPr>
      <w:r>
        <w:rPr>
          <w:rFonts w:ascii="Times New Roman" w:hAnsi="Times New Roman"/>
          <w:sz w:val="28"/>
          <w:szCs w:val="28"/>
          <w:lang w:bidi="ar"/>
        </w:rPr>
        <w:t>3.5</w:t>
      </w:r>
      <w:r>
        <w:rPr>
          <w:rFonts w:hint="eastAsia" w:ascii="Times New Roman" w:hAnsi="Times New Roman"/>
          <w:sz w:val="28"/>
          <w:szCs w:val="28"/>
          <w:lang w:bidi="ar"/>
        </w:rPr>
        <w:t>.6加强产业联合部门联动，形成合力互推共进</w:t>
      </w:r>
      <w:bookmarkEnd w:id="112"/>
      <w:bookmarkEnd w:id="113"/>
      <w:r>
        <w:rPr>
          <w:rFonts w:hint="eastAsia" w:ascii="Times New Roman" w:hAnsi="Times New Roman"/>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before="240"/>
        <w:ind w:firstLine="560" w:firstLineChars="200"/>
        <w:jc w:val="left"/>
        <w:textAlignment w:val="auto"/>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由住房城乡建设主管部门负责发展绿色建筑的指导和监督管理工作，发展和改革、科技、经济和信息化、自然资源、生态环境、城市管理和综合执法、市场监督管理、交通运输、财政、税务等相关部门按照各自职责，共同开展绿色建筑相关工作；加大各部门间的协调力度，统筹指导全市绿色建筑推进工作，制定相关实施细则，并形成长效机制，以此推动绿色建筑的全面发展。</w:t>
      </w:r>
    </w:p>
    <w:p>
      <w:pPr>
        <w:keepNext w:val="0"/>
        <w:keepLines w:val="0"/>
        <w:pageBreakBefore w:val="0"/>
        <w:widowControl/>
        <w:kinsoku/>
        <w:wordWrap/>
        <w:overflowPunct/>
        <w:topLinePunct w:val="0"/>
        <w:autoSpaceDE/>
        <w:autoSpaceDN/>
        <w:bidi w:val="0"/>
        <w:adjustRightInd/>
        <w:snapToGrid/>
        <w:spacing w:before="240"/>
        <w:ind w:firstLine="560" w:firstLineChars="200"/>
        <w:jc w:val="left"/>
        <w:textAlignment w:val="auto"/>
        <w:rPr>
          <w:rFonts w:hint="eastAsia" w:ascii="仿宋" w:hAnsi="仿宋" w:eastAsia="仿宋" w:cs="仿宋"/>
          <w:color w:val="000000"/>
          <w:kern w:val="0"/>
          <w:sz w:val="28"/>
          <w:szCs w:val="28"/>
          <w:lang w:bidi="ar"/>
        </w:rPr>
      </w:pPr>
    </w:p>
    <w:p>
      <w:pPr>
        <w:pStyle w:val="13"/>
        <w:spacing w:after="0"/>
        <w:jc w:val="left"/>
        <w:rPr>
          <w:rFonts w:ascii="Times New Roman" w:hAnsi="Times New Roman"/>
          <w:sz w:val="28"/>
          <w:szCs w:val="28"/>
          <w:lang w:bidi="ar"/>
        </w:rPr>
      </w:pPr>
      <w:bookmarkStart w:id="114" w:name="_Toc57238432"/>
      <w:bookmarkStart w:id="115" w:name="_Toc58405059"/>
      <w:r>
        <w:rPr>
          <w:rFonts w:ascii="Times New Roman" w:hAnsi="Times New Roman"/>
          <w:sz w:val="28"/>
          <w:szCs w:val="28"/>
          <w:lang w:bidi="ar"/>
        </w:rPr>
        <w:t>3.5</w:t>
      </w:r>
      <w:r>
        <w:rPr>
          <w:rFonts w:hint="eastAsia" w:ascii="Times New Roman" w:hAnsi="Times New Roman"/>
          <w:sz w:val="28"/>
          <w:szCs w:val="28"/>
          <w:lang w:bidi="ar"/>
        </w:rPr>
        <w:t>.7开展宣传培训，形成社会共识</w:t>
      </w:r>
      <w:bookmarkEnd w:id="114"/>
      <w:bookmarkEnd w:id="115"/>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结合国家发展改革委关于印发《绿色生活创建行动总体方案》的通知要求，积极开展节约型机关、绿色家庭、绿色学校、绿色社区、绿色商场、绿色建筑等的宣传和创建行动，提高群众对绿色建筑和绿色生活的体验感、参与感。充分利用节能宣传周等开展面向市民的绿色建筑宣传活动，提高市民“绿色”意识。通过媒体、网络等途径，加大绿色建筑相关标准、政策的宣传力度，普及绿色发展理念。积极举办绿色建筑相关的展览展会，积极展示汕头市绿色建筑建设成果，充分发挥示范牵引作用，增强全社会对绿色建筑的认识及信心，逐步形成绿色建筑发展需求市场，推动此项工作顺利发展。</w:t>
      </w:r>
      <w:bookmarkStart w:id="116" w:name="_Toc57238433"/>
      <w:bookmarkStart w:id="117" w:name="_Toc58405060"/>
    </w:p>
    <w:p>
      <w:pPr>
        <w:pStyle w:val="15"/>
        <w:spacing w:after="0"/>
        <w:jc w:val="left"/>
        <w:rPr>
          <w:rFonts w:ascii="Times New Roman" w:hAnsi="Times New Roman"/>
          <w:lang w:bidi="ar"/>
        </w:rPr>
      </w:pPr>
      <w:r>
        <w:rPr>
          <w:rFonts w:hint="eastAsia" w:ascii="Times New Roman" w:hAnsi="Times New Roman"/>
          <w:lang w:bidi="ar"/>
        </w:rPr>
        <w:t>3</w:t>
      </w:r>
      <w:r>
        <w:rPr>
          <w:rFonts w:ascii="Times New Roman" w:hAnsi="Times New Roman"/>
          <w:lang w:bidi="ar"/>
        </w:rPr>
        <w:t>.6</w:t>
      </w:r>
      <w:r>
        <w:rPr>
          <w:rFonts w:hint="eastAsia" w:ascii="Times New Roman" w:hAnsi="Times New Roman"/>
          <w:lang w:bidi="ar"/>
        </w:rPr>
        <w:t>绿色建筑奖励措施</w:t>
      </w:r>
      <w:bookmarkEnd w:id="116"/>
      <w:bookmarkEnd w:id="117"/>
    </w:p>
    <w:p>
      <w:pPr>
        <w:pStyle w:val="13"/>
        <w:spacing w:after="0" w:line="240" w:lineRule="auto"/>
        <w:jc w:val="left"/>
        <w:rPr>
          <w:rFonts w:ascii="Times New Roman" w:hAnsi="Times New Roman"/>
          <w:sz w:val="28"/>
          <w:szCs w:val="28"/>
          <w:vertAlign w:val="superscript"/>
          <w:lang w:bidi="ar"/>
        </w:rPr>
      </w:pPr>
      <w:bookmarkStart w:id="118" w:name="_Toc58405061"/>
      <w:bookmarkStart w:id="119" w:name="_Toc57238434"/>
      <w:r>
        <w:rPr>
          <w:rFonts w:hint="eastAsia" w:ascii="Times New Roman" w:hAnsi="Times New Roman"/>
          <w:sz w:val="28"/>
          <w:szCs w:val="28"/>
          <w:lang w:bidi="ar"/>
        </w:rPr>
        <w:t>3.</w:t>
      </w:r>
      <w:r>
        <w:rPr>
          <w:rFonts w:ascii="Times New Roman" w:hAnsi="Times New Roman"/>
          <w:sz w:val="28"/>
          <w:szCs w:val="28"/>
          <w:lang w:bidi="ar"/>
        </w:rPr>
        <w:t>6</w:t>
      </w:r>
      <w:r>
        <w:rPr>
          <w:rFonts w:hint="eastAsia" w:ascii="Times New Roman" w:hAnsi="Times New Roman"/>
          <w:sz w:val="28"/>
          <w:szCs w:val="28"/>
          <w:lang w:bidi="ar"/>
        </w:rPr>
        <w:t>.1政府财政</w:t>
      </w:r>
      <w:bookmarkEnd w:id="118"/>
      <w:bookmarkEnd w:id="119"/>
      <w:r>
        <w:rPr>
          <w:rFonts w:hint="eastAsia" w:ascii="Times New Roman" w:hAnsi="Times New Roman"/>
          <w:sz w:val="28"/>
          <w:szCs w:val="28"/>
          <w:lang w:bidi="ar"/>
        </w:rPr>
        <w:t>支持</w:t>
      </w:r>
    </w:p>
    <w:p>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① 绿色建筑标识项目奖励</w:t>
      </w:r>
    </w:p>
    <w:p>
      <w:pPr>
        <w:keepNext w:val="0"/>
        <w:keepLines w:val="0"/>
        <w:pageBreakBefore w:val="0"/>
        <w:widowControl w:val="0"/>
        <w:kinsoku/>
        <w:wordWrap/>
        <w:overflowPunct/>
        <w:topLinePunct w:val="0"/>
        <w:autoSpaceDE/>
        <w:autoSpaceDN/>
        <w:bidi w:val="0"/>
        <w:adjustRightInd/>
        <w:snapToGrid/>
        <w:ind w:right="-141" w:rightChars="-67"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在国家、省奖励资金的基础上，</w:t>
      </w:r>
      <w:r>
        <w:rPr>
          <w:rFonts w:hint="eastAsia" w:ascii="仿宋" w:hAnsi="仿宋" w:eastAsia="仿宋" w:cs="仿宋"/>
          <w:color w:val="000000"/>
          <w:kern w:val="0"/>
          <w:sz w:val="28"/>
          <w:szCs w:val="28"/>
          <w:lang w:eastAsia="zh-CN" w:bidi="ar"/>
        </w:rPr>
        <w:t>可以</w:t>
      </w:r>
      <w:r>
        <w:rPr>
          <w:rFonts w:hint="eastAsia" w:ascii="仿宋" w:hAnsi="仿宋" w:eastAsia="仿宋" w:cs="仿宋"/>
          <w:color w:val="000000"/>
          <w:kern w:val="0"/>
          <w:sz w:val="28"/>
          <w:szCs w:val="28"/>
          <w:lang w:bidi="ar"/>
        </w:rPr>
        <w:t xml:space="preserve">对取得绿色建筑标识项目给予奖励资金，具体奖励金额由各级财政视财力许可进行确定，并根据技术进步、成本变化等情况适时调整。 </w:t>
      </w:r>
    </w:p>
    <w:p>
      <w:pPr>
        <w:keepNext w:val="0"/>
        <w:keepLines w:val="0"/>
        <w:pageBreakBefore w:val="0"/>
        <w:widowControl w:val="0"/>
        <w:kinsoku/>
        <w:wordWrap/>
        <w:overflowPunct/>
        <w:topLinePunct w:val="0"/>
        <w:autoSpaceDE/>
        <w:autoSpaceDN/>
        <w:bidi w:val="0"/>
        <w:adjustRightInd/>
        <w:snapToGrid/>
        <w:ind w:right="-141" w:rightChars="-67"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鼓励各区政府自行研究并制定本区关于绿色建筑的扶持奖励政策，加大对绿色建筑标识项目的支持力度。 </w:t>
      </w:r>
      <w:r>
        <w:rPr>
          <w:rFonts w:ascii="仿宋" w:hAnsi="仿宋" w:eastAsia="仿宋" w:cs="仿宋"/>
          <w:color w:val="000000"/>
          <w:kern w:val="0"/>
          <w:sz w:val="28"/>
          <w:szCs w:val="28"/>
          <w:lang w:bidi="ar"/>
        </w:rPr>
        <w:t xml:space="preserve">                  </w:t>
      </w:r>
    </w:p>
    <w:p>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② 相关技术研发税收减免</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鼓励和支持企业、高等院校、研发机构研究开发绿色建筑新技术、新工艺、新材料和新设备。</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在企业研究开发绿色建筑新技术、新工艺、新材料和新设备过程中发生的费用，均可以按照国家有关规定享受税前加计扣除等优惠。</w:t>
      </w:r>
    </w:p>
    <w:p>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③ 高星级项目购房者返还契税</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对购买二、三星级绿色建筑商品住房的业主给予返还契税的奖励。对购买二星级绿色建筑商品住房</w:t>
      </w:r>
      <w:r>
        <w:rPr>
          <w:rFonts w:hint="eastAsia" w:ascii="仿宋" w:hAnsi="仿宋" w:eastAsia="仿宋" w:cs="仿宋"/>
          <w:color w:val="000000"/>
          <w:kern w:val="0"/>
          <w:sz w:val="28"/>
          <w:szCs w:val="28"/>
          <w:lang w:eastAsia="zh-CN" w:bidi="ar"/>
        </w:rPr>
        <w:t>和</w:t>
      </w:r>
      <w:r>
        <w:rPr>
          <w:rFonts w:hint="eastAsia" w:ascii="仿宋" w:hAnsi="仿宋" w:eastAsia="仿宋" w:cs="仿宋"/>
          <w:color w:val="000000"/>
          <w:kern w:val="0"/>
          <w:sz w:val="28"/>
          <w:szCs w:val="28"/>
          <w:lang w:bidi="ar"/>
        </w:rPr>
        <w:t>购买三星级绿色建筑商品住房的业主给予</w:t>
      </w:r>
      <w:r>
        <w:rPr>
          <w:rFonts w:hint="eastAsia" w:ascii="仿宋" w:hAnsi="仿宋" w:eastAsia="仿宋" w:cs="仿宋"/>
          <w:color w:val="000000"/>
          <w:kern w:val="0"/>
          <w:sz w:val="28"/>
          <w:szCs w:val="28"/>
          <w:lang w:eastAsia="zh-CN" w:bidi="ar"/>
        </w:rPr>
        <w:t>差别化</w:t>
      </w:r>
      <w:r>
        <w:rPr>
          <w:rFonts w:hint="eastAsia" w:ascii="仿宋" w:hAnsi="仿宋" w:eastAsia="仿宋" w:cs="仿宋"/>
          <w:color w:val="000000"/>
          <w:kern w:val="0"/>
          <w:sz w:val="28"/>
          <w:szCs w:val="28"/>
          <w:lang w:bidi="ar"/>
        </w:rPr>
        <w:t>契税的奖励，契税奖励实行先征后奖原则。</w:t>
      </w:r>
    </w:p>
    <w:p>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④ 工程评优推荐</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对采用高等级标准建设或者采用装配式全装修</w:t>
      </w:r>
      <w:r>
        <w:rPr>
          <w:rFonts w:hint="eastAsia" w:ascii="仿宋" w:hAnsi="仿宋" w:eastAsia="仿宋" w:cs="仿宋"/>
          <w:color w:val="000000"/>
          <w:kern w:val="0"/>
          <w:sz w:val="28"/>
          <w:szCs w:val="28"/>
          <w:vertAlign w:val="superscript"/>
          <w:lang w:bidi="ar"/>
        </w:rPr>
        <w:t>5</w:t>
      </w:r>
      <w:r>
        <w:rPr>
          <w:rFonts w:hint="eastAsia" w:ascii="仿宋" w:hAnsi="仿宋" w:eastAsia="仿宋" w:cs="仿宋"/>
          <w:color w:val="000000"/>
          <w:kern w:val="0"/>
          <w:sz w:val="28"/>
          <w:szCs w:val="28"/>
          <w:lang w:bidi="ar"/>
        </w:rPr>
        <w:t>方式建造的项目，可以在各类建筑工程奖项的评审中进行优先推荐。</w:t>
      </w:r>
    </w:p>
    <w:p>
      <w:pPr>
        <w:pStyle w:val="13"/>
        <w:spacing w:before="0" w:line="720" w:lineRule="auto"/>
        <w:jc w:val="left"/>
        <w:rPr>
          <w:rFonts w:ascii="Times New Roman" w:hAnsi="Times New Roman"/>
          <w:sz w:val="28"/>
          <w:szCs w:val="28"/>
          <w:vertAlign w:val="superscript"/>
          <w:lang w:bidi="ar"/>
        </w:rPr>
      </w:pPr>
      <w:bookmarkStart w:id="120" w:name="_Toc57238435"/>
      <w:bookmarkStart w:id="121" w:name="_Toc58405062"/>
      <w:r>
        <w:rPr>
          <w:rFonts w:hint="eastAsia" w:ascii="Times New Roman" w:hAnsi="Times New Roman"/>
          <w:sz w:val="28"/>
          <w:szCs w:val="28"/>
          <w:lang w:bidi="ar"/>
        </w:rPr>
        <w:t>3.</w:t>
      </w:r>
      <w:r>
        <w:rPr>
          <w:rFonts w:ascii="Times New Roman" w:hAnsi="Times New Roman"/>
          <w:sz w:val="28"/>
          <w:szCs w:val="28"/>
          <w:lang w:bidi="ar"/>
        </w:rPr>
        <w:t>6</w:t>
      </w:r>
      <w:r>
        <w:rPr>
          <w:rFonts w:hint="eastAsia" w:ascii="Times New Roman" w:hAnsi="Times New Roman"/>
          <w:sz w:val="28"/>
          <w:szCs w:val="28"/>
          <w:lang w:bidi="ar"/>
        </w:rPr>
        <w:t>.2</w:t>
      </w:r>
      <w:bookmarkStart w:id="122" w:name="_Hlk57275697"/>
      <w:r>
        <w:rPr>
          <w:rFonts w:hint="eastAsia" w:ascii="Times New Roman" w:hAnsi="Times New Roman"/>
          <w:sz w:val="28"/>
          <w:szCs w:val="28"/>
          <w:lang w:bidi="ar"/>
        </w:rPr>
        <w:t>银行优惠策略</w:t>
      </w:r>
      <w:bookmarkEnd w:id="120"/>
      <w:bookmarkEnd w:id="121"/>
      <w:bookmarkEnd w:id="122"/>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①</w:t>
      </w:r>
      <w:r>
        <w:rPr>
          <w:rFonts w:hint="eastAsia" w:ascii="仿宋" w:hAnsi="仿宋" w:eastAsia="仿宋" w:cs="仿宋"/>
          <w:b/>
          <w:bCs/>
          <w:color w:val="000000"/>
          <w:kern w:val="0"/>
          <w:sz w:val="28"/>
          <w:szCs w:val="28"/>
          <w:lang w:val="en-US" w:eastAsia="zh-CN" w:bidi="ar"/>
        </w:rPr>
        <w:t xml:space="preserve"> </w:t>
      </w:r>
      <w:r>
        <w:rPr>
          <w:rFonts w:hint="eastAsia" w:ascii="仿宋" w:hAnsi="仿宋" w:eastAsia="仿宋" w:cs="仿宋"/>
          <w:b/>
          <w:bCs/>
          <w:color w:val="000000"/>
          <w:kern w:val="0"/>
          <w:sz w:val="28"/>
          <w:szCs w:val="28"/>
          <w:lang w:bidi="ar"/>
        </w:rPr>
        <w:t>绿色建筑购房者补贴措施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对于使用住房公积金贷款购买一星级或以上绿色建筑自住住房的，贷款额度可以按照不超过</w:t>
      </w:r>
      <w:r>
        <w:rPr>
          <w:rFonts w:hint="eastAsia" w:ascii="仿宋" w:hAnsi="仿宋" w:eastAsia="仿宋" w:cs="仿宋"/>
          <w:color w:val="000000"/>
          <w:kern w:val="0"/>
          <w:sz w:val="28"/>
          <w:szCs w:val="28"/>
          <w:lang w:eastAsia="zh-CN" w:bidi="ar"/>
        </w:rPr>
        <w:t>地方规定</w:t>
      </w:r>
      <w:r>
        <w:rPr>
          <w:rFonts w:hint="eastAsia" w:ascii="仿宋" w:hAnsi="仿宋" w:eastAsia="仿宋" w:cs="仿宋"/>
          <w:color w:val="000000"/>
          <w:kern w:val="0"/>
          <w:sz w:val="28"/>
          <w:szCs w:val="28"/>
          <w:lang w:bidi="ar"/>
        </w:rPr>
        <w:t>比例上浮。</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②</w:t>
      </w:r>
      <w:r>
        <w:rPr>
          <w:rFonts w:hint="eastAsia" w:ascii="仿宋" w:hAnsi="仿宋" w:eastAsia="仿宋" w:cs="仿宋"/>
          <w:b/>
          <w:bCs/>
          <w:color w:val="000000"/>
          <w:kern w:val="0"/>
          <w:sz w:val="28"/>
          <w:szCs w:val="28"/>
          <w:lang w:val="en-US" w:eastAsia="zh-CN" w:bidi="ar"/>
        </w:rPr>
        <w:t xml:space="preserve"> </w:t>
      </w:r>
      <w:r>
        <w:rPr>
          <w:rFonts w:hint="eastAsia" w:ascii="仿宋" w:hAnsi="仿宋" w:eastAsia="仿宋" w:cs="仿宋"/>
          <w:b/>
          <w:bCs/>
          <w:color w:val="000000"/>
          <w:kern w:val="0"/>
          <w:sz w:val="28"/>
          <w:szCs w:val="28"/>
          <w:lang w:bidi="ar"/>
        </w:rPr>
        <w:t>推出绿色建筑领域的金融产品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如提供低息高抵押率的信贷、绿色融资担保基金、发行绿色债券等；鼓励开展基于绿色建筑的资产证券化业务；政府可尝试建立建筑领域绿色发展基金；为绿色建筑购买者提供绿色低息按揭贷款，降低首付比例等服务；探索合同能源管理未来收益权及碳排放权交易市场；发展绿色保险等其他金融产品，发挥保险产品的信用保障与风险控制作用，形成与信贷、债券等金融产品的联动机制。</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③ 完善支持</w:t>
      </w:r>
      <w:r>
        <w:rPr>
          <w:rFonts w:hint="eastAsia" w:ascii="仿宋" w:hAnsi="仿宋" w:eastAsia="仿宋" w:cs="仿宋"/>
          <w:b/>
          <w:bCs/>
          <w:color w:val="000000"/>
          <w:kern w:val="0"/>
          <w:sz w:val="28"/>
          <w:szCs w:val="28"/>
          <w:lang w:eastAsia="zh-CN" w:bidi="ar"/>
        </w:rPr>
        <w:t>绿色建筑</w:t>
      </w:r>
      <w:r>
        <w:rPr>
          <w:rFonts w:hint="eastAsia" w:ascii="仿宋" w:hAnsi="仿宋" w:eastAsia="仿宋" w:cs="仿宋"/>
          <w:b/>
          <w:bCs/>
          <w:color w:val="000000"/>
          <w:kern w:val="0"/>
          <w:sz w:val="28"/>
          <w:szCs w:val="28"/>
          <w:lang w:bidi="ar"/>
        </w:rPr>
        <w:t>发展的配套鼓励政策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人民银行探索将银行业金融机构绿色建筑信贷业务实施情况，作为宏观审慎评估（MPA）考核、再贷款再贴现等货币政策工具运用、绿色金融债券发行、对金融机构的综合评价和央行金融机构评级等方面的重要参考，形成激励约束机制；针对绿色建筑贷款，银监局在流动性比例、不良率考核、风险权重等方面给予适当的松动支持；在财政税收方面，设立绿色产业基金、绿色担保基金，科学实施财政贴息政策，对积极参与绿色建筑业务的金融机构，给予适当税收优惠。</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④</w:t>
      </w:r>
      <w:r>
        <w:rPr>
          <w:rFonts w:hint="eastAsia" w:ascii="仿宋" w:hAnsi="仿宋" w:eastAsia="仿宋" w:cs="仿宋"/>
          <w:b/>
          <w:bCs/>
          <w:color w:val="000000"/>
          <w:kern w:val="0"/>
          <w:sz w:val="28"/>
          <w:szCs w:val="28"/>
          <w:lang w:val="en-US" w:eastAsia="zh-CN" w:bidi="ar"/>
        </w:rPr>
        <w:t xml:space="preserve"> </w:t>
      </w:r>
      <w:r>
        <w:rPr>
          <w:rFonts w:hint="eastAsia" w:ascii="仿宋" w:hAnsi="仿宋" w:eastAsia="仿宋" w:cs="仿宋"/>
          <w:b/>
          <w:bCs/>
          <w:color w:val="000000"/>
          <w:kern w:val="0"/>
          <w:sz w:val="28"/>
          <w:szCs w:val="28"/>
          <w:lang w:bidi="ar"/>
        </w:rPr>
        <w:t>开展绿色金融支持绿色建筑发展试点示范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在城市试点基础上，聚焦实际项目层面，打造一批绿色金融支持建筑节能与绿色建筑项目示范。如绿色金融支持超低能耗、净零能耗建筑、绿色建筑、装配式建筑试点；绿色金融支持建筑节能或绿色化改造试点；绿色金融支持绿色生态城区开发建设试点等。</w:t>
      </w:r>
    </w:p>
    <w:p>
      <w:pPr>
        <w:pStyle w:val="13"/>
        <w:jc w:val="left"/>
        <w:rPr>
          <w:rFonts w:ascii="Times New Roman" w:hAnsi="Times New Roman"/>
          <w:sz w:val="28"/>
          <w:szCs w:val="28"/>
          <w:vertAlign w:val="superscript"/>
          <w:lang w:bidi="ar"/>
        </w:rPr>
      </w:pPr>
      <w:bookmarkStart w:id="123" w:name="_Toc57238436"/>
      <w:bookmarkStart w:id="124" w:name="_Toc58405063"/>
      <w:r>
        <w:rPr>
          <w:rFonts w:hint="eastAsia" w:ascii="Times New Roman" w:hAnsi="Times New Roman"/>
          <w:sz w:val="28"/>
          <w:szCs w:val="28"/>
          <w:lang w:bidi="ar"/>
        </w:rPr>
        <w:t>3.</w:t>
      </w:r>
      <w:r>
        <w:rPr>
          <w:rFonts w:ascii="Times New Roman" w:hAnsi="Times New Roman"/>
          <w:sz w:val="28"/>
          <w:szCs w:val="28"/>
          <w:lang w:bidi="ar"/>
        </w:rPr>
        <w:t>6</w:t>
      </w:r>
      <w:r>
        <w:rPr>
          <w:rFonts w:hint="eastAsia" w:ascii="Times New Roman" w:hAnsi="Times New Roman"/>
          <w:sz w:val="28"/>
          <w:szCs w:val="28"/>
          <w:lang w:bidi="ar"/>
        </w:rPr>
        <w:t>.3绿色建筑保险</w:t>
      </w:r>
      <w:bookmarkEnd w:id="123"/>
      <w:bookmarkEnd w:id="12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为确保建筑达到绿色运行评价标准，实现绿色建筑的预期价值，可以尝试引入保险机制。从而推动绿色建筑产业从一元管理向多元共治转变，满足相关各方对于绿色建筑性能落地的需求，引导和激励更多社会资本投入发展绿色建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项目投保以后，保险公司会在项目的启动、设计、施工、运行等阶段，聘请第三方绿色建筑服务机构对重要环节和节点进行风险防控，确保标的建筑满足绿色建筑运行评价星级要求。同时，在被保险建筑最终未取得合同约定的绿色运行星级标准的情况下，保险公司将采取实物修复和货币补偿的方式，保障项目方的权益。</w:t>
      </w:r>
    </w:p>
    <w:p>
      <w:pPr>
        <w:pStyle w:val="13"/>
        <w:jc w:val="left"/>
        <w:rPr>
          <w:rFonts w:ascii="Times New Roman" w:hAnsi="Times New Roman"/>
          <w:sz w:val="28"/>
          <w:szCs w:val="28"/>
          <w:vertAlign w:val="superscript"/>
          <w:lang w:bidi="ar"/>
        </w:rPr>
      </w:pPr>
      <w:bookmarkStart w:id="125" w:name="_Toc58405064"/>
      <w:bookmarkStart w:id="126" w:name="_Toc57238437"/>
      <w:r>
        <w:rPr>
          <w:rFonts w:hint="eastAsia" w:ascii="Times New Roman" w:hAnsi="Times New Roman"/>
          <w:sz w:val="28"/>
          <w:szCs w:val="28"/>
          <w:lang w:bidi="ar"/>
        </w:rPr>
        <w:t>3.</w:t>
      </w:r>
      <w:r>
        <w:rPr>
          <w:rFonts w:ascii="Times New Roman" w:hAnsi="Times New Roman"/>
          <w:sz w:val="28"/>
          <w:szCs w:val="28"/>
          <w:lang w:bidi="ar"/>
        </w:rPr>
        <w:t>6</w:t>
      </w:r>
      <w:r>
        <w:rPr>
          <w:rFonts w:hint="eastAsia" w:ascii="Times New Roman" w:hAnsi="Times New Roman"/>
          <w:sz w:val="28"/>
          <w:szCs w:val="28"/>
          <w:lang w:bidi="ar"/>
        </w:rPr>
        <w:t>.4</w:t>
      </w:r>
      <w:bookmarkStart w:id="127" w:name="_Hlk57275850"/>
      <w:r>
        <w:rPr>
          <w:rFonts w:hint="eastAsia" w:ascii="Times New Roman" w:hAnsi="Times New Roman"/>
          <w:sz w:val="28"/>
          <w:szCs w:val="28"/>
          <w:lang w:bidi="ar"/>
        </w:rPr>
        <w:t>容积率奖励</w:t>
      </w:r>
      <w:bookmarkEnd w:id="125"/>
      <w:bookmarkEnd w:id="126"/>
      <w:bookmarkEnd w:id="127"/>
    </w:p>
    <w:p>
      <w:pPr>
        <w:keepNext w:val="0"/>
        <w:keepLines w:val="0"/>
        <w:pageBreakBefore w:val="0"/>
        <w:widowControl w:val="0"/>
        <w:numPr>
          <w:ilvl w:val="0"/>
          <w:numId w:val="0"/>
        </w:numPr>
        <w:kinsoku/>
        <w:wordWrap/>
        <w:overflowPunct/>
        <w:topLinePunct w:val="0"/>
        <w:autoSpaceDE/>
        <w:autoSpaceDN/>
        <w:bidi w:val="0"/>
        <w:adjustRightInd/>
        <w:snapToGrid/>
        <w:ind w:leftChars="152"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①</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在满足国家省市相关法规标准和城乡规划要求前提下，对采取墙体隔热、保温、防潮、遮阳、隔声降噪等绿色建筑技术措施所增加的建筑面积不计入容积率核算和不动产登记的最终建筑面积。</w:t>
      </w:r>
    </w:p>
    <w:p>
      <w:pPr>
        <w:keepNext w:val="0"/>
        <w:keepLines w:val="0"/>
        <w:pageBreakBefore w:val="0"/>
        <w:widowControl w:val="0"/>
        <w:numPr>
          <w:ilvl w:val="0"/>
          <w:numId w:val="0"/>
        </w:numPr>
        <w:kinsoku/>
        <w:wordWrap/>
        <w:overflowPunct/>
        <w:topLinePunct w:val="0"/>
        <w:autoSpaceDE/>
        <w:autoSpaceDN/>
        <w:bidi w:val="0"/>
        <w:adjustRightInd/>
        <w:snapToGrid/>
        <w:ind w:leftChars="152"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②</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bidi="ar"/>
        </w:rPr>
        <w:t>在满足国家省市相关法规标准和城乡规划要求前提下，对采用装配式方式建造绿色建筑的，其满足装配式建筑要求部分的建筑面积</w:t>
      </w:r>
      <w:r>
        <w:rPr>
          <w:rFonts w:hint="eastAsia" w:ascii="仿宋" w:hAnsi="仿宋" w:eastAsia="仿宋" w:cs="仿宋"/>
          <w:color w:val="000000"/>
          <w:kern w:val="0"/>
          <w:sz w:val="28"/>
          <w:szCs w:val="28"/>
          <w:lang w:eastAsia="zh-CN" w:bidi="ar"/>
        </w:rPr>
        <w:t>可以按照不超过国家和地方规定的比例不计入容积率核算</w:t>
      </w:r>
      <w:bookmarkStart w:id="128" w:name="_GoBack"/>
      <w:bookmarkEnd w:id="128"/>
      <w:r>
        <w:rPr>
          <w:rFonts w:hint="eastAsia" w:ascii="仿宋" w:hAnsi="仿宋" w:eastAsia="仿宋" w:cs="仿宋"/>
          <w:color w:val="000000"/>
          <w:kern w:val="0"/>
          <w:sz w:val="28"/>
          <w:szCs w:val="28"/>
          <w:lang w:bidi="ar"/>
        </w:rPr>
        <w:t>。</w:t>
      </w:r>
    </w:p>
    <w:p>
      <w:pPr>
        <w:widowControl/>
        <w:jc w:val="left"/>
        <w:rPr>
          <w:rFonts w:ascii="仿宋" w:hAnsi="仿宋" w:eastAsia="仿宋" w:cs="仿宋"/>
          <w:color w:val="000000"/>
          <w:kern w:val="0"/>
          <w:sz w:val="28"/>
          <w:szCs w:val="28"/>
          <w:lang w:bidi="ar"/>
        </w:rPr>
      </w:pPr>
      <w:r>
        <w:rPr>
          <w:rFonts w:ascii="仿宋" w:hAnsi="仿宋" w:eastAsia="仿宋" w:cs="仿宋"/>
          <w:color w:val="000000"/>
          <w:kern w:val="0"/>
          <w:sz w:val="28"/>
          <w:szCs w:val="28"/>
          <w:lang w:bidi="ar"/>
        </w:rPr>
        <w:br w:type="page"/>
      </w:r>
      <w:r>
        <w:rPr>
          <w:rFonts w:hint="eastAsia" w:ascii="仿宋" w:hAnsi="仿宋" w:eastAsia="仿宋" w:cs="仿宋"/>
          <w:b/>
          <w:bCs/>
          <w:color w:val="000000"/>
          <w:kern w:val="0"/>
          <w:sz w:val="28"/>
          <w:szCs w:val="28"/>
          <w:lang w:bidi="ar"/>
        </w:rPr>
        <w:t>原文注释</w:t>
      </w:r>
      <w:r>
        <w:rPr>
          <w:rFonts w:hint="eastAsia" w:ascii="仿宋" w:hAnsi="仿宋" w:eastAsia="仿宋" w:cs="仿宋"/>
          <w:color w:val="000000"/>
          <w:kern w:val="0"/>
          <w:sz w:val="28"/>
          <w:szCs w:val="28"/>
          <w:lang w:bidi="ar"/>
        </w:rPr>
        <w:t>：</w:t>
      </w:r>
    </w:p>
    <w:p>
      <w:pPr>
        <w:widowControl/>
        <w:numPr>
          <w:ilvl w:val="0"/>
          <w:numId w:val="1"/>
        </w:numPr>
        <w:jc w:val="left"/>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 xml:space="preserve">绿色建筑 </w:t>
      </w:r>
      <w:r>
        <w:rPr>
          <w:rFonts w:ascii="Times New Roman" w:hAnsi="Times New Roman" w:eastAsia="仿宋"/>
          <w:b/>
          <w:bCs/>
          <w:color w:val="000000"/>
          <w:kern w:val="0"/>
          <w:sz w:val="28"/>
          <w:szCs w:val="28"/>
          <w:lang w:bidi="ar"/>
        </w:rPr>
        <w:t>Green Building</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在建筑全寿命期内，节约用地、用水、能源、建材等资源，保护环境、减少污染，为人们提供健康、适用、高效的使用空间，实现人与自然和谐共生的高质量民用建筑。</w:t>
      </w:r>
    </w:p>
    <w:p>
      <w:pPr>
        <w:widowControl/>
        <w:numPr>
          <w:ilvl w:val="0"/>
          <w:numId w:val="1"/>
        </w:numPr>
        <w:jc w:val="left"/>
        <w:rPr>
          <w:rFonts w:ascii="Times New Roman" w:hAnsi="Times New Roman" w:eastAsia="仿宋"/>
          <w:b/>
          <w:bCs/>
          <w:color w:val="000000"/>
          <w:kern w:val="0"/>
          <w:sz w:val="28"/>
          <w:szCs w:val="28"/>
          <w:lang w:bidi="ar"/>
        </w:rPr>
      </w:pPr>
      <w:r>
        <w:rPr>
          <w:rFonts w:hint="eastAsia" w:ascii="仿宋" w:hAnsi="仿宋" w:eastAsia="仿宋" w:cs="仿宋"/>
          <w:b/>
          <w:bCs/>
          <w:color w:val="000000"/>
          <w:kern w:val="0"/>
          <w:sz w:val="28"/>
          <w:szCs w:val="28"/>
          <w:lang w:bidi="ar"/>
        </w:rPr>
        <w:t xml:space="preserve">绿色建筑等级 </w:t>
      </w:r>
      <w:r>
        <w:rPr>
          <w:rFonts w:hint="eastAsia" w:ascii="Times New Roman" w:hAnsi="Times New Roman" w:eastAsia="仿宋"/>
          <w:b/>
          <w:bCs/>
          <w:color w:val="000000"/>
          <w:kern w:val="0"/>
          <w:sz w:val="28"/>
          <w:szCs w:val="28"/>
          <w:lang w:bidi="ar"/>
        </w:rPr>
        <w:t>Green Building Rating</w:t>
      </w:r>
    </w:p>
    <w:p>
      <w:pPr>
        <w:keepNext w:val="0"/>
        <w:keepLines w:val="0"/>
        <w:pageBreakBefore w:val="0"/>
        <w:widowControl/>
        <w:kinsoku/>
        <w:wordWrap/>
        <w:overflowPunct/>
        <w:topLinePunct w:val="0"/>
        <w:autoSpaceDE/>
        <w:autoSpaceDN/>
        <w:bidi w:val="0"/>
        <w:adjustRightInd/>
        <w:snapToGrid/>
        <w:ind w:right="-141" w:rightChars="-67"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绿色建筑分为基本级、一星级、二星级和三星级</w:t>
      </w:r>
      <w:r>
        <w:rPr>
          <w:rFonts w:ascii="仿宋" w:hAnsi="仿宋" w:eastAsia="仿宋" w:cs="仿宋"/>
          <w:color w:val="000000"/>
          <w:kern w:val="0"/>
          <w:sz w:val="28"/>
          <w:szCs w:val="28"/>
          <w:lang w:bidi="ar"/>
        </w:rPr>
        <w:t>4</w:t>
      </w:r>
      <w:r>
        <w:rPr>
          <w:rFonts w:hint="eastAsia" w:ascii="仿宋" w:hAnsi="仿宋" w:eastAsia="仿宋" w:cs="仿宋"/>
          <w:color w:val="000000"/>
          <w:kern w:val="0"/>
          <w:sz w:val="28"/>
          <w:szCs w:val="28"/>
          <w:lang w:bidi="ar"/>
        </w:rPr>
        <w:t>个等级，</w:t>
      </w:r>
      <w:r>
        <w:rPr>
          <w:rFonts w:ascii="仿宋" w:hAnsi="仿宋" w:eastAsia="仿宋" w:cs="仿宋"/>
          <w:color w:val="000000"/>
          <w:kern w:val="0"/>
          <w:sz w:val="28"/>
          <w:szCs w:val="28"/>
          <w:lang w:bidi="ar"/>
        </w:rPr>
        <w:t>4</w:t>
      </w:r>
      <w:r>
        <w:rPr>
          <w:rFonts w:hint="eastAsia" w:ascii="仿宋" w:hAnsi="仿宋" w:eastAsia="仿宋" w:cs="仿宋"/>
          <w:color w:val="000000"/>
          <w:kern w:val="0"/>
          <w:sz w:val="28"/>
          <w:szCs w:val="28"/>
          <w:lang w:bidi="ar"/>
        </w:rPr>
        <w:t>个等级的绿色建筑均应满足《绿色建筑评价标准》GB/T 50378-201</w:t>
      </w:r>
      <w:r>
        <w:rPr>
          <w:rFonts w:ascii="仿宋" w:hAnsi="仿宋" w:eastAsia="仿宋" w:cs="仿宋"/>
          <w:color w:val="000000"/>
          <w:kern w:val="0"/>
          <w:sz w:val="28"/>
          <w:szCs w:val="28"/>
          <w:lang w:bidi="ar"/>
        </w:rPr>
        <w:t>9</w:t>
      </w:r>
      <w:r>
        <w:rPr>
          <w:rFonts w:hint="eastAsia" w:ascii="仿宋" w:hAnsi="仿宋" w:eastAsia="仿宋" w:cs="仿宋"/>
          <w:color w:val="000000"/>
          <w:kern w:val="0"/>
          <w:sz w:val="28"/>
          <w:szCs w:val="28"/>
          <w:lang w:bidi="ar"/>
        </w:rPr>
        <w:t>所有控制项的要求，且每类指标的评分项得分不应小于其评分项满分值的3</w:t>
      </w:r>
      <w:r>
        <w:rPr>
          <w:rFonts w:ascii="仿宋" w:hAnsi="仿宋" w:eastAsia="仿宋" w:cs="仿宋"/>
          <w:color w:val="000000"/>
          <w:kern w:val="0"/>
          <w:sz w:val="28"/>
          <w:szCs w:val="28"/>
          <w:lang w:bidi="ar"/>
        </w:rPr>
        <w:t>0</w:t>
      </w:r>
      <w:r>
        <w:rPr>
          <w:rFonts w:hint="eastAsia" w:ascii="仿宋" w:hAnsi="仿宋" w:eastAsia="仿宋" w:cs="仿宋"/>
          <w:color w:val="000000"/>
          <w:kern w:val="0"/>
          <w:sz w:val="28"/>
          <w:szCs w:val="28"/>
          <w:lang w:bidi="ar"/>
        </w:rPr>
        <w:t>%。一星级、二星级、三星级3个</w:t>
      </w:r>
      <w:r>
        <w:rPr>
          <w:rFonts w:hint="eastAsia" w:ascii="仿宋" w:hAnsi="仿宋" w:eastAsia="仿宋" w:cs="仿宋"/>
          <w:color w:val="000000"/>
          <w:kern w:val="0"/>
          <w:sz w:val="28"/>
          <w:szCs w:val="28"/>
          <w:lang w:eastAsia="zh-CN" w:bidi="ar"/>
        </w:rPr>
        <w:t>等级</w:t>
      </w:r>
      <w:r>
        <w:rPr>
          <w:rFonts w:hint="eastAsia" w:ascii="仿宋" w:hAnsi="仿宋" w:eastAsia="仿宋" w:cs="仿宋"/>
          <w:color w:val="000000"/>
          <w:kern w:val="0"/>
          <w:sz w:val="28"/>
          <w:szCs w:val="28"/>
          <w:lang w:bidi="ar"/>
        </w:rPr>
        <w:t>的绿色建筑均应进行全装修，全装修工程质量、选用材料及产品质量应符合国家现行有关标准的规定。当绿色建筑总得分分别达到</w:t>
      </w:r>
      <w:r>
        <w:rPr>
          <w:rFonts w:ascii="仿宋" w:hAnsi="仿宋" w:eastAsia="仿宋" w:cs="仿宋"/>
          <w:color w:val="000000"/>
          <w:kern w:val="0"/>
          <w:sz w:val="28"/>
          <w:szCs w:val="28"/>
          <w:lang w:bidi="ar"/>
        </w:rPr>
        <w:t>60</w:t>
      </w:r>
      <w:r>
        <w:rPr>
          <w:rFonts w:hint="eastAsia" w:ascii="仿宋" w:hAnsi="仿宋" w:eastAsia="仿宋" w:cs="仿宋"/>
          <w:color w:val="000000"/>
          <w:kern w:val="0"/>
          <w:sz w:val="28"/>
          <w:szCs w:val="28"/>
          <w:lang w:bidi="ar"/>
        </w:rPr>
        <w:t>分、</w:t>
      </w:r>
      <w:r>
        <w:rPr>
          <w:rFonts w:ascii="仿宋" w:hAnsi="仿宋" w:eastAsia="仿宋" w:cs="仿宋"/>
          <w:color w:val="000000"/>
          <w:kern w:val="0"/>
          <w:sz w:val="28"/>
          <w:szCs w:val="28"/>
          <w:lang w:bidi="ar"/>
        </w:rPr>
        <w:t>70</w:t>
      </w:r>
      <w:r>
        <w:rPr>
          <w:rFonts w:hint="eastAsia" w:ascii="仿宋" w:hAnsi="仿宋" w:eastAsia="仿宋" w:cs="仿宋"/>
          <w:color w:val="000000"/>
          <w:kern w:val="0"/>
          <w:sz w:val="28"/>
          <w:szCs w:val="28"/>
          <w:lang w:bidi="ar"/>
        </w:rPr>
        <w:t>分、8</w:t>
      </w:r>
      <w:r>
        <w:rPr>
          <w:rFonts w:ascii="仿宋" w:hAnsi="仿宋" w:eastAsia="仿宋" w:cs="仿宋"/>
          <w:color w:val="000000"/>
          <w:kern w:val="0"/>
          <w:sz w:val="28"/>
          <w:szCs w:val="28"/>
          <w:lang w:bidi="ar"/>
        </w:rPr>
        <w:t>5</w:t>
      </w:r>
      <w:r>
        <w:rPr>
          <w:rFonts w:hint="eastAsia" w:ascii="仿宋" w:hAnsi="仿宋" w:eastAsia="仿宋" w:cs="仿宋"/>
          <w:color w:val="000000"/>
          <w:kern w:val="0"/>
          <w:sz w:val="28"/>
          <w:szCs w:val="28"/>
          <w:lang w:bidi="ar"/>
        </w:rPr>
        <w:t>分时。绿色建筑等级分别为一星级、二星级、三星级。</w:t>
      </w:r>
    </w:p>
    <w:p>
      <w:pPr>
        <w:widowControl/>
        <w:numPr>
          <w:ilvl w:val="0"/>
          <w:numId w:val="1"/>
        </w:numPr>
        <w:jc w:val="left"/>
        <w:rPr>
          <w:rFonts w:ascii="Times New Roman" w:hAnsi="Times New Roman" w:eastAsia="仿宋"/>
          <w:b/>
          <w:bCs/>
          <w:color w:val="000000"/>
          <w:kern w:val="0"/>
          <w:sz w:val="28"/>
          <w:szCs w:val="28"/>
          <w:lang w:bidi="ar"/>
        </w:rPr>
      </w:pPr>
      <w:r>
        <w:rPr>
          <w:rFonts w:hint="eastAsia" w:ascii="仿宋" w:hAnsi="仿宋" w:eastAsia="仿宋" w:cs="仿宋"/>
          <w:b/>
          <w:bCs/>
          <w:color w:val="000000"/>
          <w:kern w:val="0"/>
          <w:sz w:val="28"/>
          <w:szCs w:val="28"/>
          <w:lang w:bidi="ar"/>
        </w:rPr>
        <w:t xml:space="preserve">装配式建筑 </w:t>
      </w:r>
      <w:r>
        <w:rPr>
          <w:rFonts w:hint="eastAsia" w:ascii="Times New Roman" w:hAnsi="Times New Roman" w:eastAsia="仿宋"/>
          <w:b/>
          <w:bCs/>
          <w:color w:val="000000"/>
          <w:kern w:val="0"/>
          <w:sz w:val="28"/>
          <w:szCs w:val="28"/>
          <w:lang w:bidi="ar"/>
        </w:rPr>
        <w:t>Prefabricated Building</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装配式建筑是用预制构件、部品部件在工地装配而成的包括装配式混凝土结构、装配式钢结构和装配式木结构。</w:t>
      </w:r>
    </w:p>
    <w:p>
      <w:pPr>
        <w:widowControl/>
        <w:numPr>
          <w:ilvl w:val="0"/>
          <w:numId w:val="1"/>
        </w:numPr>
        <w:rPr>
          <w:rFonts w:ascii="Times New Roman" w:hAnsi="Times New Roman" w:eastAsia="仿宋"/>
          <w:b/>
          <w:bCs/>
          <w:color w:val="000000"/>
          <w:kern w:val="0"/>
          <w:sz w:val="28"/>
          <w:szCs w:val="28"/>
          <w:lang w:bidi="ar"/>
        </w:rPr>
      </w:pPr>
      <w:r>
        <w:rPr>
          <w:rFonts w:hint="eastAsia" w:ascii="仿宋" w:hAnsi="仿宋" w:eastAsia="仿宋" w:cs="仿宋"/>
          <w:b/>
          <w:bCs/>
          <w:color w:val="000000"/>
          <w:kern w:val="0"/>
          <w:sz w:val="28"/>
          <w:szCs w:val="28"/>
          <w:lang w:bidi="ar"/>
        </w:rPr>
        <w:t xml:space="preserve">可再生能源 </w:t>
      </w:r>
      <w:r>
        <w:rPr>
          <w:rFonts w:ascii="Times New Roman" w:hAnsi="Times New Roman" w:eastAsia="仿宋"/>
          <w:b/>
          <w:bCs/>
          <w:color w:val="000000"/>
          <w:kern w:val="0"/>
          <w:sz w:val="28"/>
          <w:szCs w:val="28"/>
          <w:lang w:bidi="ar"/>
        </w:rPr>
        <w:t>renewable energy</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从自然界获取的、可以再生的非化石能源，包括太阳能、风 能、水能、生物质能、地热能、海洋能和空气能（空气能热泵热水系统）等。</w:t>
      </w:r>
    </w:p>
    <w:p>
      <w:pPr>
        <w:widowControl/>
        <w:numPr>
          <w:ilvl w:val="0"/>
          <w:numId w:val="1"/>
        </w:numPr>
        <w:ind w:left="0" w:firstLine="0"/>
        <w:rPr>
          <w:rFonts w:ascii="Times New Roman" w:hAnsi="Times New Roman" w:eastAsia="仿宋"/>
          <w:b/>
          <w:bCs/>
          <w:color w:val="000000"/>
          <w:kern w:val="0"/>
          <w:sz w:val="28"/>
          <w:szCs w:val="28"/>
          <w:lang w:bidi="ar"/>
        </w:rPr>
      </w:pPr>
      <w:r>
        <w:rPr>
          <w:rFonts w:hint="eastAsia" w:ascii="仿宋" w:hAnsi="仿宋" w:eastAsia="仿宋" w:cs="仿宋"/>
          <w:b/>
          <w:bCs/>
          <w:color w:val="000000"/>
          <w:kern w:val="0"/>
          <w:sz w:val="28"/>
          <w:szCs w:val="28"/>
          <w:lang w:bidi="ar"/>
        </w:rPr>
        <w:t xml:space="preserve">全装修 </w:t>
      </w:r>
      <w:r>
        <w:rPr>
          <w:rFonts w:ascii="Times New Roman" w:hAnsi="Times New Roman" w:eastAsia="仿宋"/>
          <w:b/>
          <w:bCs/>
          <w:color w:val="000000"/>
          <w:kern w:val="0"/>
          <w:sz w:val="28"/>
          <w:szCs w:val="28"/>
          <w:lang w:bidi="ar"/>
        </w:rPr>
        <w:t>Decorated</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功能空间的固定面装修和设备设施安装全部完成，达到建筑使用功能和建筑性能的基本要求。</w:t>
      </w:r>
    </w:p>
    <w:sectPr>
      <w:footerReference r:id="rId5" w:type="default"/>
      <w:pgSz w:w="11906" w:h="16838"/>
      <w:pgMar w:top="1440" w:right="1416" w:bottom="1276" w:left="1418" w:header="1474"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w:t>
    </w:r>
    <w:r>
      <w:fldChar w:fldCharType="end"/>
    </w:r>
  </w:p>
  <w:p>
    <w:pPr>
      <w:pStyle w:val="10"/>
      <w:tabs>
        <w:tab w:val="left" w:pos="5287"/>
        <w:tab w:val="clear" w:pos="415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7081F"/>
    <w:multiLevelType w:val="multilevel"/>
    <w:tmpl w:val="14E7081F"/>
    <w:lvl w:ilvl="0" w:tentative="0">
      <w:start w:val="1"/>
      <w:numFmt w:val="decimalEnclosedCircle"/>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97"/>
    <w:rsid w:val="00000655"/>
    <w:rsid w:val="00000CDD"/>
    <w:rsid w:val="00001261"/>
    <w:rsid w:val="00002B1A"/>
    <w:rsid w:val="000035B6"/>
    <w:rsid w:val="00004586"/>
    <w:rsid w:val="00006140"/>
    <w:rsid w:val="0000731A"/>
    <w:rsid w:val="00007773"/>
    <w:rsid w:val="00010DCE"/>
    <w:rsid w:val="00010F12"/>
    <w:rsid w:val="000112A8"/>
    <w:rsid w:val="0001216C"/>
    <w:rsid w:val="00012EC3"/>
    <w:rsid w:val="00013FBE"/>
    <w:rsid w:val="0001402F"/>
    <w:rsid w:val="00014589"/>
    <w:rsid w:val="00016437"/>
    <w:rsid w:val="00017655"/>
    <w:rsid w:val="00017FAD"/>
    <w:rsid w:val="000204C2"/>
    <w:rsid w:val="000210DA"/>
    <w:rsid w:val="00021395"/>
    <w:rsid w:val="00023832"/>
    <w:rsid w:val="00024470"/>
    <w:rsid w:val="00025902"/>
    <w:rsid w:val="00026316"/>
    <w:rsid w:val="0002654C"/>
    <w:rsid w:val="00027640"/>
    <w:rsid w:val="000277BA"/>
    <w:rsid w:val="0003052F"/>
    <w:rsid w:val="000309E9"/>
    <w:rsid w:val="00031830"/>
    <w:rsid w:val="00032312"/>
    <w:rsid w:val="000324E5"/>
    <w:rsid w:val="000340C0"/>
    <w:rsid w:val="00036CB0"/>
    <w:rsid w:val="0003768E"/>
    <w:rsid w:val="000377AA"/>
    <w:rsid w:val="00041403"/>
    <w:rsid w:val="00041D5B"/>
    <w:rsid w:val="000439D0"/>
    <w:rsid w:val="000442F8"/>
    <w:rsid w:val="00045CAF"/>
    <w:rsid w:val="00046008"/>
    <w:rsid w:val="00047170"/>
    <w:rsid w:val="00050AFA"/>
    <w:rsid w:val="0005199A"/>
    <w:rsid w:val="000520C2"/>
    <w:rsid w:val="00053A7B"/>
    <w:rsid w:val="00053C88"/>
    <w:rsid w:val="00054C5C"/>
    <w:rsid w:val="00056865"/>
    <w:rsid w:val="00056AF7"/>
    <w:rsid w:val="00057140"/>
    <w:rsid w:val="000608CB"/>
    <w:rsid w:val="00060BDB"/>
    <w:rsid w:val="00060D78"/>
    <w:rsid w:val="00062552"/>
    <w:rsid w:val="00063956"/>
    <w:rsid w:val="00063C0B"/>
    <w:rsid w:val="000674D2"/>
    <w:rsid w:val="00070BC4"/>
    <w:rsid w:val="00070C44"/>
    <w:rsid w:val="00071041"/>
    <w:rsid w:val="00071A0F"/>
    <w:rsid w:val="000723FA"/>
    <w:rsid w:val="00072E4D"/>
    <w:rsid w:val="0007331C"/>
    <w:rsid w:val="000733FE"/>
    <w:rsid w:val="00075980"/>
    <w:rsid w:val="00076DBC"/>
    <w:rsid w:val="00077887"/>
    <w:rsid w:val="00077C2B"/>
    <w:rsid w:val="00077E30"/>
    <w:rsid w:val="0008008C"/>
    <w:rsid w:val="0008077A"/>
    <w:rsid w:val="0008234D"/>
    <w:rsid w:val="0008252E"/>
    <w:rsid w:val="0008268C"/>
    <w:rsid w:val="00082909"/>
    <w:rsid w:val="00082976"/>
    <w:rsid w:val="00084448"/>
    <w:rsid w:val="00084643"/>
    <w:rsid w:val="000848E0"/>
    <w:rsid w:val="00085013"/>
    <w:rsid w:val="00085B17"/>
    <w:rsid w:val="00086B7E"/>
    <w:rsid w:val="00087224"/>
    <w:rsid w:val="0009042E"/>
    <w:rsid w:val="000909E7"/>
    <w:rsid w:val="00090B39"/>
    <w:rsid w:val="00092444"/>
    <w:rsid w:val="00093276"/>
    <w:rsid w:val="00094FBC"/>
    <w:rsid w:val="00095451"/>
    <w:rsid w:val="000965DB"/>
    <w:rsid w:val="000973A1"/>
    <w:rsid w:val="00097597"/>
    <w:rsid w:val="000A06BE"/>
    <w:rsid w:val="000A10B7"/>
    <w:rsid w:val="000A2BA2"/>
    <w:rsid w:val="000A401D"/>
    <w:rsid w:val="000A46E6"/>
    <w:rsid w:val="000A492F"/>
    <w:rsid w:val="000A53A9"/>
    <w:rsid w:val="000A58EC"/>
    <w:rsid w:val="000A6241"/>
    <w:rsid w:val="000A6F03"/>
    <w:rsid w:val="000A71E9"/>
    <w:rsid w:val="000A73AA"/>
    <w:rsid w:val="000B01E1"/>
    <w:rsid w:val="000B27D7"/>
    <w:rsid w:val="000B28DB"/>
    <w:rsid w:val="000B45D2"/>
    <w:rsid w:val="000B4723"/>
    <w:rsid w:val="000B668D"/>
    <w:rsid w:val="000B68DF"/>
    <w:rsid w:val="000B7308"/>
    <w:rsid w:val="000B7FC4"/>
    <w:rsid w:val="000C0535"/>
    <w:rsid w:val="000C05B3"/>
    <w:rsid w:val="000C069C"/>
    <w:rsid w:val="000C11F7"/>
    <w:rsid w:val="000C1C00"/>
    <w:rsid w:val="000C4FE5"/>
    <w:rsid w:val="000C5311"/>
    <w:rsid w:val="000C53F3"/>
    <w:rsid w:val="000C6714"/>
    <w:rsid w:val="000C6D86"/>
    <w:rsid w:val="000D1F4F"/>
    <w:rsid w:val="000D554F"/>
    <w:rsid w:val="000D5B62"/>
    <w:rsid w:val="000D6F5F"/>
    <w:rsid w:val="000E0702"/>
    <w:rsid w:val="000E0A8B"/>
    <w:rsid w:val="000E184A"/>
    <w:rsid w:val="000E18FB"/>
    <w:rsid w:val="000E1990"/>
    <w:rsid w:val="000E22CD"/>
    <w:rsid w:val="000E2AD1"/>
    <w:rsid w:val="000E438C"/>
    <w:rsid w:val="000E4771"/>
    <w:rsid w:val="000E4845"/>
    <w:rsid w:val="000E4953"/>
    <w:rsid w:val="000E4D65"/>
    <w:rsid w:val="000E50D3"/>
    <w:rsid w:val="000E5624"/>
    <w:rsid w:val="000E5631"/>
    <w:rsid w:val="000E5897"/>
    <w:rsid w:val="000E5BC1"/>
    <w:rsid w:val="000E65D1"/>
    <w:rsid w:val="000E7AF7"/>
    <w:rsid w:val="000F0DC1"/>
    <w:rsid w:val="000F0F1F"/>
    <w:rsid w:val="000F15D4"/>
    <w:rsid w:val="000F25FD"/>
    <w:rsid w:val="000F36B9"/>
    <w:rsid w:val="000F4075"/>
    <w:rsid w:val="000F5463"/>
    <w:rsid w:val="000F5830"/>
    <w:rsid w:val="000F7AE9"/>
    <w:rsid w:val="001004DC"/>
    <w:rsid w:val="001024C4"/>
    <w:rsid w:val="0010292E"/>
    <w:rsid w:val="00102AAB"/>
    <w:rsid w:val="00102CDC"/>
    <w:rsid w:val="00102F6F"/>
    <w:rsid w:val="001033B5"/>
    <w:rsid w:val="00103AD2"/>
    <w:rsid w:val="001048D7"/>
    <w:rsid w:val="00104B37"/>
    <w:rsid w:val="00105895"/>
    <w:rsid w:val="00105E31"/>
    <w:rsid w:val="001064B6"/>
    <w:rsid w:val="00107B73"/>
    <w:rsid w:val="001112C4"/>
    <w:rsid w:val="00111649"/>
    <w:rsid w:val="00111C27"/>
    <w:rsid w:val="00112CBB"/>
    <w:rsid w:val="00112F20"/>
    <w:rsid w:val="00113CF8"/>
    <w:rsid w:val="00114886"/>
    <w:rsid w:val="00114CDB"/>
    <w:rsid w:val="00114E90"/>
    <w:rsid w:val="0011594C"/>
    <w:rsid w:val="00115B54"/>
    <w:rsid w:val="001165E4"/>
    <w:rsid w:val="0011706A"/>
    <w:rsid w:val="00117C18"/>
    <w:rsid w:val="00117F95"/>
    <w:rsid w:val="001205FC"/>
    <w:rsid w:val="00120DEC"/>
    <w:rsid w:val="0012404F"/>
    <w:rsid w:val="001248CA"/>
    <w:rsid w:val="00125827"/>
    <w:rsid w:val="00125B38"/>
    <w:rsid w:val="001268FB"/>
    <w:rsid w:val="00126D8E"/>
    <w:rsid w:val="00130833"/>
    <w:rsid w:val="00134A41"/>
    <w:rsid w:val="00134E56"/>
    <w:rsid w:val="001352C8"/>
    <w:rsid w:val="00135F3C"/>
    <w:rsid w:val="001361B4"/>
    <w:rsid w:val="001366D1"/>
    <w:rsid w:val="00137E2D"/>
    <w:rsid w:val="00141068"/>
    <w:rsid w:val="00141C43"/>
    <w:rsid w:val="00141D82"/>
    <w:rsid w:val="00143381"/>
    <w:rsid w:val="00144CDE"/>
    <w:rsid w:val="001455AD"/>
    <w:rsid w:val="00145D50"/>
    <w:rsid w:val="00145FD0"/>
    <w:rsid w:val="0014631D"/>
    <w:rsid w:val="0014637E"/>
    <w:rsid w:val="00146CC4"/>
    <w:rsid w:val="001479F7"/>
    <w:rsid w:val="00147A2F"/>
    <w:rsid w:val="001508DA"/>
    <w:rsid w:val="00151122"/>
    <w:rsid w:val="00151880"/>
    <w:rsid w:val="001520F2"/>
    <w:rsid w:val="0015267B"/>
    <w:rsid w:val="00153D54"/>
    <w:rsid w:val="00153EF7"/>
    <w:rsid w:val="00155444"/>
    <w:rsid w:val="0015560F"/>
    <w:rsid w:val="001557C4"/>
    <w:rsid w:val="001557DF"/>
    <w:rsid w:val="00155A7D"/>
    <w:rsid w:val="00156146"/>
    <w:rsid w:val="001572E8"/>
    <w:rsid w:val="00157A4B"/>
    <w:rsid w:val="001608DE"/>
    <w:rsid w:val="00161335"/>
    <w:rsid w:val="00163222"/>
    <w:rsid w:val="00163C89"/>
    <w:rsid w:val="0016445E"/>
    <w:rsid w:val="00165796"/>
    <w:rsid w:val="001664A9"/>
    <w:rsid w:val="001702CA"/>
    <w:rsid w:val="00170883"/>
    <w:rsid w:val="0017089C"/>
    <w:rsid w:val="00170C19"/>
    <w:rsid w:val="00172488"/>
    <w:rsid w:val="00172C52"/>
    <w:rsid w:val="001735EB"/>
    <w:rsid w:val="00173862"/>
    <w:rsid w:val="00174D78"/>
    <w:rsid w:val="001756C9"/>
    <w:rsid w:val="001757D0"/>
    <w:rsid w:val="00176486"/>
    <w:rsid w:val="00176B88"/>
    <w:rsid w:val="00177766"/>
    <w:rsid w:val="001804EB"/>
    <w:rsid w:val="00181251"/>
    <w:rsid w:val="00181AC4"/>
    <w:rsid w:val="0018241A"/>
    <w:rsid w:val="001843BA"/>
    <w:rsid w:val="0018472A"/>
    <w:rsid w:val="00186080"/>
    <w:rsid w:val="0018696A"/>
    <w:rsid w:val="00186DC4"/>
    <w:rsid w:val="001878D9"/>
    <w:rsid w:val="00190584"/>
    <w:rsid w:val="001912B2"/>
    <w:rsid w:val="00191E99"/>
    <w:rsid w:val="0019303F"/>
    <w:rsid w:val="0019430F"/>
    <w:rsid w:val="00194492"/>
    <w:rsid w:val="001963CA"/>
    <w:rsid w:val="00196490"/>
    <w:rsid w:val="00196C5B"/>
    <w:rsid w:val="00197606"/>
    <w:rsid w:val="001978B3"/>
    <w:rsid w:val="001A0BBC"/>
    <w:rsid w:val="001A1566"/>
    <w:rsid w:val="001A15C4"/>
    <w:rsid w:val="001A21C1"/>
    <w:rsid w:val="001A2F91"/>
    <w:rsid w:val="001A4216"/>
    <w:rsid w:val="001A6C9E"/>
    <w:rsid w:val="001A77BA"/>
    <w:rsid w:val="001B1123"/>
    <w:rsid w:val="001B29EA"/>
    <w:rsid w:val="001B313A"/>
    <w:rsid w:val="001B31FD"/>
    <w:rsid w:val="001B34C3"/>
    <w:rsid w:val="001B4B20"/>
    <w:rsid w:val="001B4BE9"/>
    <w:rsid w:val="001B5071"/>
    <w:rsid w:val="001B5388"/>
    <w:rsid w:val="001B66D6"/>
    <w:rsid w:val="001C28D7"/>
    <w:rsid w:val="001C317D"/>
    <w:rsid w:val="001C32C4"/>
    <w:rsid w:val="001C3E75"/>
    <w:rsid w:val="001C3FDE"/>
    <w:rsid w:val="001C498F"/>
    <w:rsid w:val="001C52DF"/>
    <w:rsid w:val="001C57CE"/>
    <w:rsid w:val="001C796C"/>
    <w:rsid w:val="001C7DA5"/>
    <w:rsid w:val="001D0758"/>
    <w:rsid w:val="001D1B21"/>
    <w:rsid w:val="001D1FD3"/>
    <w:rsid w:val="001D3C8E"/>
    <w:rsid w:val="001D448A"/>
    <w:rsid w:val="001D6400"/>
    <w:rsid w:val="001D7686"/>
    <w:rsid w:val="001D78FD"/>
    <w:rsid w:val="001E03B3"/>
    <w:rsid w:val="001E0697"/>
    <w:rsid w:val="001E0ABC"/>
    <w:rsid w:val="001E155C"/>
    <w:rsid w:val="001E1EFE"/>
    <w:rsid w:val="001E2831"/>
    <w:rsid w:val="001E3F99"/>
    <w:rsid w:val="001E496A"/>
    <w:rsid w:val="001E51DC"/>
    <w:rsid w:val="001E67DA"/>
    <w:rsid w:val="001E690B"/>
    <w:rsid w:val="001E7D77"/>
    <w:rsid w:val="001F0100"/>
    <w:rsid w:val="001F07FA"/>
    <w:rsid w:val="001F1CE7"/>
    <w:rsid w:val="001F25CE"/>
    <w:rsid w:val="001F2C6E"/>
    <w:rsid w:val="001F386C"/>
    <w:rsid w:val="001F39DD"/>
    <w:rsid w:val="001F415A"/>
    <w:rsid w:val="001F5197"/>
    <w:rsid w:val="001F582C"/>
    <w:rsid w:val="001F5A14"/>
    <w:rsid w:val="001F5A16"/>
    <w:rsid w:val="001F649D"/>
    <w:rsid w:val="001F7E4D"/>
    <w:rsid w:val="002017F8"/>
    <w:rsid w:val="0020337A"/>
    <w:rsid w:val="00205815"/>
    <w:rsid w:val="0020588B"/>
    <w:rsid w:val="00206265"/>
    <w:rsid w:val="002067A0"/>
    <w:rsid w:val="00206AC7"/>
    <w:rsid w:val="00207780"/>
    <w:rsid w:val="00212FC3"/>
    <w:rsid w:val="00214500"/>
    <w:rsid w:val="002157EA"/>
    <w:rsid w:val="00216823"/>
    <w:rsid w:val="002203D6"/>
    <w:rsid w:val="002204D0"/>
    <w:rsid w:val="0022069C"/>
    <w:rsid w:val="002209ED"/>
    <w:rsid w:val="00220DC6"/>
    <w:rsid w:val="00221C1C"/>
    <w:rsid w:val="00222D5C"/>
    <w:rsid w:val="00222DCD"/>
    <w:rsid w:val="002242F4"/>
    <w:rsid w:val="00226D76"/>
    <w:rsid w:val="002273D9"/>
    <w:rsid w:val="002278A9"/>
    <w:rsid w:val="00231889"/>
    <w:rsid w:val="00231BA1"/>
    <w:rsid w:val="002324BC"/>
    <w:rsid w:val="0023266E"/>
    <w:rsid w:val="0023270C"/>
    <w:rsid w:val="00232DA3"/>
    <w:rsid w:val="00233571"/>
    <w:rsid w:val="00234D9A"/>
    <w:rsid w:val="002357D5"/>
    <w:rsid w:val="0023601D"/>
    <w:rsid w:val="00236B4E"/>
    <w:rsid w:val="00236B99"/>
    <w:rsid w:val="002414D4"/>
    <w:rsid w:val="00241950"/>
    <w:rsid w:val="00243A90"/>
    <w:rsid w:val="00243DEE"/>
    <w:rsid w:val="0024463E"/>
    <w:rsid w:val="0024550C"/>
    <w:rsid w:val="00246F85"/>
    <w:rsid w:val="00247D80"/>
    <w:rsid w:val="00247DE4"/>
    <w:rsid w:val="00250009"/>
    <w:rsid w:val="00251703"/>
    <w:rsid w:val="0025425C"/>
    <w:rsid w:val="002547EC"/>
    <w:rsid w:val="00254BEC"/>
    <w:rsid w:val="00255661"/>
    <w:rsid w:val="002558B7"/>
    <w:rsid w:val="00256401"/>
    <w:rsid w:val="00256C82"/>
    <w:rsid w:val="00257FB0"/>
    <w:rsid w:val="00260818"/>
    <w:rsid w:val="0026234E"/>
    <w:rsid w:val="00262DE1"/>
    <w:rsid w:val="002632DE"/>
    <w:rsid w:val="00263A79"/>
    <w:rsid w:val="002656B8"/>
    <w:rsid w:val="002657DB"/>
    <w:rsid w:val="00265BBC"/>
    <w:rsid w:val="00271DA2"/>
    <w:rsid w:val="00272894"/>
    <w:rsid w:val="00274F17"/>
    <w:rsid w:val="00275225"/>
    <w:rsid w:val="0027546A"/>
    <w:rsid w:val="002754E5"/>
    <w:rsid w:val="0027570A"/>
    <w:rsid w:val="00275872"/>
    <w:rsid w:val="00275E17"/>
    <w:rsid w:val="00276EE7"/>
    <w:rsid w:val="00277361"/>
    <w:rsid w:val="002774F4"/>
    <w:rsid w:val="00277FD4"/>
    <w:rsid w:val="00280945"/>
    <w:rsid w:val="00280F69"/>
    <w:rsid w:val="002815DF"/>
    <w:rsid w:val="00284A32"/>
    <w:rsid w:val="002864C8"/>
    <w:rsid w:val="00287ACD"/>
    <w:rsid w:val="00290BB2"/>
    <w:rsid w:val="00290D8A"/>
    <w:rsid w:val="00291C06"/>
    <w:rsid w:val="002925FB"/>
    <w:rsid w:val="00292701"/>
    <w:rsid w:val="00292D8B"/>
    <w:rsid w:val="0029430C"/>
    <w:rsid w:val="0029618E"/>
    <w:rsid w:val="002962A9"/>
    <w:rsid w:val="002A0AF1"/>
    <w:rsid w:val="002A2CE6"/>
    <w:rsid w:val="002A2D35"/>
    <w:rsid w:val="002A589C"/>
    <w:rsid w:val="002A7B6F"/>
    <w:rsid w:val="002B016B"/>
    <w:rsid w:val="002B0476"/>
    <w:rsid w:val="002B0A8F"/>
    <w:rsid w:val="002B0F21"/>
    <w:rsid w:val="002B16E4"/>
    <w:rsid w:val="002B28D2"/>
    <w:rsid w:val="002B294E"/>
    <w:rsid w:val="002B2A1A"/>
    <w:rsid w:val="002B374A"/>
    <w:rsid w:val="002B3BC9"/>
    <w:rsid w:val="002B5311"/>
    <w:rsid w:val="002B587A"/>
    <w:rsid w:val="002B7C88"/>
    <w:rsid w:val="002B7F06"/>
    <w:rsid w:val="002C0E4C"/>
    <w:rsid w:val="002C2ECC"/>
    <w:rsid w:val="002C2F13"/>
    <w:rsid w:val="002C37AD"/>
    <w:rsid w:val="002C5868"/>
    <w:rsid w:val="002C68A4"/>
    <w:rsid w:val="002D0500"/>
    <w:rsid w:val="002D0761"/>
    <w:rsid w:val="002D0E8E"/>
    <w:rsid w:val="002D1027"/>
    <w:rsid w:val="002D15E1"/>
    <w:rsid w:val="002D26ED"/>
    <w:rsid w:val="002D3400"/>
    <w:rsid w:val="002D364A"/>
    <w:rsid w:val="002D4391"/>
    <w:rsid w:val="002D4609"/>
    <w:rsid w:val="002D4A48"/>
    <w:rsid w:val="002D7E12"/>
    <w:rsid w:val="002E158D"/>
    <w:rsid w:val="002E2B9B"/>
    <w:rsid w:val="002E2E0A"/>
    <w:rsid w:val="002E41F7"/>
    <w:rsid w:val="002E5282"/>
    <w:rsid w:val="002E6EB8"/>
    <w:rsid w:val="002E6FA0"/>
    <w:rsid w:val="002E7005"/>
    <w:rsid w:val="002E7B30"/>
    <w:rsid w:val="002E7B33"/>
    <w:rsid w:val="002E7FD6"/>
    <w:rsid w:val="002F0EE3"/>
    <w:rsid w:val="002F1025"/>
    <w:rsid w:val="002F1204"/>
    <w:rsid w:val="002F1E0B"/>
    <w:rsid w:val="002F28AE"/>
    <w:rsid w:val="002F41C3"/>
    <w:rsid w:val="002F46AC"/>
    <w:rsid w:val="002F511F"/>
    <w:rsid w:val="002F552A"/>
    <w:rsid w:val="002F59D9"/>
    <w:rsid w:val="002F5BC5"/>
    <w:rsid w:val="002F6253"/>
    <w:rsid w:val="002F634E"/>
    <w:rsid w:val="002F6558"/>
    <w:rsid w:val="002F72E9"/>
    <w:rsid w:val="002F7444"/>
    <w:rsid w:val="002F758A"/>
    <w:rsid w:val="002F7FD7"/>
    <w:rsid w:val="0030011E"/>
    <w:rsid w:val="00302D3B"/>
    <w:rsid w:val="00302E5C"/>
    <w:rsid w:val="00303228"/>
    <w:rsid w:val="00303501"/>
    <w:rsid w:val="003052EE"/>
    <w:rsid w:val="00305854"/>
    <w:rsid w:val="00306ED6"/>
    <w:rsid w:val="00306FC7"/>
    <w:rsid w:val="003072DD"/>
    <w:rsid w:val="003075A3"/>
    <w:rsid w:val="00311557"/>
    <w:rsid w:val="00314687"/>
    <w:rsid w:val="003149A1"/>
    <w:rsid w:val="00314E96"/>
    <w:rsid w:val="0031603B"/>
    <w:rsid w:val="00316066"/>
    <w:rsid w:val="0031690A"/>
    <w:rsid w:val="00316AE6"/>
    <w:rsid w:val="0032004F"/>
    <w:rsid w:val="00321C1D"/>
    <w:rsid w:val="00321C79"/>
    <w:rsid w:val="003220D6"/>
    <w:rsid w:val="00322236"/>
    <w:rsid w:val="00323397"/>
    <w:rsid w:val="0032342D"/>
    <w:rsid w:val="003239B2"/>
    <w:rsid w:val="0032483C"/>
    <w:rsid w:val="0032538C"/>
    <w:rsid w:val="0032683A"/>
    <w:rsid w:val="00326E5F"/>
    <w:rsid w:val="00327858"/>
    <w:rsid w:val="00331448"/>
    <w:rsid w:val="00332225"/>
    <w:rsid w:val="003327E4"/>
    <w:rsid w:val="00333F2C"/>
    <w:rsid w:val="003367CC"/>
    <w:rsid w:val="00337F93"/>
    <w:rsid w:val="00340743"/>
    <w:rsid w:val="00340DEA"/>
    <w:rsid w:val="003414FD"/>
    <w:rsid w:val="00342097"/>
    <w:rsid w:val="00342F38"/>
    <w:rsid w:val="003442BA"/>
    <w:rsid w:val="003443B1"/>
    <w:rsid w:val="0035011D"/>
    <w:rsid w:val="00351B1F"/>
    <w:rsid w:val="00353686"/>
    <w:rsid w:val="0035483D"/>
    <w:rsid w:val="00354B5A"/>
    <w:rsid w:val="00356697"/>
    <w:rsid w:val="003579A3"/>
    <w:rsid w:val="00360E0F"/>
    <w:rsid w:val="0036122E"/>
    <w:rsid w:val="00361929"/>
    <w:rsid w:val="003625B4"/>
    <w:rsid w:val="00362FAF"/>
    <w:rsid w:val="00363027"/>
    <w:rsid w:val="003633D4"/>
    <w:rsid w:val="0036358E"/>
    <w:rsid w:val="0036413C"/>
    <w:rsid w:val="003651D6"/>
    <w:rsid w:val="003658E3"/>
    <w:rsid w:val="00365A42"/>
    <w:rsid w:val="00367212"/>
    <w:rsid w:val="00367FAE"/>
    <w:rsid w:val="00370350"/>
    <w:rsid w:val="00370375"/>
    <w:rsid w:val="00371361"/>
    <w:rsid w:val="00371A81"/>
    <w:rsid w:val="003724BC"/>
    <w:rsid w:val="003729BE"/>
    <w:rsid w:val="003738D9"/>
    <w:rsid w:val="00373F99"/>
    <w:rsid w:val="00374D98"/>
    <w:rsid w:val="00375926"/>
    <w:rsid w:val="00375ECD"/>
    <w:rsid w:val="0037674F"/>
    <w:rsid w:val="00376BFA"/>
    <w:rsid w:val="00377832"/>
    <w:rsid w:val="00377BE8"/>
    <w:rsid w:val="00377C8B"/>
    <w:rsid w:val="00377C9A"/>
    <w:rsid w:val="00377E49"/>
    <w:rsid w:val="00380586"/>
    <w:rsid w:val="00381AB6"/>
    <w:rsid w:val="00382658"/>
    <w:rsid w:val="003842D1"/>
    <w:rsid w:val="00384F1E"/>
    <w:rsid w:val="00385B61"/>
    <w:rsid w:val="00387029"/>
    <w:rsid w:val="003903DD"/>
    <w:rsid w:val="0039061D"/>
    <w:rsid w:val="003906FA"/>
    <w:rsid w:val="00390A86"/>
    <w:rsid w:val="003925C1"/>
    <w:rsid w:val="00392706"/>
    <w:rsid w:val="00392A2D"/>
    <w:rsid w:val="00392FA4"/>
    <w:rsid w:val="0039346A"/>
    <w:rsid w:val="00393607"/>
    <w:rsid w:val="00393735"/>
    <w:rsid w:val="003939C7"/>
    <w:rsid w:val="00395F45"/>
    <w:rsid w:val="0039750D"/>
    <w:rsid w:val="003A052D"/>
    <w:rsid w:val="003A0767"/>
    <w:rsid w:val="003A28A7"/>
    <w:rsid w:val="003A2955"/>
    <w:rsid w:val="003A3320"/>
    <w:rsid w:val="003A4868"/>
    <w:rsid w:val="003A55C3"/>
    <w:rsid w:val="003A56C1"/>
    <w:rsid w:val="003A5B4F"/>
    <w:rsid w:val="003A62FF"/>
    <w:rsid w:val="003A67F7"/>
    <w:rsid w:val="003A76EA"/>
    <w:rsid w:val="003B188C"/>
    <w:rsid w:val="003B1EE4"/>
    <w:rsid w:val="003B36AC"/>
    <w:rsid w:val="003B4259"/>
    <w:rsid w:val="003B570C"/>
    <w:rsid w:val="003B58A8"/>
    <w:rsid w:val="003B5FE3"/>
    <w:rsid w:val="003B613C"/>
    <w:rsid w:val="003B6280"/>
    <w:rsid w:val="003B7217"/>
    <w:rsid w:val="003B7A3A"/>
    <w:rsid w:val="003B7A9F"/>
    <w:rsid w:val="003C05B6"/>
    <w:rsid w:val="003C0E09"/>
    <w:rsid w:val="003C1645"/>
    <w:rsid w:val="003C16B8"/>
    <w:rsid w:val="003C3877"/>
    <w:rsid w:val="003C3B44"/>
    <w:rsid w:val="003C3C49"/>
    <w:rsid w:val="003C4062"/>
    <w:rsid w:val="003C550D"/>
    <w:rsid w:val="003C5A55"/>
    <w:rsid w:val="003C6FC7"/>
    <w:rsid w:val="003C7352"/>
    <w:rsid w:val="003C7FAE"/>
    <w:rsid w:val="003D0AB1"/>
    <w:rsid w:val="003D1FE4"/>
    <w:rsid w:val="003D22E7"/>
    <w:rsid w:val="003D2B36"/>
    <w:rsid w:val="003D3051"/>
    <w:rsid w:val="003D373B"/>
    <w:rsid w:val="003D3C5F"/>
    <w:rsid w:val="003D469E"/>
    <w:rsid w:val="003D492E"/>
    <w:rsid w:val="003D4D9F"/>
    <w:rsid w:val="003D52ED"/>
    <w:rsid w:val="003D581D"/>
    <w:rsid w:val="003D689A"/>
    <w:rsid w:val="003D6C44"/>
    <w:rsid w:val="003D7164"/>
    <w:rsid w:val="003D77A2"/>
    <w:rsid w:val="003D79A9"/>
    <w:rsid w:val="003E0130"/>
    <w:rsid w:val="003E04AC"/>
    <w:rsid w:val="003E096A"/>
    <w:rsid w:val="003E0A4D"/>
    <w:rsid w:val="003E191C"/>
    <w:rsid w:val="003E3CEC"/>
    <w:rsid w:val="003E4976"/>
    <w:rsid w:val="003E5660"/>
    <w:rsid w:val="003E5E02"/>
    <w:rsid w:val="003E600C"/>
    <w:rsid w:val="003E6814"/>
    <w:rsid w:val="003E6A71"/>
    <w:rsid w:val="003E71B2"/>
    <w:rsid w:val="003E7557"/>
    <w:rsid w:val="003F1542"/>
    <w:rsid w:val="003F1B4A"/>
    <w:rsid w:val="003F1E58"/>
    <w:rsid w:val="003F3C17"/>
    <w:rsid w:val="003F47A9"/>
    <w:rsid w:val="003F4870"/>
    <w:rsid w:val="003F6968"/>
    <w:rsid w:val="003F6EED"/>
    <w:rsid w:val="003F7F67"/>
    <w:rsid w:val="00400BA4"/>
    <w:rsid w:val="00402EAB"/>
    <w:rsid w:val="00403582"/>
    <w:rsid w:val="00403C3A"/>
    <w:rsid w:val="00405864"/>
    <w:rsid w:val="00405991"/>
    <w:rsid w:val="004063F5"/>
    <w:rsid w:val="004066F3"/>
    <w:rsid w:val="00407BC6"/>
    <w:rsid w:val="00411562"/>
    <w:rsid w:val="00412088"/>
    <w:rsid w:val="0041517C"/>
    <w:rsid w:val="004155EA"/>
    <w:rsid w:val="004157DE"/>
    <w:rsid w:val="004162E4"/>
    <w:rsid w:val="00417C95"/>
    <w:rsid w:val="00420629"/>
    <w:rsid w:val="00420BC6"/>
    <w:rsid w:val="00423967"/>
    <w:rsid w:val="0042406F"/>
    <w:rsid w:val="00424896"/>
    <w:rsid w:val="0042497E"/>
    <w:rsid w:val="00425B99"/>
    <w:rsid w:val="004264D1"/>
    <w:rsid w:val="00427718"/>
    <w:rsid w:val="00427BAA"/>
    <w:rsid w:val="004304F5"/>
    <w:rsid w:val="0043143F"/>
    <w:rsid w:val="00431E49"/>
    <w:rsid w:val="00432B98"/>
    <w:rsid w:val="00432F7B"/>
    <w:rsid w:val="004330CC"/>
    <w:rsid w:val="0043351E"/>
    <w:rsid w:val="004358FC"/>
    <w:rsid w:val="00435C3B"/>
    <w:rsid w:val="004367EB"/>
    <w:rsid w:val="00436961"/>
    <w:rsid w:val="00436C42"/>
    <w:rsid w:val="00436E4F"/>
    <w:rsid w:val="0043771F"/>
    <w:rsid w:val="0044093C"/>
    <w:rsid w:val="00441288"/>
    <w:rsid w:val="004423E1"/>
    <w:rsid w:val="004425CB"/>
    <w:rsid w:val="004431FF"/>
    <w:rsid w:val="00444721"/>
    <w:rsid w:val="004450F2"/>
    <w:rsid w:val="00445D6F"/>
    <w:rsid w:val="00447C6A"/>
    <w:rsid w:val="00450773"/>
    <w:rsid w:val="00450A50"/>
    <w:rsid w:val="004513DF"/>
    <w:rsid w:val="00451CAF"/>
    <w:rsid w:val="00452A72"/>
    <w:rsid w:val="00452CEE"/>
    <w:rsid w:val="004564AA"/>
    <w:rsid w:val="004569EF"/>
    <w:rsid w:val="00456DB0"/>
    <w:rsid w:val="00456E17"/>
    <w:rsid w:val="00456F47"/>
    <w:rsid w:val="0045793A"/>
    <w:rsid w:val="00461008"/>
    <w:rsid w:val="00461C6B"/>
    <w:rsid w:val="00463F3E"/>
    <w:rsid w:val="00464B1B"/>
    <w:rsid w:val="00466A18"/>
    <w:rsid w:val="00467734"/>
    <w:rsid w:val="004742D7"/>
    <w:rsid w:val="0047608E"/>
    <w:rsid w:val="00476E6C"/>
    <w:rsid w:val="0047776D"/>
    <w:rsid w:val="00477778"/>
    <w:rsid w:val="00481CF6"/>
    <w:rsid w:val="00482920"/>
    <w:rsid w:val="00482EA5"/>
    <w:rsid w:val="00483786"/>
    <w:rsid w:val="004837BF"/>
    <w:rsid w:val="00484950"/>
    <w:rsid w:val="00485EB7"/>
    <w:rsid w:val="00486B17"/>
    <w:rsid w:val="00487C2C"/>
    <w:rsid w:val="00491446"/>
    <w:rsid w:val="00495E52"/>
    <w:rsid w:val="0049632D"/>
    <w:rsid w:val="00496F89"/>
    <w:rsid w:val="004976F2"/>
    <w:rsid w:val="00497B36"/>
    <w:rsid w:val="004A03C9"/>
    <w:rsid w:val="004A0624"/>
    <w:rsid w:val="004A16E3"/>
    <w:rsid w:val="004A2B06"/>
    <w:rsid w:val="004A3420"/>
    <w:rsid w:val="004A3A8E"/>
    <w:rsid w:val="004A4A68"/>
    <w:rsid w:val="004A79BF"/>
    <w:rsid w:val="004B066D"/>
    <w:rsid w:val="004B14DD"/>
    <w:rsid w:val="004B3438"/>
    <w:rsid w:val="004B39E2"/>
    <w:rsid w:val="004B4177"/>
    <w:rsid w:val="004B51AC"/>
    <w:rsid w:val="004B550D"/>
    <w:rsid w:val="004B58E6"/>
    <w:rsid w:val="004B6E83"/>
    <w:rsid w:val="004B734E"/>
    <w:rsid w:val="004B7799"/>
    <w:rsid w:val="004B78E0"/>
    <w:rsid w:val="004B799D"/>
    <w:rsid w:val="004C002E"/>
    <w:rsid w:val="004C03D6"/>
    <w:rsid w:val="004C1F20"/>
    <w:rsid w:val="004C2CDF"/>
    <w:rsid w:val="004C40D5"/>
    <w:rsid w:val="004C4EF6"/>
    <w:rsid w:val="004C6836"/>
    <w:rsid w:val="004C6F95"/>
    <w:rsid w:val="004C79FC"/>
    <w:rsid w:val="004C7AC6"/>
    <w:rsid w:val="004D0FA0"/>
    <w:rsid w:val="004D1786"/>
    <w:rsid w:val="004D2948"/>
    <w:rsid w:val="004D32EA"/>
    <w:rsid w:val="004D357A"/>
    <w:rsid w:val="004D36D5"/>
    <w:rsid w:val="004D3A2F"/>
    <w:rsid w:val="004D3CA5"/>
    <w:rsid w:val="004D4651"/>
    <w:rsid w:val="004E01FD"/>
    <w:rsid w:val="004E09E6"/>
    <w:rsid w:val="004E3256"/>
    <w:rsid w:val="004E34E8"/>
    <w:rsid w:val="004E48F5"/>
    <w:rsid w:val="004E4F53"/>
    <w:rsid w:val="004E7162"/>
    <w:rsid w:val="004E7784"/>
    <w:rsid w:val="004F0C09"/>
    <w:rsid w:val="004F2500"/>
    <w:rsid w:val="004F27C6"/>
    <w:rsid w:val="004F2B64"/>
    <w:rsid w:val="004F2E70"/>
    <w:rsid w:val="004F4DF9"/>
    <w:rsid w:val="004F57D9"/>
    <w:rsid w:val="004F6737"/>
    <w:rsid w:val="004F715E"/>
    <w:rsid w:val="004F7C0F"/>
    <w:rsid w:val="004F7D4E"/>
    <w:rsid w:val="005000B8"/>
    <w:rsid w:val="005010D0"/>
    <w:rsid w:val="0050167B"/>
    <w:rsid w:val="00501E83"/>
    <w:rsid w:val="0050228B"/>
    <w:rsid w:val="00502468"/>
    <w:rsid w:val="005033AD"/>
    <w:rsid w:val="005033C7"/>
    <w:rsid w:val="005037EA"/>
    <w:rsid w:val="0050484B"/>
    <w:rsid w:val="00504C53"/>
    <w:rsid w:val="00504E0E"/>
    <w:rsid w:val="00505AB4"/>
    <w:rsid w:val="00505FCD"/>
    <w:rsid w:val="00506B47"/>
    <w:rsid w:val="005074B8"/>
    <w:rsid w:val="0051018E"/>
    <w:rsid w:val="00510A2D"/>
    <w:rsid w:val="00510C1D"/>
    <w:rsid w:val="00511A30"/>
    <w:rsid w:val="00511C3A"/>
    <w:rsid w:val="00511E90"/>
    <w:rsid w:val="00511EF8"/>
    <w:rsid w:val="00511F45"/>
    <w:rsid w:val="00512284"/>
    <w:rsid w:val="0051423B"/>
    <w:rsid w:val="00515AA6"/>
    <w:rsid w:val="00516229"/>
    <w:rsid w:val="00516F16"/>
    <w:rsid w:val="0051710B"/>
    <w:rsid w:val="00517C84"/>
    <w:rsid w:val="00517EE9"/>
    <w:rsid w:val="00520CFD"/>
    <w:rsid w:val="00520F2B"/>
    <w:rsid w:val="00521362"/>
    <w:rsid w:val="00522A41"/>
    <w:rsid w:val="005236F6"/>
    <w:rsid w:val="00524603"/>
    <w:rsid w:val="0052489B"/>
    <w:rsid w:val="00524914"/>
    <w:rsid w:val="0052496D"/>
    <w:rsid w:val="00525EE8"/>
    <w:rsid w:val="00527FD1"/>
    <w:rsid w:val="005309E1"/>
    <w:rsid w:val="00531169"/>
    <w:rsid w:val="0053242A"/>
    <w:rsid w:val="00533645"/>
    <w:rsid w:val="00533A69"/>
    <w:rsid w:val="00533D53"/>
    <w:rsid w:val="005344CC"/>
    <w:rsid w:val="0053532E"/>
    <w:rsid w:val="005360B8"/>
    <w:rsid w:val="005375B7"/>
    <w:rsid w:val="00541274"/>
    <w:rsid w:val="005417AD"/>
    <w:rsid w:val="00542028"/>
    <w:rsid w:val="00542047"/>
    <w:rsid w:val="00542996"/>
    <w:rsid w:val="00542AC1"/>
    <w:rsid w:val="00543D44"/>
    <w:rsid w:val="00543FDC"/>
    <w:rsid w:val="00544442"/>
    <w:rsid w:val="005449DB"/>
    <w:rsid w:val="00545B3B"/>
    <w:rsid w:val="005464C3"/>
    <w:rsid w:val="00547AA2"/>
    <w:rsid w:val="0055038C"/>
    <w:rsid w:val="005519AE"/>
    <w:rsid w:val="005524C6"/>
    <w:rsid w:val="00552E2C"/>
    <w:rsid w:val="005532DE"/>
    <w:rsid w:val="00554222"/>
    <w:rsid w:val="00554578"/>
    <w:rsid w:val="00554C0D"/>
    <w:rsid w:val="0055569E"/>
    <w:rsid w:val="005557BE"/>
    <w:rsid w:val="00555DAE"/>
    <w:rsid w:val="005561E4"/>
    <w:rsid w:val="0055683F"/>
    <w:rsid w:val="00556BFB"/>
    <w:rsid w:val="0056138C"/>
    <w:rsid w:val="005614E5"/>
    <w:rsid w:val="005620A2"/>
    <w:rsid w:val="005628FF"/>
    <w:rsid w:val="005639A0"/>
    <w:rsid w:val="005640D6"/>
    <w:rsid w:val="00564D5D"/>
    <w:rsid w:val="005709E2"/>
    <w:rsid w:val="00570F2E"/>
    <w:rsid w:val="00571396"/>
    <w:rsid w:val="00571E91"/>
    <w:rsid w:val="00572C8B"/>
    <w:rsid w:val="00573371"/>
    <w:rsid w:val="00574336"/>
    <w:rsid w:val="00576013"/>
    <w:rsid w:val="00577B46"/>
    <w:rsid w:val="005809C2"/>
    <w:rsid w:val="00580E23"/>
    <w:rsid w:val="00580F09"/>
    <w:rsid w:val="005811A4"/>
    <w:rsid w:val="00581227"/>
    <w:rsid w:val="00581692"/>
    <w:rsid w:val="005824BD"/>
    <w:rsid w:val="00583ACA"/>
    <w:rsid w:val="00584BC1"/>
    <w:rsid w:val="005856D0"/>
    <w:rsid w:val="00585B46"/>
    <w:rsid w:val="00586042"/>
    <w:rsid w:val="005861F6"/>
    <w:rsid w:val="00586FAF"/>
    <w:rsid w:val="00587E68"/>
    <w:rsid w:val="005907AF"/>
    <w:rsid w:val="005908D6"/>
    <w:rsid w:val="00590E1E"/>
    <w:rsid w:val="005917C3"/>
    <w:rsid w:val="00591A0E"/>
    <w:rsid w:val="00591FD0"/>
    <w:rsid w:val="00592F09"/>
    <w:rsid w:val="00593048"/>
    <w:rsid w:val="005942D3"/>
    <w:rsid w:val="00595683"/>
    <w:rsid w:val="00596D31"/>
    <w:rsid w:val="0059790F"/>
    <w:rsid w:val="005A0366"/>
    <w:rsid w:val="005A141E"/>
    <w:rsid w:val="005A1CDE"/>
    <w:rsid w:val="005A37A8"/>
    <w:rsid w:val="005A501C"/>
    <w:rsid w:val="005A6698"/>
    <w:rsid w:val="005B3001"/>
    <w:rsid w:val="005B5A3F"/>
    <w:rsid w:val="005B6D17"/>
    <w:rsid w:val="005B6E6F"/>
    <w:rsid w:val="005B7255"/>
    <w:rsid w:val="005B75EB"/>
    <w:rsid w:val="005C00CF"/>
    <w:rsid w:val="005C048B"/>
    <w:rsid w:val="005C3412"/>
    <w:rsid w:val="005C5437"/>
    <w:rsid w:val="005C5668"/>
    <w:rsid w:val="005C5D57"/>
    <w:rsid w:val="005C5DA5"/>
    <w:rsid w:val="005C61D8"/>
    <w:rsid w:val="005C75DD"/>
    <w:rsid w:val="005D154D"/>
    <w:rsid w:val="005D20B3"/>
    <w:rsid w:val="005D2133"/>
    <w:rsid w:val="005D282D"/>
    <w:rsid w:val="005D2DEE"/>
    <w:rsid w:val="005D395A"/>
    <w:rsid w:val="005D5DCE"/>
    <w:rsid w:val="005D731F"/>
    <w:rsid w:val="005D7B36"/>
    <w:rsid w:val="005E13AE"/>
    <w:rsid w:val="005E1530"/>
    <w:rsid w:val="005E1B44"/>
    <w:rsid w:val="005E1DC8"/>
    <w:rsid w:val="005E21F7"/>
    <w:rsid w:val="005E25A6"/>
    <w:rsid w:val="005E2E72"/>
    <w:rsid w:val="005E3590"/>
    <w:rsid w:val="005E54A8"/>
    <w:rsid w:val="005E5D7D"/>
    <w:rsid w:val="005F0005"/>
    <w:rsid w:val="005F2EE3"/>
    <w:rsid w:val="005F39D6"/>
    <w:rsid w:val="005F49C8"/>
    <w:rsid w:val="005F500E"/>
    <w:rsid w:val="005F5679"/>
    <w:rsid w:val="005F64C7"/>
    <w:rsid w:val="005F7862"/>
    <w:rsid w:val="006015BD"/>
    <w:rsid w:val="00601BB4"/>
    <w:rsid w:val="0060282D"/>
    <w:rsid w:val="00603553"/>
    <w:rsid w:val="006044B2"/>
    <w:rsid w:val="00605087"/>
    <w:rsid w:val="006064FD"/>
    <w:rsid w:val="00606CE8"/>
    <w:rsid w:val="00610414"/>
    <w:rsid w:val="00611244"/>
    <w:rsid w:val="006117AF"/>
    <w:rsid w:val="00611E17"/>
    <w:rsid w:val="00612B5E"/>
    <w:rsid w:val="00612DE0"/>
    <w:rsid w:val="00613B90"/>
    <w:rsid w:val="00613D75"/>
    <w:rsid w:val="0061435F"/>
    <w:rsid w:val="00614C32"/>
    <w:rsid w:val="00614CF5"/>
    <w:rsid w:val="00615B2E"/>
    <w:rsid w:val="00615D75"/>
    <w:rsid w:val="0061684E"/>
    <w:rsid w:val="00616D5D"/>
    <w:rsid w:val="006175A0"/>
    <w:rsid w:val="00617642"/>
    <w:rsid w:val="00617706"/>
    <w:rsid w:val="00617A2C"/>
    <w:rsid w:val="00617BDF"/>
    <w:rsid w:val="00620CE9"/>
    <w:rsid w:val="006214FE"/>
    <w:rsid w:val="00621D42"/>
    <w:rsid w:val="00621EFB"/>
    <w:rsid w:val="006229ED"/>
    <w:rsid w:val="0062308F"/>
    <w:rsid w:val="00624BD7"/>
    <w:rsid w:val="00625F32"/>
    <w:rsid w:val="00626065"/>
    <w:rsid w:val="0063083C"/>
    <w:rsid w:val="006308DB"/>
    <w:rsid w:val="006316B2"/>
    <w:rsid w:val="00634224"/>
    <w:rsid w:val="00634344"/>
    <w:rsid w:val="006361FE"/>
    <w:rsid w:val="006374AF"/>
    <w:rsid w:val="00637E4C"/>
    <w:rsid w:val="006403EB"/>
    <w:rsid w:val="00641239"/>
    <w:rsid w:val="00641AFB"/>
    <w:rsid w:val="00642AC2"/>
    <w:rsid w:val="00642DB6"/>
    <w:rsid w:val="00643242"/>
    <w:rsid w:val="00643334"/>
    <w:rsid w:val="00643757"/>
    <w:rsid w:val="006445D8"/>
    <w:rsid w:val="00645A14"/>
    <w:rsid w:val="00646A01"/>
    <w:rsid w:val="00647BEC"/>
    <w:rsid w:val="00650482"/>
    <w:rsid w:val="006511C7"/>
    <w:rsid w:val="0065129D"/>
    <w:rsid w:val="006513E9"/>
    <w:rsid w:val="006541DF"/>
    <w:rsid w:val="00655D3A"/>
    <w:rsid w:val="0065670A"/>
    <w:rsid w:val="006568CD"/>
    <w:rsid w:val="00656CC2"/>
    <w:rsid w:val="006606D7"/>
    <w:rsid w:val="0066082F"/>
    <w:rsid w:val="00660D44"/>
    <w:rsid w:val="00662ACA"/>
    <w:rsid w:val="00662FF4"/>
    <w:rsid w:val="00663771"/>
    <w:rsid w:val="00665FA0"/>
    <w:rsid w:val="0066603C"/>
    <w:rsid w:val="006705EB"/>
    <w:rsid w:val="00672612"/>
    <w:rsid w:val="00673A1A"/>
    <w:rsid w:val="00675273"/>
    <w:rsid w:val="006757F1"/>
    <w:rsid w:val="0068075A"/>
    <w:rsid w:val="0068076E"/>
    <w:rsid w:val="00681250"/>
    <w:rsid w:val="00681951"/>
    <w:rsid w:val="00681E3C"/>
    <w:rsid w:val="0068246A"/>
    <w:rsid w:val="006827CC"/>
    <w:rsid w:val="00682C17"/>
    <w:rsid w:val="00682E57"/>
    <w:rsid w:val="006841ED"/>
    <w:rsid w:val="0068645E"/>
    <w:rsid w:val="00686C25"/>
    <w:rsid w:val="00687269"/>
    <w:rsid w:val="00690C55"/>
    <w:rsid w:val="00690F8D"/>
    <w:rsid w:val="00691CCC"/>
    <w:rsid w:val="00692440"/>
    <w:rsid w:val="006930AE"/>
    <w:rsid w:val="0069353C"/>
    <w:rsid w:val="006942E5"/>
    <w:rsid w:val="006946CB"/>
    <w:rsid w:val="00694809"/>
    <w:rsid w:val="00696C36"/>
    <w:rsid w:val="006A0574"/>
    <w:rsid w:val="006A08D0"/>
    <w:rsid w:val="006A08F0"/>
    <w:rsid w:val="006A0A42"/>
    <w:rsid w:val="006A11E5"/>
    <w:rsid w:val="006A11F9"/>
    <w:rsid w:val="006A1D40"/>
    <w:rsid w:val="006A2EEC"/>
    <w:rsid w:val="006A3345"/>
    <w:rsid w:val="006A4939"/>
    <w:rsid w:val="006A5016"/>
    <w:rsid w:val="006A714B"/>
    <w:rsid w:val="006A7A07"/>
    <w:rsid w:val="006A7AC5"/>
    <w:rsid w:val="006B01B1"/>
    <w:rsid w:val="006B0363"/>
    <w:rsid w:val="006B0FFF"/>
    <w:rsid w:val="006B1AB1"/>
    <w:rsid w:val="006B3170"/>
    <w:rsid w:val="006B31C9"/>
    <w:rsid w:val="006B329A"/>
    <w:rsid w:val="006B3CC5"/>
    <w:rsid w:val="006B46DC"/>
    <w:rsid w:val="006B7597"/>
    <w:rsid w:val="006C17A4"/>
    <w:rsid w:val="006C17F6"/>
    <w:rsid w:val="006C2BBA"/>
    <w:rsid w:val="006C2C19"/>
    <w:rsid w:val="006C319D"/>
    <w:rsid w:val="006C379D"/>
    <w:rsid w:val="006C3A3B"/>
    <w:rsid w:val="006C583E"/>
    <w:rsid w:val="006C609F"/>
    <w:rsid w:val="006C6433"/>
    <w:rsid w:val="006C72A1"/>
    <w:rsid w:val="006C79C4"/>
    <w:rsid w:val="006D13E2"/>
    <w:rsid w:val="006D18E7"/>
    <w:rsid w:val="006D1DC4"/>
    <w:rsid w:val="006D2336"/>
    <w:rsid w:val="006D25EE"/>
    <w:rsid w:val="006D2874"/>
    <w:rsid w:val="006D358A"/>
    <w:rsid w:val="006D40C6"/>
    <w:rsid w:val="006D47A2"/>
    <w:rsid w:val="006D48AF"/>
    <w:rsid w:val="006D55AF"/>
    <w:rsid w:val="006D5C28"/>
    <w:rsid w:val="006D6D9A"/>
    <w:rsid w:val="006E19F0"/>
    <w:rsid w:val="006E23AF"/>
    <w:rsid w:val="006E2878"/>
    <w:rsid w:val="006E4D52"/>
    <w:rsid w:val="006E4EB8"/>
    <w:rsid w:val="006E5275"/>
    <w:rsid w:val="006E569D"/>
    <w:rsid w:val="006E628F"/>
    <w:rsid w:val="006E629D"/>
    <w:rsid w:val="006E6775"/>
    <w:rsid w:val="006E77C2"/>
    <w:rsid w:val="006F0DFE"/>
    <w:rsid w:val="006F119F"/>
    <w:rsid w:val="006F2F18"/>
    <w:rsid w:val="006F3EAD"/>
    <w:rsid w:val="006F411B"/>
    <w:rsid w:val="006F4598"/>
    <w:rsid w:val="006F5144"/>
    <w:rsid w:val="006F52CD"/>
    <w:rsid w:val="006F57A8"/>
    <w:rsid w:val="006F5EBF"/>
    <w:rsid w:val="006F694C"/>
    <w:rsid w:val="006F6A9A"/>
    <w:rsid w:val="006F7812"/>
    <w:rsid w:val="006F7888"/>
    <w:rsid w:val="006F7BF8"/>
    <w:rsid w:val="00700818"/>
    <w:rsid w:val="0070181C"/>
    <w:rsid w:val="00701F73"/>
    <w:rsid w:val="00701FE5"/>
    <w:rsid w:val="00702246"/>
    <w:rsid w:val="007049C9"/>
    <w:rsid w:val="00704D91"/>
    <w:rsid w:val="007056DE"/>
    <w:rsid w:val="00705888"/>
    <w:rsid w:val="007059EF"/>
    <w:rsid w:val="0071038F"/>
    <w:rsid w:val="007114C4"/>
    <w:rsid w:val="0071292B"/>
    <w:rsid w:val="007136CA"/>
    <w:rsid w:val="00715154"/>
    <w:rsid w:val="00716E2B"/>
    <w:rsid w:val="007175EF"/>
    <w:rsid w:val="0072029F"/>
    <w:rsid w:val="00723328"/>
    <w:rsid w:val="007262A8"/>
    <w:rsid w:val="0072647E"/>
    <w:rsid w:val="007275E8"/>
    <w:rsid w:val="00727D6C"/>
    <w:rsid w:val="0073125C"/>
    <w:rsid w:val="007313DC"/>
    <w:rsid w:val="007315EB"/>
    <w:rsid w:val="00731822"/>
    <w:rsid w:val="00732A2C"/>
    <w:rsid w:val="00732AEC"/>
    <w:rsid w:val="00734AE4"/>
    <w:rsid w:val="00735D8F"/>
    <w:rsid w:val="00737731"/>
    <w:rsid w:val="007424FC"/>
    <w:rsid w:val="00742820"/>
    <w:rsid w:val="00743E9C"/>
    <w:rsid w:val="00744914"/>
    <w:rsid w:val="00746816"/>
    <w:rsid w:val="00746FC6"/>
    <w:rsid w:val="007470DE"/>
    <w:rsid w:val="007473C6"/>
    <w:rsid w:val="007504FD"/>
    <w:rsid w:val="00751E9F"/>
    <w:rsid w:val="007525EE"/>
    <w:rsid w:val="00754BFD"/>
    <w:rsid w:val="00754D32"/>
    <w:rsid w:val="00755D2D"/>
    <w:rsid w:val="007573C6"/>
    <w:rsid w:val="00757490"/>
    <w:rsid w:val="00760AB9"/>
    <w:rsid w:val="00760C27"/>
    <w:rsid w:val="00760D8D"/>
    <w:rsid w:val="007618E5"/>
    <w:rsid w:val="00764702"/>
    <w:rsid w:val="00764AAC"/>
    <w:rsid w:val="007654BD"/>
    <w:rsid w:val="00765B88"/>
    <w:rsid w:val="00767BB7"/>
    <w:rsid w:val="00767C93"/>
    <w:rsid w:val="00772856"/>
    <w:rsid w:val="007729E5"/>
    <w:rsid w:val="00772D34"/>
    <w:rsid w:val="007746C7"/>
    <w:rsid w:val="00774761"/>
    <w:rsid w:val="007752F2"/>
    <w:rsid w:val="00775736"/>
    <w:rsid w:val="00775FAA"/>
    <w:rsid w:val="00776556"/>
    <w:rsid w:val="00777E96"/>
    <w:rsid w:val="00780437"/>
    <w:rsid w:val="00780D8A"/>
    <w:rsid w:val="0078114A"/>
    <w:rsid w:val="007814BB"/>
    <w:rsid w:val="0078425E"/>
    <w:rsid w:val="00784923"/>
    <w:rsid w:val="00784C88"/>
    <w:rsid w:val="00784FCE"/>
    <w:rsid w:val="007850E8"/>
    <w:rsid w:val="00785DE7"/>
    <w:rsid w:val="00786B18"/>
    <w:rsid w:val="00786C94"/>
    <w:rsid w:val="0078763C"/>
    <w:rsid w:val="00787848"/>
    <w:rsid w:val="00790D08"/>
    <w:rsid w:val="00791D43"/>
    <w:rsid w:val="007936C3"/>
    <w:rsid w:val="00794FD7"/>
    <w:rsid w:val="0079682C"/>
    <w:rsid w:val="007971B1"/>
    <w:rsid w:val="007977EB"/>
    <w:rsid w:val="007A017F"/>
    <w:rsid w:val="007A02F3"/>
    <w:rsid w:val="007A1B78"/>
    <w:rsid w:val="007A2142"/>
    <w:rsid w:val="007A2536"/>
    <w:rsid w:val="007A27D9"/>
    <w:rsid w:val="007A2DEE"/>
    <w:rsid w:val="007A34EE"/>
    <w:rsid w:val="007A372C"/>
    <w:rsid w:val="007A3D4E"/>
    <w:rsid w:val="007A42D4"/>
    <w:rsid w:val="007A5002"/>
    <w:rsid w:val="007A556F"/>
    <w:rsid w:val="007A5B5B"/>
    <w:rsid w:val="007B059C"/>
    <w:rsid w:val="007B139E"/>
    <w:rsid w:val="007B2AF8"/>
    <w:rsid w:val="007B41D3"/>
    <w:rsid w:val="007B485F"/>
    <w:rsid w:val="007B5623"/>
    <w:rsid w:val="007B632D"/>
    <w:rsid w:val="007B63B3"/>
    <w:rsid w:val="007B6C50"/>
    <w:rsid w:val="007B6CE7"/>
    <w:rsid w:val="007B6EEC"/>
    <w:rsid w:val="007B7225"/>
    <w:rsid w:val="007B766C"/>
    <w:rsid w:val="007C00F3"/>
    <w:rsid w:val="007C016A"/>
    <w:rsid w:val="007C0FB2"/>
    <w:rsid w:val="007C30A6"/>
    <w:rsid w:val="007C328B"/>
    <w:rsid w:val="007C4058"/>
    <w:rsid w:val="007C409F"/>
    <w:rsid w:val="007C4593"/>
    <w:rsid w:val="007C4AFE"/>
    <w:rsid w:val="007C57FF"/>
    <w:rsid w:val="007C5927"/>
    <w:rsid w:val="007C5A7F"/>
    <w:rsid w:val="007C6208"/>
    <w:rsid w:val="007C6C28"/>
    <w:rsid w:val="007C6CFB"/>
    <w:rsid w:val="007C78AE"/>
    <w:rsid w:val="007D0FF8"/>
    <w:rsid w:val="007D1A45"/>
    <w:rsid w:val="007D2504"/>
    <w:rsid w:val="007D3A5F"/>
    <w:rsid w:val="007D5021"/>
    <w:rsid w:val="007D5DA9"/>
    <w:rsid w:val="007D5DF8"/>
    <w:rsid w:val="007D6866"/>
    <w:rsid w:val="007D6E34"/>
    <w:rsid w:val="007D7701"/>
    <w:rsid w:val="007D7894"/>
    <w:rsid w:val="007E054F"/>
    <w:rsid w:val="007E0E6E"/>
    <w:rsid w:val="007E0F95"/>
    <w:rsid w:val="007E13CD"/>
    <w:rsid w:val="007E6911"/>
    <w:rsid w:val="007E7AF2"/>
    <w:rsid w:val="007F0C36"/>
    <w:rsid w:val="007F0DF2"/>
    <w:rsid w:val="007F108A"/>
    <w:rsid w:val="007F2CA0"/>
    <w:rsid w:val="007F33DD"/>
    <w:rsid w:val="007F3B6D"/>
    <w:rsid w:val="007F5045"/>
    <w:rsid w:val="007F6355"/>
    <w:rsid w:val="007F74C6"/>
    <w:rsid w:val="007F7A4A"/>
    <w:rsid w:val="007F7D94"/>
    <w:rsid w:val="0080005E"/>
    <w:rsid w:val="008008C4"/>
    <w:rsid w:val="00800A65"/>
    <w:rsid w:val="0080195B"/>
    <w:rsid w:val="00801BCD"/>
    <w:rsid w:val="00801D74"/>
    <w:rsid w:val="00802BD6"/>
    <w:rsid w:val="00803D3B"/>
    <w:rsid w:val="008049ED"/>
    <w:rsid w:val="00805661"/>
    <w:rsid w:val="00805D01"/>
    <w:rsid w:val="00806338"/>
    <w:rsid w:val="0080736C"/>
    <w:rsid w:val="00807603"/>
    <w:rsid w:val="00807FD9"/>
    <w:rsid w:val="0081157D"/>
    <w:rsid w:val="00811839"/>
    <w:rsid w:val="00811DE2"/>
    <w:rsid w:val="00811F65"/>
    <w:rsid w:val="00813BEE"/>
    <w:rsid w:val="00813D11"/>
    <w:rsid w:val="00815398"/>
    <w:rsid w:val="00815839"/>
    <w:rsid w:val="0082063C"/>
    <w:rsid w:val="00821ACF"/>
    <w:rsid w:val="00821C6B"/>
    <w:rsid w:val="00822395"/>
    <w:rsid w:val="008228CE"/>
    <w:rsid w:val="008236FD"/>
    <w:rsid w:val="0082390B"/>
    <w:rsid w:val="00823A00"/>
    <w:rsid w:val="00824C8C"/>
    <w:rsid w:val="008259AA"/>
    <w:rsid w:val="00827640"/>
    <w:rsid w:val="00827D2F"/>
    <w:rsid w:val="00832276"/>
    <w:rsid w:val="00833C15"/>
    <w:rsid w:val="00833EE2"/>
    <w:rsid w:val="0083436D"/>
    <w:rsid w:val="00835223"/>
    <w:rsid w:val="008352A9"/>
    <w:rsid w:val="00835FAF"/>
    <w:rsid w:val="008363AF"/>
    <w:rsid w:val="008369B4"/>
    <w:rsid w:val="00837774"/>
    <w:rsid w:val="00840B9D"/>
    <w:rsid w:val="0084158D"/>
    <w:rsid w:val="00841B72"/>
    <w:rsid w:val="00843216"/>
    <w:rsid w:val="008434EA"/>
    <w:rsid w:val="00844B1C"/>
    <w:rsid w:val="00844B5F"/>
    <w:rsid w:val="008456DE"/>
    <w:rsid w:val="00845852"/>
    <w:rsid w:val="00846032"/>
    <w:rsid w:val="0084635C"/>
    <w:rsid w:val="00846A38"/>
    <w:rsid w:val="00846EA7"/>
    <w:rsid w:val="0085103D"/>
    <w:rsid w:val="00851A70"/>
    <w:rsid w:val="00852249"/>
    <w:rsid w:val="00853479"/>
    <w:rsid w:val="00853814"/>
    <w:rsid w:val="00854551"/>
    <w:rsid w:val="00855923"/>
    <w:rsid w:val="008562D3"/>
    <w:rsid w:val="008569C8"/>
    <w:rsid w:val="00856AB5"/>
    <w:rsid w:val="00856C2F"/>
    <w:rsid w:val="008574BA"/>
    <w:rsid w:val="00860276"/>
    <w:rsid w:val="00860800"/>
    <w:rsid w:val="008618C4"/>
    <w:rsid w:val="00861B97"/>
    <w:rsid w:val="008631DA"/>
    <w:rsid w:val="0086328A"/>
    <w:rsid w:val="00863F1C"/>
    <w:rsid w:val="00864B4E"/>
    <w:rsid w:val="008656B1"/>
    <w:rsid w:val="008664BD"/>
    <w:rsid w:val="00866A9E"/>
    <w:rsid w:val="00867754"/>
    <w:rsid w:val="00870753"/>
    <w:rsid w:val="008725B4"/>
    <w:rsid w:val="00872F83"/>
    <w:rsid w:val="00873682"/>
    <w:rsid w:val="00875BCB"/>
    <w:rsid w:val="00875E6A"/>
    <w:rsid w:val="00876E14"/>
    <w:rsid w:val="008771C7"/>
    <w:rsid w:val="0087726D"/>
    <w:rsid w:val="0087766C"/>
    <w:rsid w:val="00880121"/>
    <w:rsid w:val="0088042D"/>
    <w:rsid w:val="00881284"/>
    <w:rsid w:val="00881FD4"/>
    <w:rsid w:val="008826F9"/>
    <w:rsid w:val="00883043"/>
    <w:rsid w:val="008839E9"/>
    <w:rsid w:val="00885E4B"/>
    <w:rsid w:val="00887DC6"/>
    <w:rsid w:val="00890D50"/>
    <w:rsid w:val="00890D9D"/>
    <w:rsid w:val="00891967"/>
    <w:rsid w:val="00891CAE"/>
    <w:rsid w:val="00893556"/>
    <w:rsid w:val="008942EE"/>
    <w:rsid w:val="00894D76"/>
    <w:rsid w:val="00895E82"/>
    <w:rsid w:val="00897698"/>
    <w:rsid w:val="00897FBC"/>
    <w:rsid w:val="008A09EC"/>
    <w:rsid w:val="008A15B4"/>
    <w:rsid w:val="008A228C"/>
    <w:rsid w:val="008A355C"/>
    <w:rsid w:val="008A481F"/>
    <w:rsid w:val="008A5E79"/>
    <w:rsid w:val="008A6802"/>
    <w:rsid w:val="008A6CBA"/>
    <w:rsid w:val="008A6EF7"/>
    <w:rsid w:val="008A7D86"/>
    <w:rsid w:val="008A7EEA"/>
    <w:rsid w:val="008B0034"/>
    <w:rsid w:val="008B0344"/>
    <w:rsid w:val="008B04F4"/>
    <w:rsid w:val="008B132F"/>
    <w:rsid w:val="008B4BFE"/>
    <w:rsid w:val="008B5771"/>
    <w:rsid w:val="008B5B2B"/>
    <w:rsid w:val="008B6D9C"/>
    <w:rsid w:val="008B76F3"/>
    <w:rsid w:val="008B77A3"/>
    <w:rsid w:val="008B7E7D"/>
    <w:rsid w:val="008C1158"/>
    <w:rsid w:val="008C1E3C"/>
    <w:rsid w:val="008C22B4"/>
    <w:rsid w:val="008C23E7"/>
    <w:rsid w:val="008C35E2"/>
    <w:rsid w:val="008C38CE"/>
    <w:rsid w:val="008C59E2"/>
    <w:rsid w:val="008C5DE3"/>
    <w:rsid w:val="008C63B1"/>
    <w:rsid w:val="008C6648"/>
    <w:rsid w:val="008C6F11"/>
    <w:rsid w:val="008C7222"/>
    <w:rsid w:val="008C797A"/>
    <w:rsid w:val="008D1E88"/>
    <w:rsid w:val="008D2BE9"/>
    <w:rsid w:val="008D3CDF"/>
    <w:rsid w:val="008D4480"/>
    <w:rsid w:val="008D4A92"/>
    <w:rsid w:val="008D61DE"/>
    <w:rsid w:val="008D7084"/>
    <w:rsid w:val="008E06D1"/>
    <w:rsid w:val="008E1961"/>
    <w:rsid w:val="008E2253"/>
    <w:rsid w:val="008E2AF7"/>
    <w:rsid w:val="008E3B0D"/>
    <w:rsid w:val="008E5042"/>
    <w:rsid w:val="008E53C6"/>
    <w:rsid w:val="008E7A8A"/>
    <w:rsid w:val="008F0248"/>
    <w:rsid w:val="008F067B"/>
    <w:rsid w:val="008F099D"/>
    <w:rsid w:val="008F458C"/>
    <w:rsid w:val="008F50CB"/>
    <w:rsid w:val="008F614C"/>
    <w:rsid w:val="008F6200"/>
    <w:rsid w:val="008F76AF"/>
    <w:rsid w:val="008F7965"/>
    <w:rsid w:val="008F7D22"/>
    <w:rsid w:val="008F7ECD"/>
    <w:rsid w:val="0090102B"/>
    <w:rsid w:val="00902AE6"/>
    <w:rsid w:val="009039E4"/>
    <w:rsid w:val="00904C62"/>
    <w:rsid w:val="00904FDC"/>
    <w:rsid w:val="0090507E"/>
    <w:rsid w:val="009055B6"/>
    <w:rsid w:val="009062F5"/>
    <w:rsid w:val="00906677"/>
    <w:rsid w:val="00906715"/>
    <w:rsid w:val="009067C7"/>
    <w:rsid w:val="00907A6E"/>
    <w:rsid w:val="00911745"/>
    <w:rsid w:val="0091209B"/>
    <w:rsid w:val="009125AA"/>
    <w:rsid w:val="0091320D"/>
    <w:rsid w:val="00913690"/>
    <w:rsid w:val="00916D0F"/>
    <w:rsid w:val="00916F91"/>
    <w:rsid w:val="00917395"/>
    <w:rsid w:val="00917B43"/>
    <w:rsid w:val="00922AE1"/>
    <w:rsid w:val="009238BB"/>
    <w:rsid w:val="009248AC"/>
    <w:rsid w:val="00924C0C"/>
    <w:rsid w:val="00925D2A"/>
    <w:rsid w:val="00926AEB"/>
    <w:rsid w:val="0093067C"/>
    <w:rsid w:val="00930EAE"/>
    <w:rsid w:val="009323F0"/>
    <w:rsid w:val="00933EE2"/>
    <w:rsid w:val="0093530A"/>
    <w:rsid w:val="00936119"/>
    <w:rsid w:val="00936ECB"/>
    <w:rsid w:val="00937209"/>
    <w:rsid w:val="0093754B"/>
    <w:rsid w:val="009376E9"/>
    <w:rsid w:val="0093773F"/>
    <w:rsid w:val="009418B5"/>
    <w:rsid w:val="009429F8"/>
    <w:rsid w:val="00942AD4"/>
    <w:rsid w:val="009459FE"/>
    <w:rsid w:val="00945D2D"/>
    <w:rsid w:val="00946DDD"/>
    <w:rsid w:val="0094783C"/>
    <w:rsid w:val="009500FB"/>
    <w:rsid w:val="00950415"/>
    <w:rsid w:val="00951AB5"/>
    <w:rsid w:val="00953220"/>
    <w:rsid w:val="0095351E"/>
    <w:rsid w:val="009538F2"/>
    <w:rsid w:val="00953E44"/>
    <w:rsid w:val="00955D72"/>
    <w:rsid w:val="00956D5F"/>
    <w:rsid w:val="00956E7E"/>
    <w:rsid w:val="00957782"/>
    <w:rsid w:val="0096086F"/>
    <w:rsid w:val="0096132F"/>
    <w:rsid w:val="00962598"/>
    <w:rsid w:val="009627FB"/>
    <w:rsid w:val="0096310C"/>
    <w:rsid w:val="00963481"/>
    <w:rsid w:val="00963BC7"/>
    <w:rsid w:val="0096472D"/>
    <w:rsid w:val="00965471"/>
    <w:rsid w:val="00965964"/>
    <w:rsid w:val="00966380"/>
    <w:rsid w:val="00966C4A"/>
    <w:rsid w:val="009670A2"/>
    <w:rsid w:val="009714A5"/>
    <w:rsid w:val="009714F8"/>
    <w:rsid w:val="00971555"/>
    <w:rsid w:val="00971619"/>
    <w:rsid w:val="00971D9B"/>
    <w:rsid w:val="009720F1"/>
    <w:rsid w:val="009729EE"/>
    <w:rsid w:val="009734E7"/>
    <w:rsid w:val="00973970"/>
    <w:rsid w:val="00973C90"/>
    <w:rsid w:val="00974DE7"/>
    <w:rsid w:val="0097552A"/>
    <w:rsid w:val="00976821"/>
    <w:rsid w:val="0097727B"/>
    <w:rsid w:val="009806B4"/>
    <w:rsid w:val="00980ED9"/>
    <w:rsid w:val="00991B94"/>
    <w:rsid w:val="00991E47"/>
    <w:rsid w:val="00992729"/>
    <w:rsid w:val="00992BC9"/>
    <w:rsid w:val="0099422F"/>
    <w:rsid w:val="009942E0"/>
    <w:rsid w:val="0099467D"/>
    <w:rsid w:val="00995133"/>
    <w:rsid w:val="009966F3"/>
    <w:rsid w:val="009968D9"/>
    <w:rsid w:val="009971BB"/>
    <w:rsid w:val="0099745F"/>
    <w:rsid w:val="009A05B0"/>
    <w:rsid w:val="009A0618"/>
    <w:rsid w:val="009A0FD2"/>
    <w:rsid w:val="009A380A"/>
    <w:rsid w:val="009A4897"/>
    <w:rsid w:val="009A700B"/>
    <w:rsid w:val="009B00DB"/>
    <w:rsid w:val="009B26A3"/>
    <w:rsid w:val="009B30E0"/>
    <w:rsid w:val="009B3512"/>
    <w:rsid w:val="009B43AB"/>
    <w:rsid w:val="009B6B64"/>
    <w:rsid w:val="009B6B89"/>
    <w:rsid w:val="009C0831"/>
    <w:rsid w:val="009C1DC9"/>
    <w:rsid w:val="009C2E0A"/>
    <w:rsid w:val="009C3228"/>
    <w:rsid w:val="009C4700"/>
    <w:rsid w:val="009C4E61"/>
    <w:rsid w:val="009C601A"/>
    <w:rsid w:val="009C60AD"/>
    <w:rsid w:val="009C6684"/>
    <w:rsid w:val="009C6A38"/>
    <w:rsid w:val="009C6A4F"/>
    <w:rsid w:val="009C7974"/>
    <w:rsid w:val="009D0914"/>
    <w:rsid w:val="009D297E"/>
    <w:rsid w:val="009D309B"/>
    <w:rsid w:val="009D3D88"/>
    <w:rsid w:val="009D47FD"/>
    <w:rsid w:val="009D4B24"/>
    <w:rsid w:val="009D5FF3"/>
    <w:rsid w:val="009D6C43"/>
    <w:rsid w:val="009E0304"/>
    <w:rsid w:val="009E0EF8"/>
    <w:rsid w:val="009E0FB1"/>
    <w:rsid w:val="009E200D"/>
    <w:rsid w:val="009E2C09"/>
    <w:rsid w:val="009E4304"/>
    <w:rsid w:val="009E46EC"/>
    <w:rsid w:val="009E493B"/>
    <w:rsid w:val="009E5966"/>
    <w:rsid w:val="009E666F"/>
    <w:rsid w:val="009E717F"/>
    <w:rsid w:val="009E7714"/>
    <w:rsid w:val="009F00C6"/>
    <w:rsid w:val="009F0268"/>
    <w:rsid w:val="009F05E2"/>
    <w:rsid w:val="009F07EF"/>
    <w:rsid w:val="009F4D7E"/>
    <w:rsid w:val="009F525F"/>
    <w:rsid w:val="009F5717"/>
    <w:rsid w:val="009F5DB3"/>
    <w:rsid w:val="009F6A88"/>
    <w:rsid w:val="009F7FB4"/>
    <w:rsid w:val="00A01286"/>
    <w:rsid w:val="00A01317"/>
    <w:rsid w:val="00A034B6"/>
    <w:rsid w:val="00A03D34"/>
    <w:rsid w:val="00A046A2"/>
    <w:rsid w:val="00A04D37"/>
    <w:rsid w:val="00A05CE4"/>
    <w:rsid w:val="00A07C9D"/>
    <w:rsid w:val="00A119B8"/>
    <w:rsid w:val="00A11A57"/>
    <w:rsid w:val="00A144B1"/>
    <w:rsid w:val="00A14616"/>
    <w:rsid w:val="00A15153"/>
    <w:rsid w:val="00A15897"/>
    <w:rsid w:val="00A15CD3"/>
    <w:rsid w:val="00A16A95"/>
    <w:rsid w:val="00A16BF3"/>
    <w:rsid w:val="00A174CF"/>
    <w:rsid w:val="00A17957"/>
    <w:rsid w:val="00A20AB4"/>
    <w:rsid w:val="00A212BA"/>
    <w:rsid w:val="00A212BF"/>
    <w:rsid w:val="00A21ACF"/>
    <w:rsid w:val="00A21CFB"/>
    <w:rsid w:val="00A22735"/>
    <w:rsid w:val="00A228A6"/>
    <w:rsid w:val="00A239C5"/>
    <w:rsid w:val="00A23AB8"/>
    <w:rsid w:val="00A23BE1"/>
    <w:rsid w:val="00A24507"/>
    <w:rsid w:val="00A2485D"/>
    <w:rsid w:val="00A2536E"/>
    <w:rsid w:val="00A2547F"/>
    <w:rsid w:val="00A30232"/>
    <w:rsid w:val="00A30AE3"/>
    <w:rsid w:val="00A31462"/>
    <w:rsid w:val="00A314B7"/>
    <w:rsid w:val="00A31552"/>
    <w:rsid w:val="00A31CBE"/>
    <w:rsid w:val="00A32E78"/>
    <w:rsid w:val="00A33C4A"/>
    <w:rsid w:val="00A33D13"/>
    <w:rsid w:val="00A33EA9"/>
    <w:rsid w:val="00A34623"/>
    <w:rsid w:val="00A42AFB"/>
    <w:rsid w:val="00A4423C"/>
    <w:rsid w:val="00A44856"/>
    <w:rsid w:val="00A457E1"/>
    <w:rsid w:val="00A461A2"/>
    <w:rsid w:val="00A46566"/>
    <w:rsid w:val="00A46DED"/>
    <w:rsid w:val="00A46EB7"/>
    <w:rsid w:val="00A47695"/>
    <w:rsid w:val="00A500A5"/>
    <w:rsid w:val="00A510DB"/>
    <w:rsid w:val="00A519D5"/>
    <w:rsid w:val="00A525AA"/>
    <w:rsid w:val="00A52A0A"/>
    <w:rsid w:val="00A52A79"/>
    <w:rsid w:val="00A52D4F"/>
    <w:rsid w:val="00A531D2"/>
    <w:rsid w:val="00A5366D"/>
    <w:rsid w:val="00A53EA5"/>
    <w:rsid w:val="00A549F8"/>
    <w:rsid w:val="00A54EB5"/>
    <w:rsid w:val="00A55AFA"/>
    <w:rsid w:val="00A55D3A"/>
    <w:rsid w:val="00A57281"/>
    <w:rsid w:val="00A57C5B"/>
    <w:rsid w:val="00A60DD1"/>
    <w:rsid w:val="00A61277"/>
    <w:rsid w:val="00A6137C"/>
    <w:rsid w:val="00A63929"/>
    <w:rsid w:val="00A657CE"/>
    <w:rsid w:val="00A65A1C"/>
    <w:rsid w:val="00A65BE5"/>
    <w:rsid w:val="00A66689"/>
    <w:rsid w:val="00A66BDF"/>
    <w:rsid w:val="00A67180"/>
    <w:rsid w:val="00A67E52"/>
    <w:rsid w:val="00A704D9"/>
    <w:rsid w:val="00A7117C"/>
    <w:rsid w:val="00A71473"/>
    <w:rsid w:val="00A7384D"/>
    <w:rsid w:val="00A74B71"/>
    <w:rsid w:val="00A759F4"/>
    <w:rsid w:val="00A76F74"/>
    <w:rsid w:val="00A814CE"/>
    <w:rsid w:val="00A81617"/>
    <w:rsid w:val="00A81CB2"/>
    <w:rsid w:val="00A82D39"/>
    <w:rsid w:val="00A83383"/>
    <w:rsid w:val="00A84350"/>
    <w:rsid w:val="00A846C5"/>
    <w:rsid w:val="00A84FEE"/>
    <w:rsid w:val="00A85023"/>
    <w:rsid w:val="00A86FC5"/>
    <w:rsid w:val="00A87095"/>
    <w:rsid w:val="00A87E61"/>
    <w:rsid w:val="00A904DD"/>
    <w:rsid w:val="00A91106"/>
    <w:rsid w:val="00A91E59"/>
    <w:rsid w:val="00A92E5D"/>
    <w:rsid w:val="00A94539"/>
    <w:rsid w:val="00A946F9"/>
    <w:rsid w:val="00A94C0B"/>
    <w:rsid w:val="00A95D59"/>
    <w:rsid w:val="00A97254"/>
    <w:rsid w:val="00A9732E"/>
    <w:rsid w:val="00AA0742"/>
    <w:rsid w:val="00AA0D0B"/>
    <w:rsid w:val="00AA2634"/>
    <w:rsid w:val="00AA26FC"/>
    <w:rsid w:val="00AA2AD4"/>
    <w:rsid w:val="00AA3221"/>
    <w:rsid w:val="00AA4081"/>
    <w:rsid w:val="00AA63F3"/>
    <w:rsid w:val="00AA7AA3"/>
    <w:rsid w:val="00AA7FE7"/>
    <w:rsid w:val="00AB0091"/>
    <w:rsid w:val="00AB09B6"/>
    <w:rsid w:val="00AB1DD0"/>
    <w:rsid w:val="00AB4405"/>
    <w:rsid w:val="00AB457D"/>
    <w:rsid w:val="00AB4F4A"/>
    <w:rsid w:val="00AB5355"/>
    <w:rsid w:val="00AB772E"/>
    <w:rsid w:val="00AB7CB7"/>
    <w:rsid w:val="00AC16DD"/>
    <w:rsid w:val="00AC3A3A"/>
    <w:rsid w:val="00AC4198"/>
    <w:rsid w:val="00AC4B5F"/>
    <w:rsid w:val="00AC4F4F"/>
    <w:rsid w:val="00AC554F"/>
    <w:rsid w:val="00AD06E6"/>
    <w:rsid w:val="00AD11AC"/>
    <w:rsid w:val="00AD18D1"/>
    <w:rsid w:val="00AD1FAC"/>
    <w:rsid w:val="00AD26C2"/>
    <w:rsid w:val="00AD2B0A"/>
    <w:rsid w:val="00AD3794"/>
    <w:rsid w:val="00AD3B94"/>
    <w:rsid w:val="00AD3CC9"/>
    <w:rsid w:val="00AD4148"/>
    <w:rsid w:val="00AD4F26"/>
    <w:rsid w:val="00AD4FFB"/>
    <w:rsid w:val="00AD556F"/>
    <w:rsid w:val="00AD6051"/>
    <w:rsid w:val="00AD704B"/>
    <w:rsid w:val="00AD74AC"/>
    <w:rsid w:val="00AD7E2F"/>
    <w:rsid w:val="00AD7F61"/>
    <w:rsid w:val="00AE36ED"/>
    <w:rsid w:val="00AE5174"/>
    <w:rsid w:val="00AE5E96"/>
    <w:rsid w:val="00AE5ECB"/>
    <w:rsid w:val="00AE6954"/>
    <w:rsid w:val="00AF01D8"/>
    <w:rsid w:val="00AF0E7B"/>
    <w:rsid w:val="00AF0F3E"/>
    <w:rsid w:val="00AF3993"/>
    <w:rsid w:val="00AF5825"/>
    <w:rsid w:val="00AF6BA5"/>
    <w:rsid w:val="00AF7623"/>
    <w:rsid w:val="00B01516"/>
    <w:rsid w:val="00B020EF"/>
    <w:rsid w:val="00B03316"/>
    <w:rsid w:val="00B04096"/>
    <w:rsid w:val="00B05508"/>
    <w:rsid w:val="00B05FC5"/>
    <w:rsid w:val="00B07032"/>
    <w:rsid w:val="00B10180"/>
    <w:rsid w:val="00B116E4"/>
    <w:rsid w:val="00B12000"/>
    <w:rsid w:val="00B13E5E"/>
    <w:rsid w:val="00B148C7"/>
    <w:rsid w:val="00B14DCA"/>
    <w:rsid w:val="00B15AC1"/>
    <w:rsid w:val="00B15FF4"/>
    <w:rsid w:val="00B1630D"/>
    <w:rsid w:val="00B20B70"/>
    <w:rsid w:val="00B20CD3"/>
    <w:rsid w:val="00B21346"/>
    <w:rsid w:val="00B227B8"/>
    <w:rsid w:val="00B22FFB"/>
    <w:rsid w:val="00B233A5"/>
    <w:rsid w:val="00B2448F"/>
    <w:rsid w:val="00B2597A"/>
    <w:rsid w:val="00B25F3B"/>
    <w:rsid w:val="00B268B0"/>
    <w:rsid w:val="00B26ADB"/>
    <w:rsid w:val="00B26F06"/>
    <w:rsid w:val="00B27DCC"/>
    <w:rsid w:val="00B30043"/>
    <w:rsid w:val="00B31025"/>
    <w:rsid w:val="00B32DCD"/>
    <w:rsid w:val="00B32FFD"/>
    <w:rsid w:val="00B335E9"/>
    <w:rsid w:val="00B33F65"/>
    <w:rsid w:val="00B365D3"/>
    <w:rsid w:val="00B366D1"/>
    <w:rsid w:val="00B40B5F"/>
    <w:rsid w:val="00B40CCD"/>
    <w:rsid w:val="00B414AB"/>
    <w:rsid w:val="00B4179F"/>
    <w:rsid w:val="00B42879"/>
    <w:rsid w:val="00B42F3B"/>
    <w:rsid w:val="00B43164"/>
    <w:rsid w:val="00B43E98"/>
    <w:rsid w:val="00B456A0"/>
    <w:rsid w:val="00B45AEF"/>
    <w:rsid w:val="00B45DCD"/>
    <w:rsid w:val="00B46E23"/>
    <w:rsid w:val="00B472EC"/>
    <w:rsid w:val="00B50FBA"/>
    <w:rsid w:val="00B5127F"/>
    <w:rsid w:val="00B51BA3"/>
    <w:rsid w:val="00B528C8"/>
    <w:rsid w:val="00B5335C"/>
    <w:rsid w:val="00B53514"/>
    <w:rsid w:val="00B5513D"/>
    <w:rsid w:val="00B575A3"/>
    <w:rsid w:val="00B576CB"/>
    <w:rsid w:val="00B60F9A"/>
    <w:rsid w:val="00B61174"/>
    <w:rsid w:val="00B61354"/>
    <w:rsid w:val="00B6197D"/>
    <w:rsid w:val="00B61B3B"/>
    <w:rsid w:val="00B6312E"/>
    <w:rsid w:val="00B65490"/>
    <w:rsid w:val="00B655A1"/>
    <w:rsid w:val="00B66C1E"/>
    <w:rsid w:val="00B67C71"/>
    <w:rsid w:val="00B70A66"/>
    <w:rsid w:val="00B72EA9"/>
    <w:rsid w:val="00B738C4"/>
    <w:rsid w:val="00B73B41"/>
    <w:rsid w:val="00B74476"/>
    <w:rsid w:val="00B74999"/>
    <w:rsid w:val="00B76111"/>
    <w:rsid w:val="00B771FB"/>
    <w:rsid w:val="00B8062F"/>
    <w:rsid w:val="00B8231C"/>
    <w:rsid w:val="00B82586"/>
    <w:rsid w:val="00B836AF"/>
    <w:rsid w:val="00B84695"/>
    <w:rsid w:val="00B848C9"/>
    <w:rsid w:val="00B84B9A"/>
    <w:rsid w:val="00B85332"/>
    <w:rsid w:val="00B86172"/>
    <w:rsid w:val="00B86B62"/>
    <w:rsid w:val="00B870EC"/>
    <w:rsid w:val="00B871F3"/>
    <w:rsid w:val="00B879D8"/>
    <w:rsid w:val="00B906E3"/>
    <w:rsid w:val="00B907D8"/>
    <w:rsid w:val="00B92157"/>
    <w:rsid w:val="00B921F4"/>
    <w:rsid w:val="00B928C6"/>
    <w:rsid w:val="00B939AE"/>
    <w:rsid w:val="00B93B6D"/>
    <w:rsid w:val="00B93F5C"/>
    <w:rsid w:val="00B9674A"/>
    <w:rsid w:val="00BA0723"/>
    <w:rsid w:val="00BA151D"/>
    <w:rsid w:val="00BA1A70"/>
    <w:rsid w:val="00BA31C1"/>
    <w:rsid w:val="00BA3B19"/>
    <w:rsid w:val="00BA5D03"/>
    <w:rsid w:val="00BA5F80"/>
    <w:rsid w:val="00BA64AD"/>
    <w:rsid w:val="00BA67BC"/>
    <w:rsid w:val="00BB08F8"/>
    <w:rsid w:val="00BB18F8"/>
    <w:rsid w:val="00BB1C6D"/>
    <w:rsid w:val="00BB2BC9"/>
    <w:rsid w:val="00BB30B9"/>
    <w:rsid w:val="00BB3504"/>
    <w:rsid w:val="00BB3D01"/>
    <w:rsid w:val="00BB53FA"/>
    <w:rsid w:val="00BB548C"/>
    <w:rsid w:val="00BB5A8A"/>
    <w:rsid w:val="00BB61F9"/>
    <w:rsid w:val="00BB780D"/>
    <w:rsid w:val="00BC0F0E"/>
    <w:rsid w:val="00BC16CD"/>
    <w:rsid w:val="00BC1B87"/>
    <w:rsid w:val="00BC3AFA"/>
    <w:rsid w:val="00BC4316"/>
    <w:rsid w:val="00BC51E1"/>
    <w:rsid w:val="00BC5380"/>
    <w:rsid w:val="00BC5758"/>
    <w:rsid w:val="00BC5B53"/>
    <w:rsid w:val="00BC6346"/>
    <w:rsid w:val="00BC6DFD"/>
    <w:rsid w:val="00BD107D"/>
    <w:rsid w:val="00BD1D58"/>
    <w:rsid w:val="00BD1F50"/>
    <w:rsid w:val="00BD24CD"/>
    <w:rsid w:val="00BD3169"/>
    <w:rsid w:val="00BD4100"/>
    <w:rsid w:val="00BD41FF"/>
    <w:rsid w:val="00BD4DE8"/>
    <w:rsid w:val="00BD5294"/>
    <w:rsid w:val="00BD5A58"/>
    <w:rsid w:val="00BD75C5"/>
    <w:rsid w:val="00BE0348"/>
    <w:rsid w:val="00BE155A"/>
    <w:rsid w:val="00BE4055"/>
    <w:rsid w:val="00BE4EE9"/>
    <w:rsid w:val="00BE5335"/>
    <w:rsid w:val="00BE5D64"/>
    <w:rsid w:val="00BE6EF7"/>
    <w:rsid w:val="00BE72EA"/>
    <w:rsid w:val="00BF06D0"/>
    <w:rsid w:val="00BF0E08"/>
    <w:rsid w:val="00BF1203"/>
    <w:rsid w:val="00BF18A8"/>
    <w:rsid w:val="00BF1BF2"/>
    <w:rsid w:val="00BF25A4"/>
    <w:rsid w:val="00BF3145"/>
    <w:rsid w:val="00BF45C1"/>
    <w:rsid w:val="00BF49E3"/>
    <w:rsid w:val="00BF5B29"/>
    <w:rsid w:val="00BF6BA2"/>
    <w:rsid w:val="00BF73D1"/>
    <w:rsid w:val="00BF7A2D"/>
    <w:rsid w:val="00C0030F"/>
    <w:rsid w:val="00C00337"/>
    <w:rsid w:val="00C00A0E"/>
    <w:rsid w:val="00C00E16"/>
    <w:rsid w:val="00C00E30"/>
    <w:rsid w:val="00C01555"/>
    <w:rsid w:val="00C03298"/>
    <w:rsid w:val="00C0451F"/>
    <w:rsid w:val="00C04EED"/>
    <w:rsid w:val="00C0504C"/>
    <w:rsid w:val="00C0553F"/>
    <w:rsid w:val="00C05EEF"/>
    <w:rsid w:val="00C0644E"/>
    <w:rsid w:val="00C06548"/>
    <w:rsid w:val="00C071D6"/>
    <w:rsid w:val="00C07C16"/>
    <w:rsid w:val="00C07CB4"/>
    <w:rsid w:val="00C10123"/>
    <w:rsid w:val="00C110A8"/>
    <w:rsid w:val="00C113F9"/>
    <w:rsid w:val="00C116ED"/>
    <w:rsid w:val="00C11CBA"/>
    <w:rsid w:val="00C123FF"/>
    <w:rsid w:val="00C124BA"/>
    <w:rsid w:val="00C124E9"/>
    <w:rsid w:val="00C138A2"/>
    <w:rsid w:val="00C17379"/>
    <w:rsid w:val="00C17FD7"/>
    <w:rsid w:val="00C20A60"/>
    <w:rsid w:val="00C225B1"/>
    <w:rsid w:val="00C22B06"/>
    <w:rsid w:val="00C25BBB"/>
    <w:rsid w:val="00C27234"/>
    <w:rsid w:val="00C27D2B"/>
    <w:rsid w:val="00C27FDC"/>
    <w:rsid w:val="00C30006"/>
    <w:rsid w:val="00C30D63"/>
    <w:rsid w:val="00C3132A"/>
    <w:rsid w:val="00C31819"/>
    <w:rsid w:val="00C31D00"/>
    <w:rsid w:val="00C32AD2"/>
    <w:rsid w:val="00C3328B"/>
    <w:rsid w:val="00C333C5"/>
    <w:rsid w:val="00C343D6"/>
    <w:rsid w:val="00C3474B"/>
    <w:rsid w:val="00C352C5"/>
    <w:rsid w:val="00C35D92"/>
    <w:rsid w:val="00C35FC8"/>
    <w:rsid w:val="00C35FE7"/>
    <w:rsid w:val="00C36265"/>
    <w:rsid w:val="00C3666D"/>
    <w:rsid w:val="00C37830"/>
    <w:rsid w:val="00C41189"/>
    <w:rsid w:val="00C4136E"/>
    <w:rsid w:val="00C424A9"/>
    <w:rsid w:val="00C435B6"/>
    <w:rsid w:val="00C43FC5"/>
    <w:rsid w:val="00C44F72"/>
    <w:rsid w:val="00C45F2B"/>
    <w:rsid w:val="00C4662F"/>
    <w:rsid w:val="00C468EA"/>
    <w:rsid w:val="00C502C8"/>
    <w:rsid w:val="00C5066C"/>
    <w:rsid w:val="00C510E4"/>
    <w:rsid w:val="00C51522"/>
    <w:rsid w:val="00C51899"/>
    <w:rsid w:val="00C51DBE"/>
    <w:rsid w:val="00C52BF3"/>
    <w:rsid w:val="00C5358F"/>
    <w:rsid w:val="00C554DB"/>
    <w:rsid w:val="00C556BF"/>
    <w:rsid w:val="00C55703"/>
    <w:rsid w:val="00C5595C"/>
    <w:rsid w:val="00C559C8"/>
    <w:rsid w:val="00C56FE2"/>
    <w:rsid w:val="00C577DF"/>
    <w:rsid w:val="00C57864"/>
    <w:rsid w:val="00C60D6B"/>
    <w:rsid w:val="00C61515"/>
    <w:rsid w:val="00C61838"/>
    <w:rsid w:val="00C62093"/>
    <w:rsid w:val="00C621BE"/>
    <w:rsid w:val="00C62688"/>
    <w:rsid w:val="00C63266"/>
    <w:rsid w:val="00C63A4C"/>
    <w:rsid w:val="00C65871"/>
    <w:rsid w:val="00C675C5"/>
    <w:rsid w:val="00C67F1E"/>
    <w:rsid w:val="00C70783"/>
    <w:rsid w:val="00C711D0"/>
    <w:rsid w:val="00C71C85"/>
    <w:rsid w:val="00C72D17"/>
    <w:rsid w:val="00C73044"/>
    <w:rsid w:val="00C737C9"/>
    <w:rsid w:val="00C74229"/>
    <w:rsid w:val="00C7501B"/>
    <w:rsid w:val="00C75650"/>
    <w:rsid w:val="00C75C32"/>
    <w:rsid w:val="00C774E0"/>
    <w:rsid w:val="00C777FE"/>
    <w:rsid w:val="00C80128"/>
    <w:rsid w:val="00C8180D"/>
    <w:rsid w:val="00C81AAD"/>
    <w:rsid w:val="00C8225F"/>
    <w:rsid w:val="00C823E9"/>
    <w:rsid w:val="00C839D5"/>
    <w:rsid w:val="00C857E6"/>
    <w:rsid w:val="00C85C77"/>
    <w:rsid w:val="00C86634"/>
    <w:rsid w:val="00C86E1A"/>
    <w:rsid w:val="00C871A0"/>
    <w:rsid w:val="00C90C10"/>
    <w:rsid w:val="00C90D8B"/>
    <w:rsid w:val="00C91E27"/>
    <w:rsid w:val="00C91E28"/>
    <w:rsid w:val="00C92577"/>
    <w:rsid w:val="00C92BDB"/>
    <w:rsid w:val="00C9500B"/>
    <w:rsid w:val="00C956A7"/>
    <w:rsid w:val="00C95AB8"/>
    <w:rsid w:val="00C9634A"/>
    <w:rsid w:val="00C9778C"/>
    <w:rsid w:val="00C9786C"/>
    <w:rsid w:val="00CA07C6"/>
    <w:rsid w:val="00CA30F5"/>
    <w:rsid w:val="00CA330A"/>
    <w:rsid w:val="00CA3E87"/>
    <w:rsid w:val="00CA4E88"/>
    <w:rsid w:val="00CA4EAE"/>
    <w:rsid w:val="00CA6299"/>
    <w:rsid w:val="00CA6A23"/>
    <w:rsid w:val="00CA6BE0"/>
    <w:rsid w:val="00CA726B"/>
    <w:rsid w:val="00CB0D14"/>
    <w:rsid w:val="00CB0E61"/>
    <w:rsid w:val="00CB0F94"/>
    <w:rsid w:val="00CB169C"/>
    <w:rsid w:val="00CB18F7"/>
    <w:rsid w:val="00CB208E"/>
    <w:rsid w:val="00CB2119"/>
    <w:rsid w:val="00CB54BC"/>
    <w:rsid w:val="00CB5816"/>
    <w:rsid w:val="00CB7A82"/>
    <w:rsid w:val="00CC04BA"/>
    <w:rsid w:val="00CC1D66"/>
    <w:rsid w:val="00CC23E8"/>
    <w:rsid w:val="00CC2995"/>
    <w:rsid w:val="00CC37B7"/>
    <w:rsid w:val="00CC3E00"/>
    <w:rsid w:val="00CC4E59"/>
    <w:rsid w:val="00CC51D0"/>
    <w:rsid w:val="00CC57C5"/>
    <w:rsid w:val="00CC629B"/>
    <w:rsid w:val="00CC6BE9"/>
    <w:rsid w:val="00CC6CAE"/>
    <w:rsid w:val="00CC6D71"/>
    <w:rsid w:val="00CC7BB1"/>
    <w:rsid w:val="00CD0D0B"/>
    <w:rsid w:val="00CD0D25"/>
    <w:rsid w:val="00CD0FC4"/>
    <w:rsid w:val="00CD0FD2"/>
    <w:rsid w:val="00CD1373"/>
    <w:rsid w:val="00CD2C14"/>
    <w:rsid w:val="00CD2E09"/>
    <w:rsid w:val="00CD39E0"/>
    <w:rsid w:val="00CD41D4"/>
    <w:rsid w:val="00CD423A"/>
    <w:rsid w:val="00CD5534"/>
    <w:rsid w:val="00CD5716"/>
    <w:rsid w:val="00CD60DC"/>
    <w:rsid w:val="00CD6EA4"/>
    <w:rsid w:val="00CD78E5"/>
    <w:rsid w:val="00CE0260"/>
    <w:rsid w:val="00CE38A6"/>
    <w:rsid w:val="00CE7E90"/>
    <w:rsid w:val="00CF03A6"/>
    <w:rsid w:val="00CF0CFF"/>
    <w:rsid w:val="00CF142D"/>
    <w:rsid w:val="00CF15DE"/>
    <w:rsid w:val="00CF2ADB"/>
    <w:rsid w:val="00CF37B8"/>
    <w:rsid w:val="00CF3EC3"/>
    <w:rsid w:val="00CF45E6"/>
    <w:rsid w:val="00CF6030"/>
    <w:rsid w:val="00D00187"/>
    <w:rsid w:val="00D001F8"/>
    <w:rsid w:val="00D01142"/>
    <w:rsid w:val="00D018F3"/>
    <w:rsid w:val="00D03B94"/>
    <w:rsid w:val="00D0526A"/>
    <w:rsid w:val="00D10673"/>
    <w:rsid w:val="00D119BC"/>
    <w:rsid w:val="00D11F10"/>
    <w:rsid w:val="00D133DF"/>
    <w:rsid w:val="00D13C5B"/>
    <w:rsid w:val="00D14540"/>
    <w:rsid w:val="00D15000"/>
    <w:rsid w:val="00D151B7"/>
    <w:rsid w:val="00D15426"/>
    <w:rsid w:val="00D156C1"/>
    <w:rsid w:val="00D156D1"/>
    <w:rsid w:val="00D15CE7"/>
    <w:rsid w:val="00D15D81"/>
    <w:rsid w:val="00D165EC"/>
    <w:rsid w:val="00D20307"/>
    <w:rsid w:val="00D20BB7"/>
    <w:rsid w:val="00D219D6"/>
    <w:rsid w:val="00D2221A"/>
    <w:rsid w:val="00D2247C"/>
    <w:rsid w:val="00D22695"/>
    <w:rsid w:val="00D22FBF"/>
    <w:rsid w:val="00D25795"/>
    <w:rsid w:val="00D26659"/>
    <w:rsid w:val="00D26DAC"/>
    <w:rsid w:val="00D306D6"/>
    <w:rsid w:val="00D30803"/>
    <w:rsid w:val="00D3092C"/>
    <w:rsid w:val="00D317F2"/>
    <w:rsid w:val="00D31BD8"/>
    <w:rsid w:val="00D31F4B"/>
    <w:rsid w:val="00D349FA"/>
    <w:rsid w:val="00D35B59"/>
    <w:rsid w:val="00D36011"/>
    <w:rsid w:val="00D361A8"/>
    <w:rsid w:val="00D36596"/>
    <w:rsid w:val="00D36772"/>
    <w:rsid w:val="00D369A2"/>
    <w:rsid w:val="00D37BD6"/>
    <w:rsid w:val="00D40059"/>
    <w:rsid w:val="00D42840"/>
    <w:rsid w:val="00D4393F"/>
    <w:rsid w:val="00D447D7"/>
    <w:rsid w:val="00D45B29"/>
    <w:rsid w:val="00D500A2"/>
    <w:rsid w:val="00D50561"/>
    <w:rsid w:val="00D509B3"/>
    <w:rsid w:val="00D521A4"/>
    <w:rsid w:val="00D530CF"/>
    <w:rsid w:val="00D551CE"/>
    <w:rsid w:val="00D55654"/>
    <w:rsid w:val="00D627EF"/>
    <w:rsid w:val="00D62FF3"/>
    <w:rsid w:val="00D63DAD"/>
    <w:rsid w:val="00D64AEC"/>
    <w:rsid w:val="00D6598A"/>
    <w:rsid w:val="00D65992"/>
    <w:rsid w:val="00D66032"/>
    <w:rsid w:val="00D7028A"/>
    <w:rsid w:val="00D7064F"/>
    <w:rsid w:val="00D706C0"/>
    <w:rsid w:val="00D70941"/>
    <w:rsid w:val="00D715C5"/>
    <w:rsid w:val="00D71EF4"/>
    <w:rsid w:val="00D72286"/>
    <w:rsid w:val="00D7360A"/>
    <w:rsid w:val="00D75247"/>
    <w:rsid w:val="00D75FB4"/>
    <w:rsid w:val="00D7642C"/>
    <w:rsid w:val="00D76CE9"/>
    <w:rsid w:val="00D77509"/>
    <w:rsid w:val="00D777BA"/>
    <w:rsid w:val="00D8082D"/>
    <w:rsid w:val="00D8107D"/>
    <w:rsid w:val="00D81317"/>
    <w:rsid w:val="00D81325"/>
    <w:rsid w:val="00D817B4"/>
    <w:rsid w:val="00D8196E"/>
    <w:rsid w:val="00D81B1D"/>
    <w:rsid w:val="00D82DE7"/>
    <w:rsid w:val="00D838F4"/>
    <w:rsid w:val="00D8421E"/>
    <w:rsid w:val="00D8519A"/>
    <w:rsid w:val="00D86B6B"/>
    <w:rsid w:val="00D8719C"/>
    <w:rsid w:val="00D92410"/>
    <w:rsid w:val="00D94182"/>
    <w:rsid w:val="00D9489D"/>
    <w:rsid w:val="00D955DE"/>
    <w:rsid w:val="00D95C94"/>
    <w:rsid w:val="00D96423"/>
    <w:rsid w:val="00D97859"/>
    <w:rsid w:val="00D97A27"/>
    <w:rsid w:val="00D97BF4"/>
    <w:rsid w:val="00DA0082"/>
    <w:rsid w:val="00DA0AB0"/>
    <w:rsid w:val="00DA20B5"/>
    <w:rsid w:val="00DA4741"/>
    <w:rsid w:val="00DA4F47"/>
    <w:rsid w:val="00DA7AF1"/>
    <w:rsid w:val="00DB1454"/>
    <w:rsid w:val="00DB1AAA"/>
    <w:rsid w:val="00DB22B6"/>
    <w:rsid w:val="00DB24F5"/>
    <w:rsid w:val="00DB35C0"/>
    <w:rsid w:val="00DB38D7"/>
    <w:rsid w:val="00DB3A99"/>
    <w:rsid w:val="00DB4404"/>
    <w:rsid w:val="00DB5C83"/>
    <w:rsid w:val="00DB6921"/>
    <w:rsid w:val="00DC0432"/>
    <w:rsid w:val="00DC0926"/>
    <w:rsid w:val="00DC1732"/>
    <w:rsid w:val="00DC3405"/>
    <w:rsid w:val="00DC3794"/>
    <w:rsid w:val="00DC396E"/>
    <w:rsid w:val="00DC45CF"/>
    <w:rsid w:val="00DC56E4"/>
    <w:rsid w:val="00DC5966"/>
    <w:rsid w:val="00DC6637"/>
    <w:rsid w:val="00DC736E"/>
    <w:rsid w:val="00DD15B6"/>
    <w:rsid w:val="00DD2295"/>
    <w:rsid w:val="00DD2A28"/>
    <w:rsid w:val="00DD365D"/>
    <w:rsid w:val="00DD3737"/>
    <w:rsid w:val="00DD38B5"/>
    <w:rsid w:val="00DD3F9C"/>
    <w:rsid w:val="00DD40AF"/>
    <w:rsid w:val="00DD6B1D"/>
    <w:rsid w:val="00DD6BB3"/>
    <w:rsid w:val="00DD6FE5"/>
    <w:rsid w:val="00DD7799"/>
    <w:rsid w:val="00DE2144"/>
    <w:rsid w:val="00DE2D14"/>
    <w:rsid w:val="00DE3AFD"/>
    <w:rsid w:val="00DE4646"/>
    <w:rsid w:val="00DE4F17"/>
    <w:rsid w:val="00DE60D9"/>
    <w:rsid w:val="00DE6554"/>
    <w:rsid w:val="00DE6E57"/>
    <w:rsid w:val="00DE760C"/>
    <w:rsid w:val="00DE788C"/>
    <w:rsid w:val="00DF08AD"/>
    <w:rsid w:val="00DF10DD"/>
    <w:rsid w:val="00DF31C4"/>
    <w:rsid w:val="00DF52F0"/>
    <w:rsid w:val="00E00952"/>
    <w:rsid w:val="00E01795"/>
    <w:rsid w:val="00E01F17"/>
    <w:rsid w:val="00E024CB"/>
    <w:rsid w:val="00E02542"/>
    <w:rsid w:val="00E026BC"/>
    <w:rsid w:val="00E028C4"/>
    <w:rsid w:val="00E035F8"/>
    <w:rsid w:val="00E0417D"/>
    <w:rsid w:val="00E041F3"/>
    <w:rsid w:val="00E05363"/>
    <w:rsid w:val="00E05673"/>
    <w:rsid w:val="00E05F04"/>
    <w:rsid w:val="00E10E72"/>
    <w:rsid w:val="00E11150"/>
    <w:rsid w:val="00E11330"/>
    <w:rsid w:val="00E1162D"/>
    <w:rsid w:val="00E12877"/>
    <w:rsid w:val="00E12BBD"/>
    <w:rsid w:val="00E12CC2"/>
    <w:rsid w:val="00E13B2C"/>
    <w:rsid w:val="00E14833"/>
    <w:rsid w:val="00E14949"/>
    <w:rsid w:val="00E1647C"/>
    <w:rsid w:val="00E1666E"/>
    <w:rsid w:val="00E2039F"/>
    <w:rsid w:val="00E20D39"/>
    <w:rsid w:val="00E21C44"/>
    <w:rsid w:val="00E220B0"/>
    <w:rsid w:val="00E221DB"/>
    <w:rsid w:val="00E222BF"/>
    <w:rsid w:val="00E22BD9"/>
    <w:rsid w:val="00E24339"/>
    <w:rsid w:val="00E2441B"/>
    <w:rsid w:val="00E24A5E"/>
    <w:rsid w:val="00E25268"/>
    <w:rsid w:val="00E260A7"/>
    <w:rsid w:val="00E3038D"/>
    <w:rsid w:val="00E3049F"/>
    <w:rsid w:val="00E32D14"/>
    <w:rsid w:val="00E3444A"/>
    <w:rsid w:val="00E35FD3"/>
    <w:rsid w:val="00E363A4"/>
    <w:rsid w:val="00E375D8"/>
    <w:rsid w:val="00E37734"/>
    <w:rsid w:val="00E37ED3"/>
    <w:rsid w:val="00E40A7C"/>
    <w:rsid w:val="00E40BAB"/>
    <w:rsid w:val="00E40C28"/>
    <w:rsid w:val="00E41009"/>
    <w:rsid w:val="00E412D7"/>
    <w:rsid w:val="00E41C6D"/>
    <w:rsid w:val="00E41D9D"/>
    <w:rsid w:val="00E41DB1"/>
    <w:rsid w:val="00E4363B"/>
    <w:rsid w:val="00E43741"/>
    <w:rsid w:val="00E43F83"/>
    <w:rsid w:val="00E45075"/>
    <w:rsid w:val="00E45389"/>
    <w:rsid w:val="00E463C8"/>
    <w:rsid w:val="00E47AC5"/>
    <w:rsid w:val="00E50655"/>
    <w:rsid w:val="00E50894"/>
    <w:rsid w:val="00E50987"/>
    <w:rsid w:val="00E5122B"/>
    <w:rsid w:val="00E51396"/>
    <w:rsid w:val="00E51CC8"/>
    <w:rsid w:val="00E5218E"/>
    <w:rsid w:val="00E52D54"/>
    <w:rsid w:val="00E53307"/>
    <w:rsid w:val="00E551C7"/>
    <w:rsid w:val="00E56C99"/>
    <w:rsid w:val="00E56D5A"/>
    <w:rsid w:val="00E571DE"/>
    <w:rsid w:val="00E60115"/>
    <w:rsid w:val="00E606B5"/>
    <w:rsid w:val="00E63400"/>
    <w:rsid w:val="00E6437F"/>
    <w:rsid w:val="00E64CF3"/>
    <w:rsid w:val="00E65CA8"/>
    <w:rsid w:val="00E66F3B"/>
    <w:rsid w:val="00E70030"/>
    <w:rsid w:val="00E7066C"/>
    <w:rsid w:val="00E70DF1"/>
    <w:rsid w:val="00E710CE"/>
    <w:rsid w:val="00E714F7"/>
    <w:rsid w:val="00E71664"/>
    <w:rsid w:val="00E7171B"/>
    <w:rsid w:val="00E71C59"/>
    <w:rsid w:val="00E723B0"/>
    <w:rsid w:val="00E72BF7"/>
    <w:rsid w:val="00E73026"/>
    <w:rsid w:val="00E73AB8"/>
    <w:rsid w:val="00E73B39"/>
    <w:rsid w:val="00E73F85"/>
    <w:rsid w:val="00E74633"/>
    <w:rsid w:val="00E74635"/>
    <w:rsid w:val="00E752EB"/>
    <w:rsid w:val="00E756AA"/>
    <w:rsid w:val="00E757A1"/>
    <w:rsid w:val="00E75CE5"/>
    <w:rsid w:val="00E76072"/>
    <w:rsid w:val="00E81672"/>
    <w:rsid w:val="00E818B6"/>
    <w:rsid w:val="00E821C1"/>
    <w:rsid w:val="00E82BF3"/>
    <w:rsid w:val="00E82F35"/>
    <w:rsid w:val="00E83109"/>
    <w:rsid w:val="00E8347E"/>
    <w:rsid w:val="00E838E0"/>
    <w:rsid w:val="00E85E1D"/>
    <w:rsid w:val="00E85E54"/>
    <w:rsid w:val="00E86534"/>
    <w:rsid w:val="00E8676C"/>
    <w:rsid w:val="00E87924"/>
    <w:rsid w:val="00E90981"/>
    <w:rsid w:val="00E91874"/>
    <w:rsid w:val="00E923C2"/>
    <w:rsid w:val="00E9248F"/>
    <w:rsid w:val="00E92E38"/>
    <w:rsid w:val="00E948F1"/>
    <w:rsid w:val="00E95139"/>
    <w:rsid w:val="00E95E34"/>
    <w:rsid w:val="00E96587"/>
    <w:rsid w:val="00E96B39"/>
    <w:rsid w:val="00E97102"/>
    <w:rsid w:val="00EA1ED8"/>
    <w:rsid w:val="00EA2AF2"/>
    <w:rsid w:val="00EA30C1"/>
    <w:rsid w:val="00EA3262"/>
    <w:rsid w:val="00EA369C"/>
    <w:rsid w:val="00EA36A2"/>
    <w:rsid w:val="00EA3D46"/>
    <w:rsid w:val="00EA6A0E"/>
    <w:rsid w:val="00EA6E48"/>
    <w:rsid w:val="00EB0A40"/>
    <w:rsid w:val="00EB1275"/>
    <w:rsid w:val="00EB2D7D"/>
    <w:rsid w:val="00EB308B"/>
    <w:rsid w:val="00EB3AD6"/>
    <w:rsid w:val="00EB3CC2"/>
    <w:rsid w:val="00EB55BF"/>
    <w:rsid w:val="00EB627F"/>
    <w:rsid w:val="00EB68C6"/>
    <w:rsid w:val="00EB79DF"/>
    <w:rsid w:val="00EB7B92"/>
    <w:rsid w:val="00EC059E"/>
    <w:rsid w:val="00EC1A59"/>
    <w:rsid w:val="00EC2289"/>
    <w:rsid w:val="00EC27F0"/>
    <w:rsid w:val="00EC4DBC"/>
    <w:rsid w:val="00EC56B6"/>
    <w:rsid w:val="00EC581A"/>
    <w:rsid w:val="00EC5C74"/>
    <w:rsid w:val="00EC60B5"/>
    <w:rsid w:val="00EC6A7D"/>
    <w:rsid w:val="00EC6CF3"/>
    <w:rsid w:val="00EC740B"/>
    <w:rsid w:val="00EC755D"/>
    <w:rsid w:val="00EC7D98"/>
    <w:rsid w:val="00ED487E"/>
    <w:rsid w:val="00ED5077"/>
    <w:rsid w:val="00ED678F"/>
    <w:rsid w:val="00ED6D1B"/>
    <w:rsid w:val="00ED7FAE"/>
    <w:rsid w:val="00EE053F"/>
    <w:rsid w:val="00EE090C"/>
    <w:rsid w:val="00EE0A25"/>
    <w:rsid w:val="00EE0A77"/>
    <w:rsid w:val="00EE0AEF"/>
    <w:rsid w:val="00EE0B35"/>
    <w:rsid w:val="00EE0FDD"/>
    <w:rsid w:val="00EE1D69"/>
    <w:rsid w:val="00EE1F6A"/>
    <w:rsid w:val="00EE21D3"/>
    <w:rsid w:val="00EE24FB"/>
    <w:rsid w:val="00EE2E49"/>
    <w:rsid w:val="00EE3321"/>
    <w:rsid w:val="00EE3F6F"/>
    <w:rsid w:val="00EE4592"/>
    <w:rsid w:val="00EE4991"/>
    <w:rsid w:val="00EE5092"/>
    <w:rsid w:val="00EE63FC"/>
    <w:rsid w:val="00EE677A"/>
    <w:rsid w:val="00EE702C"/>
    <w:rsid w:val="00EE732F"/>
    <w:rsid w:val="00EE7890"/>
    <w:rsid w:val="00EF135F"/>
    <w:rsid w:val="00EF17A9"/>
    <w:rsid w:val="00EF1CE1"/>
    <w:rsid w:val="00EF2FF8"/>
    <w:rsid w:val="00EF3212"/>
    <w:rsid w:val="00EF3841"/>
    <w:rsid w:val="00EF3DD8"/>
    <w:rsid w:val="00EF40E4"/>
    <w:rsid w:val="00F0186B"/>
    <w:rsid w:val="00F03206"/>
    <w:rsid w:val="00F032DE"/>
    <w:rsid w:val="00F03F24"/>
    <w:rsid w:val="00F041CB"/>
    <w:rsid w:val="00F047BA"/>
    <w:rsid w:val="00F0523C"/>
    <w:rsid w:val="00F05DA3"/>
    <w:rsid w:val="00F06625"/>
    <w:rsid w:val="00F06BB7"/>
    <w:rsid w:val="00F06DDE"/>
    <w:rsid w:val="00F07F58"/>
    <w:rsid w:val="00F100EE"/>
    <w:rsid w:val="00F10226"/>
    <w:rsid w:val="00F10D81"/>
    <w:rsid w:val="00F10FD8"/>
    <w:rsid w:val="00F11348"/>
    <w:rsid w:val="00F127D6"/>
    <w:rsid w:val="00F12F13"/>
    <w:rsid w:val="00F139FC"/>
    <w:rsid w:val="00F13DA0"/>
    <w:rsid w:val="00F142E4"/>
    <w:rsid w:val="00F15677"/>
    <w:rsid w:val="00F16347"/>
    <w:rsid w:val="00F17372"/>
    <w:rsid w:val="00F17595"/>
    <w:rsid w:val="00F177D6"/>
    <w:rsid w:val="00F17EB1"/>
    <w:rsid w:val="00F20145"/>
    <w:rsid w:val="00F2028D"/>
    <w:rsid w:val="00F210F2"/>
    <w:rsid w:val="00F21426"/>
    <w:rsid w:val="00F21530"/>
    <w:rsid w:val="00F2291D"/>
    <w:rsid w:val="00F23E9A"/>
    <w:rsid w:val="00F24286"/>
    <w:rsid w:val="00F24CA1"/>
    <w:rsid w:val="00F25205"/>
    <w:rsid w:val="00F25819"/>
    <w:rsid w:val="00F25B6C"/>
    <w:rsid w:val="00F26F14"/>
    <w:rsid w:val="00F27513"/>
    <w:rsid w:val="00F3084B"/>
    <w:rsid w:val="00F321C7"/>
    <w:rsid w:val="00F3262F"/>
    <w:rsid w:val="00F32F51"/>
    <w:rsid w:val="00F32F86"/>
    <w:rsid w:val="00F331C4"/>
    <w:rsid w:val="00F337AC"/>
    <w:rsid w:val="00F33DFE"/>
    <w:rsid w:val="00F34BEA"/>
    <w:rsid w:val="00F357B9"/>
    <w:rsid w:val="00F362EE"/>
    <w:rsid w:val="00F371BE"/>
    <w:rsid w:val="00F37687"/>
    <w:rsid w:val="00F40529"/>
    <w:rsid w:val="00F40962"/>
    <w:rsid w:val="00F42625"/>
    <w:rsid w:val="00F468DD"/>
    <w:rsid w:val="00F46AFD"/>
    <w:rsid w:val="00F47600"/>
    <w:rsid w:val="00F47760"/>
    <w:rsid w:val="00F4784A"/>
    <w:rsid w:val="00F50400"/>
    <w:rsid w:val="00F5100E"/>
    <w:rsid w:val="00F511A3"/>
    <w:rsid w:val="00F532C3"/>
    <w:rsid w:val="00F53C83"/>
    <w:rsid w:val="00F5445F"/>
    <w:rsid w:val="00F5616B"/>
    <w:rsid w:val="00F5634A"/>
    <w:rsid w:val="00F570CF"/>
    <w:rsid w:val="00F571FE"/>
    <w:rsid w:val="00F57680"/>
    <w:rsid w:val="00F57841"/>
    <w:rsid w:val="00F57EF8"/>
    <w:rsid w:val="00F60156"/>
    <w:rsid w:val="00F62C7F"/>
    <w:rsid w:val="00F63C5B"/>
    <w:rsid w:val="00F64C28"/>
    <w:rsid w:val="00F64F99"/>
    <w:rsid w:val="00F6583B"/>
    <w:rsid w:val="00F65B89"/>
    <w:rsid w:val="00F669C1"/>
    <w:rsid w:val="00F677A2"/>
    <w:rsid w:val="00F67C60"/>
    <w:rsid w:val="00F70A33"/>
    <w:rsid w:val="00F70F8C"/>
    <w:rsid w:val="00F715FE"/>
    <w:rsid w:val="00F73F86"/>
    <w:rsid w:val="00F74B93"/>
    <w:rsid w:val="00F75914"/>
    <w:rsid w:val="00F75E56"/>
    <w:rsid w:val="00F766B2"/>
    <w:rsid w:val="00F7677B"/>
    <w:rsid w:val="00F76E7E"/>
    <w:rsid w:val="00F80B7F"/>
    <w:rsid w:val="00F80C94"/>
    <w:rsid w:val="00F80DB9"/>
    <w:rsid w:val="00F81DC5"/>
    <w:rsid w:val="00F8204D"/>
    <w:rsid w:val="00F82CC3"/>
    <w:rsid w:val="00F83348"/>
    <w:rsid w:val="00F83374"/>
    <w:rsid w:val="00F833B8"/>
    <w:rsid w:val="00F834CA"/>
    <w:rsid w:val="00F83C0F"/>
    <w:rsid w:val="00F8496C"/>
    <w:rsid w:val="00F84E0A"/>
    <w:rsid w:val="00F860DB"/>
    <w:rsid w:val="00F8774A"/>
    <w:rsid w:val="00F90D58"/>
    <w:rsid w:val="00F9142F"/>
    <w:rsid w:val="00F91CE1"/>
    <w:rsid w:val="00F92370"/>
    <w:rsid w:val="00F93BBF"/>
    <w:rsid w:val="00F944BC"/>
    <w:rsid w:val="00F94702"/>
    <w:rsid w:val="00F959C4"/>
    <w:rsid w:val="00F95F9D"/>
    <w:rsid w:val="00F96DC9"/>
    <w:rsid w:val="00F971D8"/>
    <w:rsid w:val="00FA0573"/>
    <w:rsid w:val="00FA0E3D"/>
    <w:rsid w:val="00FA1714"/>
    <w:rsid w:val="00FA2685"/>
    <w:rsid w:val="00FA2A82"/>
    <w:rsid w:val="00FA4B85"/>
    <w:rsid w:val="00FA5DBD"/>
    <w:rsid w:val="00FA6178"/>
    <w:rsid w:val="00FA62CA"/>
    <w:rsid w:val="00FA6391"/>
    <w:rsid w:val="00FA6E41"/>
    <w:rsid w:val="00FA743D"/>
    <w:rsid w:val="00FA7449"/>
    <w:rsid w:val="00FB02E9"/>
    <w:rsid w:val="00FB109A"/>
    <w:rsid w:val="00FB1163"/>
    <w:rsid w:val="00FB16C9"/>
    <w:rsid w:val="00FB2F45"/>
    <w:rsid w:val="00FB458F"/>
    <w:rsid w:val="00FB5070"/>
    <w:rsid w:val="00FB546C"/>
    <w:rsid w:val="00FB5F93"/>
    <w:rsid w:val="00FB64C3"/>
    <w:rsid w:val="00FC16D1"/>
    <w:rsid w:val="00FC24AB"/>
    <w:rsid w:val="00FC2F7F"/>
    <w:rsid w:val="00FC3BF3"/>
    <w:rsid w:val="00FC4163"/>
    <w:rsid w:val="00FC48A4"/>
    <w:rsid w:val="00FC4E23"/>
    <w:rsid w:val="00FC5159"/>
    <w:rsid w:val="00FC5FB0"/>
    <w:rsid w:val="00FC755B"/>
    <w:rsid w:val="00FD09EA"/>
    <w:rsid w:val="00FD0B62"/>
    <w:rsid w:val="00FD0BFD"/>
    <w:rsid w:val="00FD0C86"/>
    <w:rsid w:val="00FD21E2"/>
    <w:rsid w:val="00FD27AF"/>
    <w:rsid w:val="00FD2CF8"/>
    <w:rsid w:val="00FD3B38"/>
    <w:rsid w:val="00FD53F3"/>
    <w:rsid w:val="00FD635F"/>
    <w:rsid w:val="00FD6626"/>
    <w:rsid w:val="00FD6B97"/>
    <w:rsid w:val="00FD78D1"/>
    <w:rsid w:val="00FD7AB5"/>
    <w:rsid w:val="00FE004E"/>
    <w:rsid w:val="00FE00A6"/>
    <w:rsid w:val="00FE0E1D"/>
    <w:rsid w:val="00FE159C"/>
    <w:rsid w:val="00FE1825"/>
    <w:rsid w:val="00FE18AA"/>
    <w:rsid w:val="00FE1B86"/>
    <w:rsid w:val="00FE1C70"/>
    <w:rsid w:val="00FE2483"/>
    <w:rsid w:val="00FE4C85"/>
    <w:rsid w:val="00FE5795"/>
    <w:rsid w:val="00FE5D0D"/>
    <w:rsid w:val="00FE60BD"/>
    <w:rsid w:val="00FE66A9"/>
    <w:rsid w:val="00FE6CCD"/>
    <w:rsid w:val="00FF08AC"/>
    <w:rsid w:val="00FF0AB3"/>
    <w:rsid w:val="00FF0BDF"/>
    <w:rsid w:val="00FF166D"/>
    <w:rsid w:val="00FF1B19"/>
    <w:rsid w:val="00FF21A3"/>
    <w:rsid w:val="00FF25C1"/>
    <w:rsid w:val="00FF2CE8"/>
    <w:rsid w:val="00FF2F28"/>
    <w:rsid w:val="00FF32EC"/>
    <w:rsid w:val="00FF3557"/>
    <w:rsid w:val="00FF3650"/>
    <w:rsid w:val="00FF3C75"/>
    <w:rsid w:val="00FF6A0B"/>
    <w:rsid w:val="00FF6B4F"/>
    <w:rsid w:val="00FF7960"/>
    <w:rsid w:val="021143AF"/>
    <w:rsid w:val="02446359"/>
    <w:rsid w:val="042929E0"/>
    <w:rsid w:val="07D02862"/>
    <w:rsid w:val="135D7785"/>
    <w:rsid w:val="1A453BB1"/>
    <w:rsid w:val="1B6D030E"/>
    <w:rsid w:val="1D4F4892"/>
    <w:rsid w:val="22407EB0"/>
    <w:rsid w:val="26D83DE4"/>
    <w:rsid w:val="27EA0320"/>
    <w:rsid w:val="2B177F36"/>
    <w:rsid w:val="30D7072E"/>
    <w:rsid w:val="338B5E86"/>
    <w:rsid w:val="351F5463"/>
    <w:rsid w:val="38684459"/>
    <w:rsid w:val="391174DA"/>
    <w:rsid w:val="3BEF55C2"/>
    <w:rsid w:val="3F7874FB"/>
    <w:rsid w:val="47673A6B"/>
    <w:rsid w:val="48FC1DD4"/>
    <w:rsid w:val="4B8C6FA9"/>
    <w:rsid w:val="4C741D27"/>
    <w:rsid w:val="4E304588"/>
    <w:rsid w:val="528F15DA"/>
    <w:rsid w:val="59D0440B"/>
    <w:rsid w:val="5A524ED8"/>
    <w:rsid w:val="5BA71C9C"/>
    <w:rsid w:val="5E92634E"/>
    <w:rsid w:val="5FF14575"/>
    <w:rsid w:val="67CF5DAC"/>
    <w:rsid w:val="68C36B4E"/>
    <w:rsid w:val="6A45557C"/>
    <w:rsid w:val="6D4173EC"/>
    <w:rsid w:val="7A481F8D"/>
    <w:rsid w:val="7FBDC623"/>
    <w:rsid w:val="7FDFB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5"/>
    <w:qFormat/>
    <w:uiPriority w:val="9"/>
    <w:pPr>
      <w:keepNext/>
      <w:keepLines/>
      <w:spacing w:before="260" w:after="260" w:line="416" w:lineRule="auto"/>
      <w:outlineLvl w:val="2"/>
    </w:pPr>
    <w:rPr>
      <w:rFonts w:ascii="Times New Roman" w:hAnsi="Times New Roman"/>
      <w:b/>
      <w:bCs/>
      <w:sz w:val="32"/>
      <w:szCs w:val="32"/>
      <w:lang w:val="zh-CN" w:eastAsia="zh-CN"/>
    </w:rPr>
  </w:style>
  <w:style w:type="paragraph" w:styleId="5">
    <w:name w:val="heading 4"/>
    <w:basedOn w:val="1"/>
    <w:next w:val="1"/>
    <w:link w:val="30"/>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qFormat/>
    <w:uiPriority w:val="0"/>
    <w:pPr>
      <w:jc w:val="left"/>
    </w:pPr>
  </w:style>
  <w:style w:type="paragraph" w:styleId="7">
    <w:name w:val="toc 3"/>
    <w:basedOn w:val="1"/>
    <w:next w:val="1"/>
    <w:qFormat/>
    <w:uiPriority w:val="39"/>
    <w:pPr>
      <w:ind w:left="840" w:leftChars="400"/>
    </w:pPr>
  </w:style>
  <w:style w:type="paragraph" w:styleId="8">
    <w:name w:val="Date"/>
    <w:basedOn w:val="1"/>
    <w:next w:val="1"/>
    <w:link w:val="36"/>
    <w:qFormat/>
    <w:uiPriority w:val="0"/>
    <w:pPr>
      <w:ind w:left="100" w:leftChars="2500"/>
    </w:pPr>
  </w:style>
  <w:style w:type="paragraph" w:styleId="9">
    <w:name w:val="Balloon Text"/>
    <w:basedOn w:val="1"/>
    <w:link w:val="35"/>
    <w:qFormat/>
    <w:uiPriority w:val="0"/>
    <w:rPr>
      <w:sz w:val="18"/>
      <w:szCs w:val="18"/>
    </w:rPr>
  </w:style>
  <w:style w:type="paragraph" w:styleId="10">
    <w:name w:val="footer"/>
    <w:basedOn w:val="1"/>
    <w:link w:val="32"/>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pPr>
      <w:spacing w:before="120" w:after="120"/>
      <w:ind w:left="100" w:leftChars="100" w:right="100" w:rightChars="100"/>
      <w:jc w:val="left"/>
    </w:pPr>
    <w:rPr>
      <w:b/>
      <w:bCs/>
      <w:caps/>
    </w:rPr>
  </w:style>
  <w:style w:type="paragraph" w:styleId="13">
    <w:name w:val="Subtitle"/>
    <w:basedOn w:val="1"/>
    <w:next w:val="1"/>
    <w:link w:val="29"/>
    <w:qFormat/>
    <w:uiPriority w:val="0"/>
    <w:pPr>
      <w:spacing w:before="240" w:after="60" w:line="312" w:lineRule="auto"/>
      <w:jc w:val="center"/>
      <w:outlineLvl w:val="1"/>
    </w:pPr>
    <w:rPr>
      <w:rFonts w:ascii="等线 Light" w:hAnsi="等线 Light"/>
      <w:b/>
      <w:bCs/>
      <w:kern w:val="28"/>
      <w:sz w:val="32"/>
      <w:szCs w:val="32"/>
    </w:rPr>
  </w:style>
  <w:style w:type="paragraph" w:styleId="14">
    <w:name w:val="toc 2"/>
    <w:basedOn w:val="1"/>
    <w:next w:val="1"/>
    <w:unhideWhenUsed/>
    <w:qFormat/>
    <w:uiPriority w:val="39"/>
    <w:pPr>
      <w:ind w:left="100" w:leftChars="100" w:right="100" w:rightChars="100"/>
      <w:jc w:val="left"/>
    </w:pPr>
    <w:rPr>
      <w:smallCaps/>
    </w:rPr>
  </w:style>
  <w:style w:type="paragraph" w:styleId="15">
    <w:name w:val="Title"/>
    <w:basedOn w:val="1"/>
    <w:next w:val="1"/>
    <w:link w:val="28"/>
    <w:qFormat/>
    <w:uiPriority w:val="0"/>
    <w:pPr>
      <w:spacing w:before="240" w:after="60"/>
      <w:jc w:val="center"/>
      <w:outlineLvl w:val="0"/>
    </w:pPr>
    <w:rPr>
      <w:rFonts w:ascii="等线 Light" w:hAnsi="等线 Light"/>
      <w:b/>
      <w:bCs/>
      <w:sz w:val="32"/>
      <w:szCs w:val="32"/>
    </w:rPr>
  </w:style>
  <w:style w:type="paragraph" w:styleId="16">
    <w:name w:val="annotation subject"/>
    <w:basedOn w:val="6"/>
    <w:next w:val="6"/>
    <w:link w:val="34"/>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qFormat/>
    <w:uiPriority w:val="0"/>
    <w:rPr>
      <w:color w:val="954F72"/>
      <w:u w:val="single"/>
    </w:rPr>
  </w:style>
  <w:style w:type="character" w:styleId="21">
    <w:name w:val="Emphasis"/>
    <w:qFormat/>
    <w:uiPriority w:val="0"/>
    <w:rPr>
      <w:i/>
      <w:iCs/>
    </w:rPr>
  </w:style>
  <w:style w:type="character" w:styleId="22">
    <w:name w:val="Hyperlink"/>
    <w:unhideWhenUsed/>
    <w:qFormat/>
    <w:uiPriority w:val="99"/>
    <w:rPr>
      <w:color w:val="0563C1"/>
      <w:u w:val="single"/>
    </w:rPr>
  </w:style>
  <w:style w:type="character" w:styleId="23">
    <w:name w:val="annotation reference"/>
    <w:qFormat/>
    <w:uiPriority w:val="0"/>
    <w:rPr>
      <w:sz w:val="21"/>
      <w:szCs w:val="21"/>
    </w:rPr>
  </w:style>
  <w:style w:type="character" w:customStyle="1" w:styleId="24">
    <w:name w:val="标题 3 字符"/>
    <w:semiHidden/>
    <w:qFormat/>
    <w:uiPriority w:val="0"/>
    <w:rPr>
      <w:rFonts w:ascii="Calibri" w:hAnsi="Calibri"/>
      <w:b/>
      <w:bCs/>
      <w:kern w:val="2"/>
      <w:sz w:val="32"/>
      <w:szCs w:val="32"/>
    </w:rPr>
  </w:style>
  <w:style w:type="character" w:customStyle="1" w:styleId="25">
    <w:name w:val="标题 3 字符1"/>
    <w:link w:val="4"/>
    <w:qFormat/>
    <w:uiPriority w:val="9"/>
    <w:rPr>
      <w:b/>
      <w:bCs/>
      <w:kern w:val="2"/>
      <w:sz w:val="32"/>
      <w:szCs w:val="32"/>
      <w:lang w:val="zh-CN" w:eastAsia="zh-CN"/>
    </w:rPr>
  </w:style>
  <w:style w:type="character" w:customStyle="1" w:styleId="26">
    <w:name w:val="标题 1 字符"/>
    <w:link w:val="2"/>
    <w:qFormat/>
    <w:uiPriority w:val="0"/>
    <w:rPr>
      <w:rFonts w:ascii="Calibri" w:hAnsi="Calibri"/>
      <w:b/>
      <w:bCs/>
      <w:kern w:val="44"/>
      <w:sz w:val="44"/>
      <w:szCs w:val="44"/>
    </w:rPr>
  </w:style>
  <w:style w:type="character" w:customStyle="1" w:styleId="27">
    <w:name w:val="标题 2 字符"/>
    <w:link w:val="3"/>
    <w:qFormat/>
    <w:uiPriority w:val="0"/>
    <w:rPr>
      <w:rFonts w:ascii="等线 Light" w:hAnsi="等线 Light" w:eastAsia="等线 Light" w:cs="Times New Roman"/>
      <w:b/>
      <w:bCs/>
      <w:kern w:val="2"/>
      <w:sz w:val="32"/>
      <w:szCs w:val="32"/>
    </w:rPr>
  </w:style>
  <w:style w:type="character" w:customStyle="1" w:styleId="28">
    <w:name w:val="标题 字符"/>
    <w:link w:val="15"/>
    <w:qFormat/>
    <w:uiPriority w:val="0"/>
    <w:rPr>
      <w:rFonts w:ascii="等线 Light" w:hAnsi="等线 Light" w:cs="Times New Roman"/>
      <w:b/>
      <w:bCs/>
      <w:kern w:val="2"/>
      <w:sz w:val="32"/>
      <w:szCs w:val="32"/>
    </w:rPr>
  </w:style>
  <w:style w:type="character" w:customStyle="1" w:styleId="29">
    <w:name w:val="副标题 字符"/>
    <w:link w:val="13"/>
    <w:qFormat/>
    <w:uiPriority w:val="0"/>
    <w:rPr>
      <w:rFonts w:ascii="等线 Light" w:hAnsi="等线 Light" w:cs="Times New Roman"/>
      <w:b/>
      <w:bCs/>
      <w:kern w:val="28"/>
      <w:sz w:val="32"/>
      <w:szCs w:val="32"/>
    </w:rPr>
  </w:style>
  <w:style w:type="character" w:customStyle="1" w:styleId="30">
    <w:name w:val="标题 4 字符"/>
    <w:link w:val="5"/>
    <w:qFormat/>
    <w:uiPriority w:val="0"/>
    <w:rPr>
      <w:rFonts w:ascii="等线 Light" w:hAnsi="等线 Light" w:eastAsia="等线 Light" w:cs="Times New Roman"/>
      <w:b/>
      <w:bCs/>
      <w:kern w:val="2"/>
      <w:sz w:val="28"/>
      <w:szCs w:val="28"/>
    </w:rPr>
  </w:style>
  <w:style w:type="paragraph" w:customStyle="1" w:styleId="31">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2">
    <w:name w:val="页脚 字符"/>
    <w:link w:val="10"/>
    <w:qFormat/>
    <w:uiPriority w:val="99"/>
    <w:rPr>
      <w:rFonts w:ascii="Calibri" w:hAnsi="Calibri"/>
      <w:sz w:val="18"/>
      <w:szCs w:val="18"/>
    </w:rPr>
  </w:style>
  <w:style w:type="character" w:customStyle="1" w:styleId="33">
    <w:name w:val="批注文字 字符"/>
    <w:link w:val="6"/>
    <w:qFormat/>
    <w:uiPriority w:val="0"/>
    <w:rPr>
      <w:rFonts w:ascii="Calibri" w:hAnsi="Calibri"/>
      <w:kern w:val="2"/>
      <w:sz w:val="21"/>
      <w:szCs w:val="24"/>
    </w:rPr>
  </w:style>
  <w:style w:type="character" w:customStyle="1" w:styleId="34">
    <w:name w:val="批注主题 字符"/>
    <w:link w:val="16"/>
    <w:qFormat/>
    <w:uiPriority w:val="0"/>
    <w:rPr>
      <w:rFonts w:ascii="Calibri" w:hAnsi="Calibri"/>
      <w:b/>
      <w:bCs/>
      <w:kern w:val="2"/>
      <w:sz w:val="21"/>
      <w:szCs w:val="24"/>
    </w:rPr>
  </w:style>
  <w:style w:type="character" w:customStyle="1" w:styleId="35">
    <w:name w:val="批注框文本 字符"/>
    <w:link w:val="9"/>
    <w:qFormat/>
    <w:uiPriority w:val="0"/>
    <w:rPr>
      <w:rFonts w:ascii="Calibri" w:hAnsi="Calibri"/>
      <w:kern w:val="2"/>
      <w:sz w:val="18"/>
      <w:szCs w:val="18"/>
    </w:rPr>
  </w:style>
  <w:style w:type="character" w:customStyle="1" w:styleId="36">
    <w:name w:val="日期 字符"/>
    <w:link w:val="8"/>
    <w:qFormat/>
    <w:uiPriority w:val="0"/>
    <w:rPr>
      <w:rFonts w:ascii="Calibri" w:hAnsi="Calibri"/>
      <w:kern w:val="2"/>
      <w:sz w:val="21"/>
      <w:szCs w:val="24"/>
    </w:rPr>
  </w:style>
  <w:style w:type="character" w:customStyle="1" w:styleId="37">
    <w:name w:val="Unresolved Mention"/>
    <w:semiHidden/>
    <w:unhideWhenUsed/>
    <w:qFormat/>
    <w:uiPriority w:val="99"/>
    <w:rPr>
      <w:color w:val="605E5C"/>
      <w:shd w:val="clear" w:color="auto" w:fill="E1DFDD"/>
    </w:rPr>
  </w:style>
  <w:style w:type="paragraph" w:styleId="38">
    <w:name w:val="List Paragraph"/>
    <w:basedOn w:val="1"/>
    <w:qFormat/>
    <w:uiPriority w:val="99"/>
    <w:pPr>
      <w:ind w:firstLine="420" w:firstLineChars="200"/>
    </w:pPr>
  </w:style>
  <w:style w:type="table" w:customStyle="1" w:styleId="39">
    <w:name w:val="Plain Table 1"/>
    <w:basedOn w:val="1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
    <w:name w:val="无格式表格 11"/>
    <w:basedOn w:val="1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21516</Words>
  <Characters>22563</Characters>
  <Lines>191</Lines>
  <Paragraphs>53</Paragraphs>
  <TotalTime>78</TotalTime>
  <ScaleCrop>false</ScaleCrop>
  <LinksUpToDate>false</LinksUpToDate>
  <CharactersWithSpaces>23283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2021-07-01T17:02:00Z</dcterms:created>
  <dc:creator>Administrator</dc:creator>
  <cp:lastModifiedBy>user</cp:lastModifiedBy>
  <cp:lastPrinted>2021-03-31T02:06:00Z</cp:lastPrinted>
  <dcterms:modified xsi:type="dcterms:W3CDTF">2021-09-09T12:11:17Z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