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spacing w:line="572" w:lineRule="exact"/>
        <w:jc w:val="left"/>
        <w:rPr>
          <w:rFonts w:ascii="Times New Roman"/>
          <w:szCs w:val="21"/>
        </w:rPr>
      </w:pPr>
    </w:p>
    <w:p>
      <w:pPr>
        <w:spacing w:line="572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抽查事项类别：</w:t>
      </w:r>
      <w:r>
        <w:rPr>
          <w:rFonts w:hint="eastAsia" w:ascii="Times New Roman"/>
          <w:sz w:val="28"/>
          <w:szCs w:val="28"/>
          <w:lang w:val="en-US" w:eastAsia="zh-CN"/>
        </w:rPr>
        <w:t>在建工程质量相关单位资质、保障体系、技术标准执行情况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第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批（次）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90"/>
        <w:gridCol w:w="2025"/>
        <w:gridCol w:w="1185"/>
        <w:gridCol w:w="3389"/>
        <w:gridCol w:w="271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黑体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检查对象名称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（姓名）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检查时间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（年月日）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抽查结果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sz w:val="24"/>
                <w:szCs w:val="24"/>
              </w:rPr>
              <w:t>检查意见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批准文件名称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事中事后监管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大湖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水库（潮阳区水利工程建设管理服务中心）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发现问题已责令整改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《水利工程质量管理规定》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水利部令第7号（第十三条）</w:t>
            </w:r>
          </w:p>
        </w:tc>
      </w:tr>
    </w:tbl>
    <w:p>
      <w:pPr>
        <w:spacing w:line="572" w:lineRule="exact"/>
        <w:jc w:val="left"/>
        <w:rPr>
          <w:rFonts w:ascii="Times New Roman"/>
          <w:szCs w:val="21"/>
        </w:rPr>
      </w:pPr>
    </w:p>
    <w:p>
      <w:pPr>
        <w:spacing w:line="572" w:lineRule="exact"/>
        <w:ind w:left="10080" w:leftChars="4800" w:firstLine="2880" w:firstLineChars="900"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</w:t>
      </w:r>
    </w:p>
    <w:p>
      <w:pPr>
        <w:spacing w:line="572" w:lineRule="exact"/>
        <w:ind w:firstLine="9440" w:firstLineChars="2950"/>
        <w:jc w:val="left"/>
        <w:rPr>
          <w:rFonts w:ascii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CEA49"/>
    <w:rsid w:val="E3FCE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2021-09-09T11:18:00Z</dcterms:created>
  <dc:creator>伟南</dc:creator>
  <cp:lastModifiedBy>伟南</cp:lastModifiedBy>
  <dcterms:modified xsi:type="dcterms:W3CDTF">2021-09-09T11:22:00Z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