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汕头市公立医疗机构基本医疗服务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价格项目目录使用说明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</w:p>
    <w:p>
      <w:pPr>
        <w:widowControl w:val="0"/>
        <w:numPr>
          <w:ilvl w:val="0"/>
          <w:numId w:val="1"/>
        </w:numPr>
        <w:spacing w:beforeLines="0" w:afterLines="0" w:line="600" w:lineRule="exact"/>
        <w:ind w:firstLine="640" w:firstLineChars="200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项目分类</w:t>
      </w:r>
    </w:p>
    <w:p>
      <w:pPr>
        <w:widowControl w:val="0"/>
        <w:numPr>
          <w:ilvl w:val="-1"/>
          <w:numId w:val="0"/>
        </w:numPr>
        <w:spacing w:beforeLines="0" w:afterLines="0" w:line="600" w:lineRule="exact"/>
        <w:ind w:firstLine="640" w:firstLineChars="200"/>
        <w:outlineLvl w:val="9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《汕头市基本医疗服务价格项目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目目录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年版）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所列医疗服务价格项目采用五级分类法。其中第一级分为综合医疗服务类、医技诊疗类、临床诊疗类、中医及民族医诊疗类。每类下可设第二至四级分类，第五级为医疗服务价格终极项目。其中临床诊疗类中“临床各系统诊疗”和“手术治疗”两类参照国际疾病分类（ICD-9-CM）的分类格式，按解剖部位从上至下，由近端到远端，由浅层到深层原则排序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项目分类的基本框架举例如下：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  <w:t>医疗服务价格项目</w:t>
      </w:r>
    </w:p>
    <w:tbl>
      <w:tblPr>
        <w:tblStyle w:val="7"/>
        <w:tblW w:w="7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948"/>
        <w:gridCol w:w="779"/>
        <w:gridCol w:w="780"/>
        <w:gridCol w:w="447"/>
        <w:gridCol w:w="333"/>
        <w:gridCol w:w="780"/>
        <w:gridCol w:w="13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综合医疗服务类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医技诊疗类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临床诊疗类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中医及民族医诊疗类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4   （一级分类）</w:t>
            </w:r>
          </w:p>
        </w:tc>
      </w:tr>
    </w:tbl>
    <w:p>
      <w:pPr>
        <w:widowControl/>
        <w:spacing w:line="24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tbl>
      <w:tblPr>
        <w:tblStyle w:val="7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918"/>
        <w:gridCol w:w="1107"/>
        <w:gridCol w:w="1107"/>
        <w:gridCol w:w="40"/>
        <w:gridCol w:w="607"/>
        <w:gridCol w:w="648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90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临床各系统诊疗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经血管介入性治疗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手术治疗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物理治疗与康复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34  （二级分类）</w:t>
            </w:r>
          </w:p>
        </w:tc>
      </w:tr>
    </w:tbl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7"/>
        <w:tblW w:w="8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355"/>
        <w:gridCol w:w="850"/>
        <w:gridCol w:w="851"/>
        <w:gridCol w:w="921"/>
        <w:gridCol w:w="901"/>
        <w:gridCol w:w="20"/>
        <w:gridCol w:w="663"/>
        <w:gridCol w:w="663"/>
        <w:gridCol w:w="712"/>
        <w:gridCol w:w="712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32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32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神经系统手术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内分泌系统手术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眼部手术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耳部手术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</w:t>
            </w:r>
          </w:p>
        </w:tc>
        <w:tc>
          <w:tcPr>
            <w:tcW w:w="2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3305   ……（三级分类）</w:t>
            </w:r>
          </w:p>
        </w:tc>
      </w:tr>
    </w:tbl>
    <w:p>
      <w:pPr>
        <w:widowControl/>
        <w:spacing w:line="24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7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83"/>
        <w:gridCol w:w="595"/>
        <w:gridCol w:w="595"/>
        <w:gridCol w:w="708"/>
        <w:gridCol w:w="709"/>
        <w:gridCol w:w="736"/>
        <w:gridCol w:w="43"/>
        <w:gridCol w:w="780"/>
        <w:gridCol w:w="1205"/>
        <w:gridCol w:w="1206"/>
        <w:gridCol w:w="63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9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2" w:type="dxa"/>
            <w:tcBorders>
              <w:top w:val="nil"/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nil"/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眼睑手术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泪器手术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结膜手术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角膜手术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虹膜睫状体和前房手术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330405  ……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（四级分类）</w:t>
            </w:r>
          </w:p>
        </w:tc>
      </w:tr>
    </w:tbl>
    <w:p>
      <w:pPr>
        <w:widowControl/>
        <w:spacing w:line="240" w:lineRule="exac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tbl>
      <w:tblPr>
        <w:tblStyle w:val="7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3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93" w:type="dxa"/>
            <w:tcBorders>
              <w:top w:val="nil"/>
              <w:lef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3" w:type="dxa"/>
            <w:tcBorders>
              <w:top w:val="nil"/>
              <w:right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6" w:type="dxa"/>
            <w:gridSpan w:val="2"/>
            <w:tcBorders>
              <w:bottom w:val="nil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ind w:left="1155" w:leftChars="5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330404001 表层角膜镜片镶嵌术      （第五级：终极项目）</w:t>
            </w:r>
          </w:p>
          <w:p>
            <w:pPr>
              <w:widowControl/>
              <w:ind w:left="1155" w:leftChars="55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330404002 近视性放射状角膜切开术 ……</w:t>
            </w:r>
          </w:p>
        </w:tc>
      </w:tr>
    </w:tbl>
    <w:p>
      <w:pPr>
        <w:widowControl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医疗服务价格项目要素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每项医疗服务价格项目设“财务分类”、“编码”、“项目名称”、“项目内涵”、“除外内容”、“计价单位”、“价格”和“说明”八个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要素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1.财务分类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财务分类是根据财政部和卫生健康委颁布的《医院财务制度》规定的医疗收入项目类别确定的，财务分类码采用大写英文字母，其中： B为床位费、C为诊查费、D为检查费、E为治疗费、F为护理费、G为手术费、H为化验费。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2.项目编码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项目编码采用顺序码，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主项目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位。从左至右第1位为一级分类码，第2位为二级分类码，第3－4位为三级分类码，第5－6位为四级分类码，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第7位之后为项目顺序码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以全国</w:t>
      </w:r>
      <w:r>
        <w:rPr>
          <w:rFonts w:hint="default" w:ascii="Times New Roman" w:hAnsi="Times New Roman" w:eastAsia="仿宋_GB2312"/>
          <w:sz w:val="32"/>
          <w:szCs w:val="32"/>
        </w:rPr>
        <w:t>统一的9位编码为基础，采用9+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N</w:t>
      </w:r>
      <w:r>
        <w:rPr>
          <w:rFonts w:hint="default" w:ascii="Times New Roman" w:hAnsi="Times New Roman" w:eastAsia="仿宋_GB2312"/>
          <w:sz w:val="32"/>
          <w:szCs w:val="32"/>
        </w:rPr>
        <w:t>位编码管理，每一个编码对应一个项目。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部分类别项目因分类简单，无第三、四级分类，分类编码记为“00”。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市场调节价医疗服务价格项目，医疗机构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可根据成本等情况制定不同的价格标准，收费编码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省医保局公布同一项目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编码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用“/1、/2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...”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顺延编号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3.项目名称</w:t>
      </w:r>
    </w:p>
    <w:p>
      <w:pPr>
        <w:pStyle w:val="2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为中文标准名称，部分项目名称中在括号内列出西文名称或缩写。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市场调节价医疗服务价格项目如顺延编码，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收费项目名称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加后缀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（如部位、方法等）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进行区分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4.项目内涵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用于规范项目的服务范围、内容、方式和手段。项目内涵使用“含”、“指”、“不含”三个专用名词进行界定：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⑴ 含：表示在医疗服务项目中应当提供的服务内容，这些服务内容不得单独分解收费。但在特殊情况下，由于患者病情需要只提供其中部分服务内容,也按此项标准计价。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⑵指：在“指”后面所列的内容，指完成该诊疗项目的不同方法，或该诊疗项目的适用范围。如无特别说明，不得重复计费。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⑶不含：在“不含”后面所列的服务内容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单独计价。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5.除外内容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指在医疗服务项目中需要另行收费的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医用耗材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和组织器官移植的供体等。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6.计价单位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指提供该项目服务时的基本计价方式。</w:t>
      </w:r>
    </w:p>
    <w:p>
      <w:pPr>
        <w:widowControl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价格</w:t>
      </w:r>
    </w:p>
    <w:p>
      <w:pPr>
        <w:widowControl/>
        <w:numPr>
          <w:ilvl w:val="-1"/>
          <w:numId w:val="0"/>
        </w:numPr>
        <w:spacing w:line="60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指完成该项目服务可以收取的费用，为各地市公立医疗机构医疗服务政府指导价。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color w:val="000000"/>
          <w:kern w:val="0"/>
          <w:sz w:val="32"/>
          <w:szCs w:val="32"/>
        </w:rPr>
        <w:t>.说明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指本项目在定价时需要特殊说明的相关事宜。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三、关于项目查找的说明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多科室共同使用的项目统一归入综合医疗服务类。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临床各系统诊疗类和手术治疗类项目不按临床科室列项，请参照国际疾病分类顺序，按照相应的解剖系统和部位查找。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两个以上医技科室均可开展的医技诊疗项目，查找时请注意医技诊疗类的说明。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开展医保部门公布项目未覆盖的新医疗技术或新医疗活动需要收费，请按照管理权限和规定申请立项。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四、需要说明的几点问题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1.在同一服务内容中，《基本医疗服务项目价格》不以设备、试剂的型号和产地分别立项。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2.提供各项医疗服务必须按医嘱要求或护理记录进行，无医嘱要求或护理记录的服务项目不得收费。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3．监护（监测）收费必须提供监护（监测）记录、监护（监测）结论报告等依据。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4．收取各类片费、图文报告费，必须向患者提供胶片（图片）或图文报告，用于教学目的或医院存档目的的胶片（图片）和图文报告不得向患者收费。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5．“除外内容”和“说明”中未明确规定可另外计费的医疗器械、一次性医用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消耗材料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等，一律不得另外收费；患者需使用“除外内容”中列明的需另外计费的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特殊医用消耗材料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时，医疗机构应事先征得患者或家属同意，未经患者或家属同意的，不得收费。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6.“项目内涵”中未注明“含药物”的，药物可另行收费。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7.所有医疗服务项目收费需符合卫生管理规定及具备相关资质。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8.因操作失误、仪器性能差错等原因，导致需要重新检查、检验及治疗的，一律不得向患者另行收费。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87" w:bottom="1417" w:left="1587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left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left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888636"/>
    <w:multiLevelType w:val="singleLevel"/>
    <w:tmpl w:val="B48886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1263C1"/>
    <w:multiLevelType w:val="singleLevel"/>
    <w:tmpl w:val="171263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11"/>
    <w:rsid w:val="00240227"/>
    <w:rsid w:val="009C4B85"/>
    <w:rsid w:val="00BB3D19"/>
    <w:rsid w:val="00C34E0F"/>
    <w:rsid w:val="00E95B11"/>
    <w:rsid w:val="00EA4122"/>
    <w:rsid w:val="0117218F"/>
    <w:rsid w:val="01D21099"/>
    <w:rsid w:val="058502E7"/>
    <w:rsid w:val="07533FFB"/>
    <w:rsid w:val="0D910072"/>
    <w:rsid w:val="0DC21A39"/>
    <w:rsid w:val="0DE83B1A"/>
    <w:rsid w:val="0EDE6E57"/>
    <w:rsid w:val="0F524ACA"/>
    <w:rsid w:val="13F12696"/>
    <w:rsid w:val="1854231F"/>
    <w:rsid w:val="1B135858"/>
    <w:rsid w:val="1BD1170E"/>
    <w:rsid w:val="1C8C0678"/>
    <w:rsid w:val="1F291EDD"/>
    <w:rsid w:val="203618CF"/>
    <w:rsid w:val="20BD6985"/>
    <w:rsid w:val="244817D1"/>
    <w:rsid w:val="2BD3034C"/>
    <w:rsid w:val="2EC67949"/>
    <w:rsid w:val="338319F9"/>
    <w:rsid w:val="346143FF"/>
    <w:rsid w:val="35045783"/>
    <w:rsid w:val="36474EB7"/>
    <w:rsid w:val="3B7D11D5"/>
    <w:rsid w:val="401054E1"/>
    <w:rsid w:val="414D0494"/>
    <w:rsid w:val="41DA32C6"/>
    <w:rsid w:val="437E5844"/>
    <w:rsid w:val="4B4F4F4C"/>
    <w:rsid w:val="4DFF59F9"/>
    <w:rsid w:val="50B63CE2"/>
    <w:rsid w:val="51CC32F5"/>
    <w:rsid w:val="53375B37"/>
    <w:rsid w:val="53F920F0"/>
    <w:rsid w:val="553278D9"/>
    <w:rsid w:val="5C52491D"/>
    <w:rsid w:val="5E7968FA"/>
    <w:rsid w:val="608B686F"/>
    <w:rsid w:val="628A4DEE"/>
    <w:rsid w:val="62E94EA4"/>
    <w:rsid w:val="688C2672"/>
    <w:rsid w:val="689E75BF"/>
    <w:rsid w:val="6A1360AB"/>
    <w:rsid w:val="6A96729C"/>
    <w:rsid w:val="6CEE2CDF"/>
    <w:rsid w:val="6CFA2465"/>
    <w:rsid w:val="6DE542D7"/>
    <w:rsid w:val="705F0667"/>
    <w:rsid w:val="72333108"/>
    <w:rsid w:val="7670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1">
    <w:name w:val="批注框文本 Char"/>
    <w:basedOn w:val="8"/>
    <w:link w:val="10"/>
    <w:semiHidden/>
    <w:qFormat/>
    <w:uiPriority w:val="0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0"/>
    <w:rPr>
      <w:sz w:val="18"/>
      <w:szCs w:val="18"/>
    </w:rPr>
  </w:style>
  <w:style w:type="character" w:customStyle="1" w:styleId="13">
    <w:name w:val="页眉 字符"/>
    <w:basedOn w:val="8"/>
    <w:link w:val="5"/>
    <w:semiHidden/>
    <w:qFormat/>
    <w:uiPriority w:val="0"/>
    <w:rPr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仿宋_GB2312" w:eastAsia="仿宋_GB2312"/>
      <w:b/>
      <w:bCs/>
      <w:color w:val="000000"/>
      <w:sz w:val="28"/>
      <w:szCs w:val="28"/>
      <w:u w:val="none"/>
    </w:rPr>
  </w:style>
  <w:style w:type="character" w:customStyle="1" w:styleId="15">
    <w:name w:val="font11"/>
    <w:basedOn w:val="8"/>
    <w:qFormat/>
    <w:uiPriority w:val="0"/>
    <w:rPr>
      <w:rFonts w:hint="eastAsia" w:ascii="仿宋_GB2312" w:eastAsia="仿宋_GB2312"/>
      <w:color w:val="000000"/>
      <w:sz w:val="28"/>
      <w:szCs w:val="28"/>
      <w:u w:val="none"/>
    </w:rPr>
  </w:style>
  <w:style w:type="character" w:customStyle="1" w:styleId="16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批注文字 字符"/>
    <w:basedOn w:val="8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9">
    <w:name w:val="批注主题 字符"/>
    <w:basedOn w:val="18"/>
    <w:link w:val="6"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1810</Words>
  <Characters>1904</Characters>
  <Lines>15</Lines>
  <Paragraphs>4</Paragraphs>
  <TotalTime>1</TotalTime>
  <ScaleCrop>false</ScaleCrop>
  <LinksUpToDate>false</LinksUpToDate>
  <CharactersWithSpaces>1943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2016-01-11T17:06:00Z</dcterms:created>
  <dc:creator>微软用户</dc:creator>
  <cp:lastModifiedBy>lenovo</cp:lastModifiedBy>
  <cp:lastPrinted>2016-01-29T16:17:00Z</cp:lastPrinted>
  <dcterms:modified xsi:type="dcterms:W3CDTF">2021-07-15T07:50:50Z</dcterms:modified>
  <dc:title>微软用户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0739inqofqajk90mrd5jh0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342650</vt:lpwstr>
  </property>
  <property fmtid="{D5CDD505-2E9C-101B-9397-08002B2CF9AE}" pid="9" name="cp_itemType">
    <vt:lpwstr>missive</vt:lpwstr>
  </property>
  <property fmtid="{D5CDD505-2E9C-101B-9397-08002B2CF9AE}" pid="10" name="cp_title">
    <vt:lpwstr>广东省医疗保障局关于公布《广东省基本医疗服务价格项目目录（2021年版）》和《广东省市场调节价医疗服务价格项目目录（2021年版）》的通知</vt:lpwstr>
  </property>
  <property fmtid="{D5CDD505-2E9C-101B-9397-08002B2CF9AE}" pid="11" name="hideWpsMarks">
    <vt:i4>0</vt:i4>
  </property>
  <property fmtid="{D5CDD505-2E9C-101B-9397-08002B2CF9AE}" pid="12" name="openType">
    <vt:lpwstr>1</vt:lpwstr>
  </property>
  <property fmtid="{D5CDD505-2E9C-101B-9397-08002B2CF9AE}" pid="13" name="openFlag">
    <vt:bool>true</vt:bool>
  </property>
  <property fmtid="{D5CDD505-2E9C-101B-9397-08002B2CF9AE}" pid="14" name="showFlag">
    <vt:bool>true</vt:bool>
  </property>
  <property fmtid="{D5CDD505-2E9C-101B-9397-08002B2CF9AE}" pid="15" name="showButton">
    <vt:lpwstr>WPSExtOfficeTab;btnShowRevision;btnUploadOA</vt:lpwstr>
  </property>
  <property fmtid="{D5CDD505-2E9C-101B-9397-08002B2CF9AE}" pid="16" name="uploadPath">
    <vt:lpwstr>https://xtbgsafe.gdzwfw.gov.cn/szoa/instance-web/minstone/wfDocBody/saveFileBody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7" name="urlParams">
    <vt:lpwstr>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8" name="lockDocUrl">
    <vt:lpwstr>https://xtbgsafe.gdzwfw.gov.cn/szoa/instance-web/minstone/wfDocBody/getLockInfo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19" name="copyUrl">
    <vt:lpwstr>https://xtbgsafe.gdzwfw.gov.cn/szoa/instance-web/minstone/wfDocBody/copyDoc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20" name="unLockDocurl">
    <vt:lpwstr>https://xtbgsafe.gdzwfw.gov.cn/szoa/instance-web/minstone/wfDocBody/unLockDoc?flowInid=342650&amp;stepInco=5704897&amp;dealIndx=0&amp;flowId=563&amp;stepCode=370&amp;readOnly=0&amp;curUserCode=13682274784&amp;sysCode=MD_YBJ_OA&amp;r=0.2626178224720348&amp;tenantCode=GDSXXZX&amp;fileCode=o_1f2q4fuue1g48b0dicm4751ipfc&amp;id=o_1f2q4fuue1g48b0dicm4751ipfc&amp;attachUuid=7c2c13c209e94e068ebd5db2c14b8ac8&amp;r=0.9829049692580474&amp;userUuid=b383729670ca4c7498b8982254ec9555</vt:lpwstr>
  </property>
  <property fmtid="{D5CDD505-2E9C-101B-9397-08002B2CF9AE}" pid="21" name="showSavePromptFlag">
    <vt:lpwstr>true</vt:lpwstr>
  </property>
  <property fmtid="{D5CDD505-2E9C-101B-9397-08002B2CF9AE}" pid="22" name="ribbonExt">
    <vt:lpwstr>{"WPSExtOfficeTab":{"OnGetEnabled":false,"OnGetVisible":false}}</vt:lpwstr>
  </property>
</Properties>
</file>