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bCs/>
          <w:sz w:val="32"/>
          <w:szCs w:val="32"/>
        </w:rPr>
      </w:pPr>
      <w:r>
        <w:rPr>
          <w:rFonts w:hint="eastAsia" w:ascii="黑体" w:hAnsi="黑体" w:eastAsia="黑体"/>
          <w:bCs/>
          <w:sz w:val="32"/>
          <w:szCs w:val="32"/>
        </w:rPr>
        <w:t>附件1</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汕头市农业龙头企业认定与监测指标</w:t>
      </w:r>
    </w:p>
    <w:tbl>
      <w:tblPr>
        <w:tblStyle w:val="13"/>
        <w:tblpPr w:leftFromText="180" w:rightFromText="180" w:vertAnchor="text" w:horzAnchor="page" w:tblpX="2166" w:tblpY="627"/>
        <w:tblOverlap w:val="never"/>
        <w:tblW w:w="12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45"/>
        <w:gridCol w:w="1449"/>
        <w:gridCol w:w="9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trPr>
        <w:tc>
          <w:tcPr>
            <w:tcW w:w="720"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序号</w:t>
            </w:r>
          </w:p>
        </w:tc>
        <w:tc>
          <w:tcPr>
            <w:tcW w:w="945"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计分指标</w:t>
            </w:r>
          </w:p>
        </w:tc>
        <w:tc>
          <w:tcPr>
            <w:tcW w:w="1449"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数据要求</w:t>
            </w:r>
          </w:p>
        </w:tc>
        <w:tc>
          <w:tcPr>
            <w:tcW w:w="9681"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945"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企业规模</w:t>
            </w:r>
          </w:p>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(25分）</w:t>
            </w:r>
          </w:p>
        </w:tc>
        <w:tc>
          <w:tcPr>
            <w:tcW w:w="1449" w:type="dxa"/>
            <w:vAlign w:val="center"/>
          </w:tcPr>
          <w:p>
            <w:pPr>
              <w:spacing w:line="300" w:lineRule="exact"/>
              <w:rPr>
                <w:rFonts w:ascii="仿宋" w:hAnsi="仿宋" w:eastAsia="仿宋" w:cs="仿宋"/>
                <w:kern w:val="0"/>
                <w:sz w:val="18"/>
                <w:szCs w:val="18"/>
              </w:rPr>
            </w:pPr>
            <w:r>
              <w:rPr>
                <w:rFonts w:hint="eastAsia" w:ascii="仿宋" w:hAnsi="仿宋" w:eastAsia="仿宋" w:cs="仿宋"/>
                <w:kern w:val="0"/>
                <w:sz w:val="18"/>
                <w:szCs w:val="18"/>
              </w:rPr>
              <w:t>以具备国家认可资质的中介机构审核数据为准</w:t>
            </w:r>
          </w:p>
        </w:tc>
        <w:tc>
          <w:tcPr>
            <w:tcW w:w="9681" w:type="dxa"/>
            <w:vAlign w:val="center"/>
          </w:tcPr>
          <w:p>
            <w:pPr>
              <w:spacing w:line="300" w:lineRule="exact"/>
              <w:rPr>
                <w:rFonts w:ascii="黑体" w:hAnsi="黑体" w:eastAsia="黑体" w:cs="仿宋"/>
                <w:kern w:val="0"/>
                <w:sz w:val="18"/>
                <w:szCs w:val="18"/>
              </w:rPr>
            </w:pPr>
            <w:r>
              <w:rPr>
                <w:rFonts w:hint="eastAsia" w:ascii="黑体" w:hAnsi="黑体" w:eastAsia="黑体" w:cs="仿宋"/>
                <w:kern w:val="0"/>
                <w:sz w:val="18"/>
                <w:szCs w:val="18"/>
              </w:rPr>
              <w:t>一、种养生产型企业</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1.年销售收入/交易额。养殖类企业农产品销售收入达2000万元的计20分，达不到的计0分，超过2000万元的，每超过200万元加1分，最高加5分；种植类企业农产品销售收入达1000万元的计20分，达不到的计0分，超过1000万元的，每超过100万元加1分，最高加5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2.总资产。养殖类企业总资产达不到1000万、种植类企业总资产达不到500万元的扣2分。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3.固定资产。养殖类企业固定资产达不到500万元、种植类企业固定资产达不到200万元的扣2分。</w:t>
            </w:r>
          </w:p>
          <w:p>
            <w:pPr>
              <w:spacing w:line="300" w:lineRule="exact"/>
              <w:rPr>
                <w:rFonts w:ascii="黑体" w:hAnsi="黑体" w:eastAsia="黑体" w:cs="仿宋"/>
                <w:kern w:val="0"/>
                <w:sz w:val="18"/>
                <w:szCs w:val="18"/>
              </w:rPr>
            </w:pPr>
            <w:r>
              <w:rPr>
                <w:rFonts w:hint="eastAsia" w:ascii="黑体" w:hAnsi="黑体" w:eastAsia="黑体" w:cs="仿宋"/>
                <w:kern w:val="0"/>
                <w:sz w:val="18"/>
                <w:szCs w:val="18"/>
              </w:rPr>
              <w:t>二、农产品加工型</w:t>
            </w:r>
            <w:r>
              <w:rPr>
                <w:rFonts w:ascii="黑体" w:hAnsi="黑体" w:eastAsia="黑体" w:cs="仿宋"/>
                <w:kern w:val="0"/>
                <w:sz w:val="18"/>
                <w:szCs w:val="18"/>
              </w:rPr>
              <w:t>企业和</w:t>
            </w:r>
            <w:r>
              <w:rPr>
                <w:rFonts w:hint="eastAsia" w:ascii="黑体" w:hAnsi="黑体" w:eastAsia="黑体" w:cs="仿宋"/>
                <w:kern w:val="0"/>
                <w:sz w:val="18"/>
                <w:szCs w:val="18"/>
              </w:rPr>
              <w:t>农产品流通型企业</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1.年销售收入达2500万元的计20分、达不到的计0分，超过2500万元的，每超过250万元加1分，最高加5分。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2.总资产达不到2000万元扣2分。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3.固定资产达不到800万元的扣2分。</w:t>
            </w:r>
          </w:p>
          <w:p>
            <w:pPr>
              <w:spacing w:line="300" w:lineRule="exact"/>
              <w:rPr>
                <w:rFonts w:ascii="黑体" w:hAnsi="黑体" w:eastAsia="黑体" w:cs="仿宋"/>
                <w:kern w:val="0"/>
                <w:sz w:val="18"/>
                <w:szCs w:val="18"/>
              </w:rPr>
            </w:pPr>
            <w:r>
              <w:rPr>
                <w:rFonts w:hint="eastAsia" w:ascii="黑体" w:hAnsi="黑体" w:eastAsia="黑体" w:cs="仿宋"/>
                <w:kern w:val="0"/>
                <w:sz w:val="18"/>
                <w:szCs w:val="18"/>
              </w:rPr>
              <w:t>三、农产品市场带动型企业</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1.年交易额达2亿元的计20分、达不到的计0分，超过2亿元的，每超过2000万元加1分，最高加5分。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2.总资产达不到5000万元扣2分。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3.固定资产达不到3000万元的扣2分。</w:t>
            </w:r>
          </w:p>
          <w:p>
            <w:pPr>
              <w:spacing w:line="300" w:lineRule="exact"/>
              <w:rPr>
                <w:rFonts w:ascii="黑体" w:hAnsi="黑体" w:eastAsia="黑体" w:cs="仿宋"/>
                <w:kern w:val="0"/>
                <w:sz w:val="18"/>
                <w:szCs w:val="18"/>
              </w:rPr>
            </w:pPr>
            <w:r>
              <w:rPr>
                <w:rFonts w:hint="eastAsia" w:ascii="黑体" w:hAnsi="黑体" w:eastAsia="黑体" w:cs="仿宋"/>
                <w:kern w:val="0"/>
                <w:sz w:val="18"/>
                <w:szCs w:val="18"/>
              </w:rPr>
              <w:t>四、新业态型企业</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1.农业电商企业、混合电商企业和平台电商企业：年交易额达5000万元的计20分、达不到的计0分，超过5000万元的，每超过500万元加1分，最高加5分；休闲观光农业企业，年交易额（销售收入)达2500万元的计20分、达不到的计0分，超过2500万元的，每超过250万元加1分，最高加5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2.总资产达不到1000万元扣2分。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3.固定资产达不到500万元的扣2分。</w:t>
            </w:r>
          </w:p>
          <w:p>
            <w:pPr>
              <w:spacing w:line="300" w:lineRule="exact"/>
              <w:rPr>
                <w:rFonts w:ascii="黑体" w:hAnsi="黑体" w:eastAsia="黑体" w:cs="仿宋"/>
                <w:kern w:val="0"/>
                <w:sz w:val="18"/>
                <w:szCs w:val="18"/>
              </w:rPr>
            </w:pPr>
            <w:r>
              <w:rPr>
                <w:rFonts w:hint="eastAsia" w:ascii="黑体" w:hAnsi="黑体" w:eastAsia="黑体" w:cs="仿宋"/>
                <w:kern w:val="0"/>
                <w:sz w:val="18"/>
                <w:szCs w:val="18"/>
              </w:rPr>
              <w:t>五、农业科技型企业</w:t>
            </w:r>
            <w:r>
              <w:rPr>
                <w:rFonts w:hint="eastAsia" w:ascii="黑体" w:hAnsi="黑体" w:eastAsia="黑体" w:cs="仿宋"/>
                <w:kern w:val="0"/>
                <w:sz w:val="18"/>
                <w:szCs w:val="18"/>
              </w:rPr>
              <w:tab/>
            </w:r>
            <w:r>
              <w:rPr>
                <w:rFonts w:hint="eastAsia" w:ascii="黑体" w:hAnsi="黑体" w:eastAsia="黑体" w:cs="仿宋"/>
                <w:kern w:val="0"/>
                <w:sz w:val="18"/>
                <w:szCs w:val="18"/>
              </w:rPr>
              <w:t>（公益类单位）</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鉴于该类企业为公益研究型的特殊性，不作规模上的具体限定。对其认定与监测可根据国家和省有关规定进行审查核实后报市政府确认。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945"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企业信用</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（15分）</w:t>
            </w:r>
          </w:p>
        </w:tc>
        <w:tc>
          <w:tcPr>
            <w:tcW w:w="1449" w:type="dxa"/>
            <w:vAlign w:val="center"/>
          </w:tcPr>
          <w:p>
            <w:pPr>
              <w:spacing w:line="300" w:lineRule="exact"/>
              <w:rPr>
                <w:rFonts w:ascii="仿宋" w:hAnsi="仿宋" w:eastAsia="仿宋" w:cs="仿宋"/>
                <w:kern w:val="0"/>
                <w:sz w:val="18"/>
                <w:szCs w:val="18"/>
              </w:rPr>
            </w:pPr>
            <w:r>
              <w:rPr>
                <w:rFonts w:hint="eastAsia" w:ascii="仿宋" w:hAnsi="仿宋" w:eastAsia="仿宋" w:cs="仿宋"/>
                <w:kern w:val="0"/>
                <w:sz w:val="18"/>
                <w:szCs w:val="18"/>
              </w:rPr>
              <w:t>以缴费凭证、系统查询或部门征求为准。</w:t>
            </w:r>
          </w:p>
        </w:tc>
        <w:tc>
          <w:tcPr>
            <w:tcW w:w="9681" w:type="dxa"/>
            <w:vAlign w:val="center"/>
          </w:tcPr>
          <w:p>
            <w:pPr>
              <w:spacing w:line="300" w:lineRule="exact"/>
              <w:rPr>
                <w:rFonts w:ascii="仿宋" w:hAnsi="仿宋" w:eastAsia="仿宋" w:cs="仿宋"/>
                <w:kern w:val="0"/>
                <w:sz w:val="18"/>
                <w:szCs w:val="18"/>
              </w:rPr>
            </w:pPr>
            <w:r>
              <w:rPr>
                <w:rFonts w:hint="eastAsia" w:ascii="仿宋" w:hAnsi="仿宋" w:eastAsia="仿宋" w:cs="仿宋"/>
                <w:kern w:val="0"/>
                <w:sz w:val="18"/>
                <w:szCs w:val="18"/>
              </w:rPr>
              <w:t>1.企业审核年度依法纳税的计5分，欠税的计0分。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2.企业有社保缴费资料的计5分，欠缴社保缴费资料的计0分。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3.企业在日常经济往来中守法、诚信、运行正常的计5分，在金融机构有不良信贷记录的，扣2分。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945"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企业资产负债率</w:t>
            </w:r>
          </w:p>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（5分）</w:t>
            </w:r>
          </w:p>
        </w:tc>
        <w:tc>
          <w:tcPr>
            <w:tcW w:w="1449" w:type="dxa"/>
            <w:vAlign w:val="center"/>
          </w:tcPr>
          <w:p>
            <w:pPr>
              <w:spacing w:line="300" w:lineRule="exact"/>
              <w:rPr>
                <w:rFonts w:ascii="仿宋" w:hAnsi="仿宋" w:eastAsia="仿宋" w:cs="仿宋"/>
                <w:kern w:val="0"/>
                <w:sz w:val="18"/>
                <w:szCs w:val="18"/>
              </w:rPr>
            </w:pPr>
            <w:r>
              <w:rPr>
                <w:rFonts w:hint="eastAsia" w:ascii="仿宋" w:hAnsi="仿宋" w:eastAsia="仿宋" w:cs="仿宋"/>
                <w:kern w:val="0"/>
                <w:sz w:val="18"/>
                <w:szCs w:val="18"/>
              </w:rPr>
              <w:t>以具备国家认可资质的中介机构审核数据为准。</w:t>
            </w:r>
          </w:p>
        </w:tc>
        <w:tc>
          <w:tcPr>
            <w:tcW w:w="9681" w:type="dxa"/>
            <w:vAlign w:val="center"/>
          </w:tcPr>
          <w:p>
            <w:pPr>
              <w:spacing w:line="300" w:lineRule="exact"/>
              <w:rPr>
                <w:rFonts w:ascii="仿宋" w:hAnsi="仿宋" w:eastAsia="仿宋" w:cs="仿宋"/>
                <w:kern w:val="0"/>
                <w:sz w:val="18"/>
                <w:szCs w:val="18"/>
              </w:rPr>
            </w:pPr>
            <w:r>
              <w:rPr>
                <w:rFonts w:hint="eastAsia" w:ascii="黑体" w:hAnsi="黑体" w:eastAsia="黑体" w:cs="仿宋"/>
                <w:kern w:val="0"/>
                <w:sz w:val="18"/>
                <w:szCs w:val="18"/>
              </w:rPr>
              <w:t>一、种养生产型和农业科技型</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资产负债率50%及以下的计5分，高于50%低于70%（含70%）的计3分，高于70%的计0分。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二、</w:t>
            </w:r>
            <w:r>
              <w:rPr>
                <w:rFonts w:hint="eastAsia" w:ascii="黑体" w:hAnsi="黑体" w:eastAsia="黑体" w:cs="仿宋"/>
                <w:kern w:val="0"/>
                <w:sz w:val="18"/>
                <w:szCs w:val="18"/>
              </w:rPr>
              <w:t>农产品加工型、农产品流通型、农产品市场带动型和新业态型企业</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资产负债率60%及以下的计5分，高于60%低于80%（含70%）的计3分，高于80%的计0分。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945"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企业带动农户能力（35分）</w:t>
            </w:r>
          </w:p>
        </w:tc>
        <w:tc>
          <w:tcPr>
            <w:tcW w:w="1449" w:type="dxa"/>
            <w:vAlign w:val="center"/>
          </w:tcPr>
          <w:p>
            <w:pPr>
              <w:spacing w:line="300" w:lineRule="exact"/>
              <w:rPr>
                <w:rFonts w:ascii="仿宋" w:hAnsi="仿宋" w:eastAsia="仿宋" w:cs="仿宋"/>
                <w:kern w:val="0"/>
                <w:sz w:val="18"/>
                <w:szCs w:val="18"/>
              </w:rPr>
            </w:pPr>
            <w:r>
              <w:rPr>
                <w:rFonts w:hint="eastAsia" w:ascii="仿宋" w:hAnsi="仿宋" w:eastAsia="仿宋" w:cs="仿宋"/>
                <w:kern w:val="0"/>
                <w:sz w:val="18"/>
                <w:szCs w:val="18"/>
              </w:rPr>
              <w:t>企业提供佐证材料，农业部门抽查测算。</w:t>
            </w:r>
          </w:p>
        </w:tc>
        <w:tc>
          <w:tcPr>
            <w:tcW w:w="9681" w:type="dxa"/>
            <w:vAlign w:val="center"/>
          </w:tcPr>
          <w:p>
            <w:pPr>
              <w:spacing w:line="300" w:lineRule="exact"/>
              <w:rPr>
                <w:rFonts w:ascii="仿宋" w:hAnsi="仿宋" w:eastAsia="仿宋" w:cs="仿宋"/>
                <w:kern w:val="0"/>
                <w:sz w:val="18"/>
                <w:szCs w:val="18"/>
              </w:rPr>
            </w:pPr>
            <w:r>
              <w:rPr>
                <w:rFonts w:hint="eastAsia" w:ascii="仿宋" w:hAnsi="仿宋" w:eastAsia="仿宋" w:cs="仿宋"/>
                <w:kern w:val="0"/>
                <w:sz w:val="18"/>
                <w:szCs w:val="18"/>
              </w:rPr>
              <w:t>1.企业带动农户800户的计15分，达不到的计0分；带动农户超过800户的，每增加80户，加1分，最高加5分。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2.企业所带动的农户从产业化经营中户均年取得收入1000元的计10分，达不到的计0分；取得收入超过1000元的，每增加100元，加1分，最高加5分。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5</w:t>
            </w:r>
          </w:p>
        </w:tc>
        <w:tc>
          <w:tcPr>
            <w:tcW w:w="945"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企业生产基地</w:t>
            </w:r>
          </w:p>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（10分）</w:t>
            </w:r>
          </w:p>
        </w:tc>
        <w:tc>
          <w:tcPr>
            <w:tcW w:w="1449" w:type="dxa"/>
            <w:vAlign w:val="center"/>
          </w:tcPr>
          <w:p>
            <w:pPr>
              <w:spacing w:line="300" w:lineRule="exact"/>
              <w:rPr>
                <w:rFonts w:ascii="仿宋" w:hAnsi="仿宋" w:eastAsia="仿宋" w:cs="仿宋"/>
                <w:kern w:val="0"/>
                <w:sz w:val="18"/>
                <w:szCs w:val="18"/>
              </w:rPr>
            </w:pPr>
            <w:r>
              <w:rPr>
                <w:rFonts w:hint="eastAsia" w:ascii="仿宋" w:hAnsi="仿宋" w:eastAsia="仿宋" w:cs="仿宋"/>
                <w:kern w:val="0"/>
                <w:sz w:val="18"/>
                <w:szCs w:val="18"/>
              </w:rPr>
              <w:t>以企业的产权证明或企业与有关单位签订的土地或设施使用合同、协议为准。不在此项规定范围内的其他企业，须提供与其生产规模相当的生产基地证明。</w:t>
            </w:r>
          </w:p>
        </w:tc>
        <w:tc>
          <w:tcPr>
            <w:tcW w:w="9681" w:type="dxa"/>
            <w:vAlign w:val="center"/>
          </w:tcPr>
          <w:p>
            <w:pPr>
              <w:spacing w:line="300" w:lineRule="exact"/>
              <w:rPr>
                <w:rFonts w:ascii="黑体" w:hAnsi="黑体" w:eastAsia="黑体" w:cs="仿宋"/>
                <w:kern w:val="0"/>
                <w:sz w:val="18"/>
                <w:szCs w:val="18"/>
              </w:rPr>
            </w:pPr>
            <w:r>
              <w:rPr>
                <w:rFonts w:hint="eastAsia" w:ascii="黑体" w:hAnsi="黑体" w:eastAsia="黑体" w:cs="仿宋"/>
                <w:kern w:val="0"/>
                <w:sz w:val="18"/>
                <w:szCs w:val="18"/>
              </w:rPr>
              <w:t>一、种养生产型企业</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1.种植企业：粮油作物面积500亩及以上，或蔬菜面积200亩及以上，或水果面积200亩及以上，或茶叶面积200亩及以上，或花卉面积50亩及以上，或其他种植面积50亩及以上。</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 xml:space="preserve">2.畜禽、水产养殖企业：家禽养殖企业家禽年出栏量（鸡100万只、鸭50万只、鹅10万只及以上），牲畜养殖企业，年出栏生猪1万头及以上，或年出栏牛羊1000头及以上，水产养殖面积200亩以上。   </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 xml:space="preserve">  达到上述任1标准计10分， 达不到标准的计0分。</w:t>
            </w:r>
          </w:p>
          <w:p>
            <w:pPr>
              <w:spacing w:line="300" w:lineRule="exact"/>
              <w:rPr>
                <w:rFonts w:ascii="黑体" w:hAnsi="黑体" w:eastAsia="黑体" w:cs="仿宋"/>
                <w:kern w:val="0"/>
                <w:sz w:val="18"/>
                <w:szCs w:val="18"/>
              </w:rPr>
            </w:pPr>
            <w:r>
              <w:rPr>
                <w:rFonts w:hint="eastAsia" w:ascii="黑体" w:hAnsi="黑体" w:eastAsia="黑体" w:cs="仿宋"/>
                <w:kern w:val="0"/>
                <w:sz w:val="18"/>
                <w:szCs w:val="18"/>
              </w:rPr>
              <w:t>二、农产品加工型企业和农产品流通型企业</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1.农产品加工企业：有符合国家环保标准、食品加工卫生标准的加工基地或生产设施。达到一项计5分，达到两项计10分。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2.农产品流通企业:有符合国家环保标准的交易场地或农产品运输、贮藏设施。达到一项计5分，达到两项计10分。</w:t>
            </w:r>
          </w:p>
          <w:p>
            <w:pPr>
              <w:spacing w:line="300" w:lineRule="exact"/>
              <w:rPr>
                <w:rFonts w:ascii="黑体" w:hAnsi="黑体" w:eastAsia="黑体" w:cs="仿宋"/>
                <w:kern w:val="0"/>
                <w:sz w:val="18"/>
                <w:szCs w:val="18"/>
              </w:rPr>
            </w:pPr>
            <w:r>
              <w:rPr>
                <w:rFonts w:hint="eastAsia" w:ascii="黑体" w:hAnsi="黑体" w:eastAsia="黑体" w:cs="仿宋"/>
                <w:kern w:val="0"/>
                <w:sz w:val="18"/>
                <w:szCs w:val="18"/>
              </w:rPr>
              <w:t>三、农产品市场带动型企业</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有符合国家环保标准的交易场地或农产品运输、贮藏设施。达到一项计5分，达到两项计10分。</w:t>
            </w:r>
          </w:p>
          <w:p>
            <w:pPr>
              <w:spacing w:line="300" w:lineRule="exact"/>
              <w:rPr>
                <w:rFonts w:ascii="黑体" w:hAnsi="黑体" w:eastAsia="黑体" w:cs="仿宋"/>
                <w:kern w:val="0"/>
                <w:sz w:val="18"/>
                <w:szCs w:val="18"/>
              </w:rPr>
            </w:pPr>
            <w:r>
              <w:rPr>
                <w:rFonts w:hint="eastAsia" w:ascii="黑体" w:hAnsi="黑体" w:eastAsia="黑体" w:cs="仿宋"/>
                <w:kern w:val="0"/>
                <w:sz w:val="18"/>
                <w:szCs w:val="18"/>
              </w:rPr>
              <w:t>四</w:t>
            </w:r>
            <w:r>
              <w:rPr>
                <w:rFonts w:ascii="黑体" w:hAnsi="黑体" w:eastAsia="黑体" w:cs="仿宋"/>
                <w:kern w:val="0"/>
                <w:sz w:val="18"/>
                <w:szCs w:val="18"/>
              </w:rPr>
              <w:t>、</w:t>
            </w:r>
            <w:r>
              <w:rPr>
                <w:rFonts w:hint="eastAsia" w:ascii="黑体" w:hAnsi="黑体" w:eastAsia="黑体" w:cs="仿宋"/>
                <w:kern w:val="0"/>
                <w:sz w:val="18"/>
                <w:szCs w:val="18"/>
              </w:rPr>
              <w:t>新业态型企业</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有符合国家相关产业要求的计10分。</w:t>
            </w:r>
          </w:p>
          <w:p>
            <w:pPr>
              <w:spacing w:line="300" w:lineRule="exact"/>
              <w:rPr>
                <w:rFonts w:ascii="黑体" w:hAnsi="黑体" w:eastAsia="黑体" w:cs="仿宋"/>
                <w:kern w:val="0"/>
                <w:sz w:val="18"/>
                <w:szCs w:val="18"/>
              </w:rPr>
            </w:pPr>
            <w:r>
              <w:rPr>
                <w:rFonts w:hint="eastAsia" w:ascii="黑体" w:hAnsi="黑体" w:eastAsia="黑体" w:cs="仿宋"/>
                <w:kern w:val="0"/>
                <w:sz w:val="18"/>
                <w:szCs w:val="18"/>
              </w:rPr>
              <w:t>五、农业科技型企业（公益类单位）</w:t>
            </w:r>
            <w:r>
              <w:rPr>
                <w:rFonts w:hint="eastAsia" w:ascii="黑体" w:hAnsi="黑体" w:eastAsia="黑体" w:cs="仿宋"/>
                <w:kern w:val="0"/>
                <w:sz w:val="18"/>
                <w:szCs w:val="18"/>
              </w:rPr>
              <w:tab/>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经营农作物种子，应取得农作物种子生产经营许可证，并具有与企业生产规模相当的育种或推广基地；经营禽苗畜苗的企业，具有与企业生产规模相当的育种或推广基地。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6</w:t>
            </w:r>
          </w:p>
        </w:tc>
        <w:tc>
          <w:tcPr>
            <w:tcW w:w="945"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企业产品竞争力</w:t>
            </w:r>
          </w:p>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（10分）</w:t>
            </w:r>
          </w:p>
        </w:tc>
        <w:tc>
          <w:tcPr>
            <w:tcW w:w="1449" w:type="dxa"/>
            <w:vAlign w:val="center"/>
          </w:tcPr>
          <w:p>
            <w:pPr>
              <w:spacing w:line="300" w:lineRule="exact"/>
              <w:rPr>
                <w:rFonts w:ascii="仿宋" w:hAnsi="仿宋" w:eastAsia="仿宋" w:cs="仿宋"/>
                <w:kern w:val="0"/>
                <w:sz w:val="18"/>
                <w:szCs w:val="18"/>
              </w:rPr>
            </w:pPr>
            <w:r>
              <w:rPr>
                <w:rFonts w:hint="eastAsia" w:ascii="仿宋" w:hAnsi="仿宋" w:eastAsia="仿宋" w:cs="仿宋"/>
                <w:kern w:val="0"/>
                <w:sz w:val="18"/>
                <w:szCs w:val="18"/>
              </w:rPr>
              <w:t>以企业提供的证明材料为准。</w:t>
            </w:r>
          </w:p>
        </w:tc>
        <w:tc>
          <w:tcPr>
            <w:tcW w:w="9681" w:type="dxa"/>
            <w:vAlign w:val="center"/>
          </w:tcPr>
          <w:p>
            <w:pPr>
              <w:spacing w:line="300" w:lineRule="exact"/>
              <w:rPr>
                <w:rFonts w:ascii="仿宋" w:hAnsi="仿宋" w:eastAsia="仿宋" w:cs="仿宋"/>
                <w:kern w:val="0"/>
                <w:sz w:val="18"/>
                <w:szCs w:val="18"/>
              </w:rPr>
            </w:pPr>
            <w:r>
              <w:rPr>
                <w:rFonts w:hint="eastAsia" w:ascii="仿宋" w:hAnsi="仿宋" w:eastAsia="仿宋" w:cs="仿宋"/>
                <w:kern w:val="0"/>
                <w:sz w:val="18"/>
                <w:szCs w:val="18"/>
              </w:rPr>
              <w:t>1.农产品原产地证明、无公害证书、绿色食品证书、有机食品证书，有其中一项的计2分，没有的计0分。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2.省著名商标证书、国家驰名商标证明文件，有其中一项的计2分，没有的计0分。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3.有省名牌产品证书的计1分，没有的计0分。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4.企业能够按照国家标准、行业标准、地方标准生产或制定并执行高于国家标准、行业标准、地方标准的企业标准，计1分，否则计0分。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5.企业质量管理体系认证、环保达标评定证明、职业安全与卫生管理体系认证等，有其中一项的计1分，没有的计0分。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6.有专利证书的计1分，没有的计0分。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7.有商标注册证的计1分，没有的计0分。</w:t>
            </w:r>
          </w:p>
          <w:p>
            <w:pPr>
              <w:spacing w:line="300" w:lineRule="exact"/>
              <w:rPr>
                <w:rFonts w:ascii="仿宋" w:hAnsi="仿宋" w:eastAsia="仿宋" w:cs="仿宋"/>
                <w:kern w:val="0"/>
                <w:sz w:val="18"/>
                <w:szCs w:val="18"/>
              </w:rPr>
            </w:pPr>
            <w:r>
              <w:rPr>
                <w:rFonts w:hint="eastAsia" w:ascii="仿宋" w:hAnsi="仿宋" w:eastAsia="仿宋" w:cs="仿宋"/>
                <w:kern w:val="0"/>
                <w:sz w:val="18"/>
                <w:szCs w:val="18"/>
              </w:rPr>
              <w:t>8.有企业管理制度和财务制度的计1分，没有的计0分。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0"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合计</w:t>
            </w:r>
          </w:p>
        </w:tc>
        <w:tc>
          <w:tcPr>
            <w:tcW w:w="945" w:type="dxa"/>
            <w:vAlign w:val="center"/>
          </w:tcPr>
          <w:p>
            <w:pPr>
              <w:spacing w:line="300" w:lineRule="exact"/>
              <w:jc w:val="center"/>
              <w:rPr>
                <w:rFonts w:ascii="仿宋" w:hAnsi="仿宋" w:eastAsia="仿宋" w:cs="仿宋"/>
                <w:kern w:val="0"/>
                <w:sz w:val="18"/>
                <w:szCs w:val="18"/>
              </w:rPr>
            </w:pPr>
            <w:r>
              <w:rPr>
                <w:rFonts w:hint="eastAsia" w:ascii="仿宋" w:hAnsi="仿宋" w:eastAsia="仿宋" w:cs="仿宋"/>
                <w:kern w:val="0"/>
                <w:sz w:val="18"/>
                <w:szCs w:val="18"/>
              </w:rPr>
              <w:t>100分</w:t>
            </w:r>
          </w:p>
        </w:tc>
        <w:tc>
          <w:tcPr>
            <w:tcW w:w="1449" w:type="dxa"/>
            <w:vAlign w:val="center"/>
          </w:tcPr>
          <w:p>
            <w:pPr>
              <w:spacing w:line="300" w:lineRule="exact"/>
              <w:rPr>
                <w:rFonts w:ascii="仿宋" w:hAnsi="仿宋" w:eastAsia="仿宋" w:cs="仿宋"/>
                <w:kern w:val="0"/>
                <w:sz w:val="18"/>
                <w:szCs w:val="18"/>
              </w:rPr>
            </w:pPr>
          </w:p>
        </w:tc>
        <w:tc>
          <w:tcPr>
            <w:tcW w:w="9681" w:type="dxa"/>
            <w:vAlign w:val="center"/>
          </w:tcPr>
          <w:p>
            <w:pPr>
              <w:spacing w:line="300" w:lineRule="exact"/>
              <w:rPr>
                <w:rFonts w:ascii="仿宋" w:hAnsi="仿宋" w:eastAsia="仿宋" w:cs="仿宋"/>
                <w:kern w:val="0"/>
                <w:sz w:val="18"/>
                <w:szCs w:val="18"/>
              </w:rPr>
            </w:pPr>
            <w:r>
              <w:rPr>
                <w:rFonts w:hint="eastAsia" w:ascii="仿宋" w:hAnsi="仿宋" w:eastAsia="仿宋" w:cs="仿宋"/>
                <w:kern w:val="0"/>
                <w:sz w:val="18"/>
                <w:szCs w:val="18"/>
              </w:rPr>
              <w:t>以上6部分合计超过75分视为合格。</w:t>
            </w:r>
          </w:p>
        </w:tc>
      </w:tr>
    </w:tbl>
    <w:p>
      <w:pPr>
        <w:spacing w:line="500" w:lineRule="exact"/>
        <w:rPr>
          <w:rFonts w:ascii="黑体" w:hAnsi="黑体" w:eastAsia="黑体"/>
          <w:szCs w:val="21"/>
        </w:rPr>
      </w:pPr>
    </w:p>
    <w:p>
      <w:pPr>
        <w:adjustRightInd w:val="0"/>
        <w:snapToGrid w:val="0"/>
        <w:spacing w:line="590" w:lineRule="exact"/>
        <w:rPr>
          <w:rFonts w:ascii="黑体" w:hAnsi="黑体" w:eastAsia="黑体"/>
          <w:snapToGrid w:val="0"/>
          <w:kern w:val="0"/>
          <w:szCs w:val="32"/>
        </w:rPr>
      </w:pPr>
    </w:p>
    <w:p>
      <w:pPr>
        <w:adjustRightInd w:val="0"/>
        <w:snapToGrid w:val="0"/>
        <w:spacing w:line="590" w:lineRule="exact"/>
        <w:rPr>
          <w:rFonts w:ascii="黑体" w:hAnsi="黑体" w:eastAsia="黑体"/>
          <w:snapToGrid w:val="0"/>
          <w:kern w:val="0"/>
          <w:szCs w:val="32"/>
        </w:rPr>
      </w:pPr>
    </w:p>
    <w:p>
      <w:pPr>
        <w:adjustRightInd w:val="0"/>
        <w:snapToGrid w:val="0"/>
        <w:spacing w:line="590" w:lineRule="exact"/>
        <w:rPr>
          <w:rFonts w:ascii="黑体" w:hAnsi="黑体" w:eastAsia="黑体"/>
          <w:snapToGrid w:val="0"/>
          <w:kern w:val="0"/>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313" w:rightChars="-149" w:firstLine="217" w:firstLineChars="68"/>
        <w:jc w:val="both"/>
        <w:textAlignment w:val="auto"/>
        <w:outlineLvl w:val="9"/>
        <w:rPr>
          <w:rFonts w:hint="eastAsia" w:ascii="仿宋_GB2312" w:hAnsi="仿宋_GB2312" w:eastAsia="仿宋_GB2312" w:cs="仿宋_GB2312"/>
          <w:sz w:val="32"/>
          <w:szCs w:val="32"/>
          <w:lang w:val="en-US" w:eastAsia="zh-CN"/>
        </w:rPr>
      </w:pPr>
      <w:bookmarkStart w:id="0" w:name="_GoBack"/>
      <w:bookmarkEnd w:id="0"/>
    </w:p>
    <w:sectPr>
      <w:headerReference r:id="rId3" w:type="default"/>
      <w:footerReference r:id="rId4" w:type="default"/>
      <w:footerReference r:id="rId5" w:type="even"/>
      <w:pgSz w:w="16838" w:h="11906" w:orient="landscape"/>
      <w:pgMar w:top="1587" w:right="1701" w:bottom="1474" w:left="1276"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方正小标宋简体">
    <w:altName w:val="黑体"/>
    <w:panose1 w:val="02010601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36"/>
        <w:tab w:val="clear" w:pos="4153"/>
      </w:tabs>
    </w:pPr>
    <w:r>
      <w:rPr>
        <w:sz w:val="18"/>
      </w:rPr>
      <mc:AlternateContent>
        <mc:Choice Requires="wps">
          <w:drawing>
            <wp:anchor distT="0" distB="0" distL="114300" distR="114300" simplePos="0" relativeHeight="23714580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923509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534D4"/>
    <w:rsid w:val="00BF2479"/>
    <w:rsid w:val="00D303A4"/>
    <w:rsid w:val="012C24E9"/>
    <w:rsid w:val="02190DA1"/>
    <w:rsid w:val="021A2B17"/>
    <w:rsid w:val="03403BD0"/>
    <w:rsid w:val="039A0E8A"/>
    <w:rsid w:val="04571674"/>
    <w:rsid w:val="047759A3"/>
    <w:rsid w:val="05130DBB"/>
    <w:rsid w:val="05C00C57"/>
    <w:rsid w:val="06307851"/>
    <w:rsid w:val="0678050F"/>
    <w:rsid w:val="06EF0A52"/>
    <w:rsid w:val="08C521FB"/>
    <w:rsid w:val="09C82D65"/>
    <w:rsid w:val="09E078D8"/>
    <w:rsid w:val="0A507DC5"/>
    <w:rsid w:val="0BA659DC"/>
    <w:rsid w:val="0D842913"/>
    <w:rsid w:val="11582324"/>
    <w:rsid w:val="1165285D"/>
    <w:rsid w:val="12084325"/>
    <w:rsid w:val="122F0C1D"/>
    <w:rsid w:val="125E282F"/>
    <w:rsid w:val="1375004D"/>
    <w:rsid w:val="13B24F5F"/>
    <w:rsid w:val="1448363D"/>
    <w:rsid w:val="14B23BC5"/>
    <w:rsid w:val="169E3997"/>
    <w:rsid w:val="17201880"/>
    <w:rsid w:val="1756542A"/>
    <w:rsid w:val="176C10BC"/>
    <w:rsid w:val="17AE180C"/>
    <w:rsid w:val="190F3648"/>
    <w:rsid w:val="191F4CD6"/>
    <w:rsid w:val="195B08A2"/>
    <w:rsid w:val="1B397CB1"/>
    <w:rsid w:val="1F5D6BB7"/>
    <w:rsid w:val="20665B58"/>
    <w:rsid w:val="20DC60CC"/>
    <w:rsid w:val="217B35D3"/>
    <w:rsid w:val="219367DD"/>
    <w:rsid w:val="22522303"/>
    <w:rsid w:val="23273007"/>
    <w:rsid w:val="244A4F75"/>
    <w:rsid w:val="25607773"/>
    <w:rsid w:val="25B90A60"/>
    <w:rsid w:val="25F31AE1"/>
    <w:rsid w:val="261255DD"/>
    <w:rsid w:val="26206CC3"/>
    <w:rsid w:val="26641CCA"/>
    <w:rsid w:val="275B2262"/>
    <w:rsid w:val="2877242B"/>
    <w:rsid w:val="29430D78"/>
    <w:rsid w:val="29F46C04"/>
    <w:rsid w:val="2A1B027B"/>
    <w:rsid w:val="2B7331C5"/>
    <w:rsid w:val="2F1B2943"/>
    <w:rsid w:val="2F625285"/>
    <w:rsid w:val="308E000A"/>
    <w:rsid w:val="30981E04"/>
    <w:rsid w:val="311F06CC"/>
    <w:rsid w:val="320D6B7A"/>
    <w:rsid w:val="32DE43EB"/>
    <w:rsid w:val="3339190D"/>
    <w:rsid w:val="347540DA"/>
    <w:rsid w:val="34F37651"/>
    <w:rsid w:val="35A41DD2"/>
    <w:rsid w:val="35A77EBD"/>
    <w:rsid w:val="35DB279C"/>
    <w:rsid w:val="3884074A"/>
    <w:rsid w:val="396354CC"/>
    <w:rsid w:val="3A204E94"/>
    <w:rsid w:val="3AC72A7B"/>
    <w:rsid w:val="3ADF0143"/>
    <w:rsid w:val="3B9443D9"/>
    <w:rsid w:val="3BB365D1"/>
    <w:rsid w:val="3C013C01"/>
    <w:rsid w:val="3C470604"/>
    <w:rsid w:val="3C732994"/>
    <w:rsid w:val="3D195717"/>
    <w:rsid w:val="3DB67CED"/>
    <w:rsid w:val="3DEC46C6"/>
    <w:rsid w:val="3E6C4C53"/>
    <w:rsid w:val="3F1641D5"/>
    <w:rsid w:val="3F3B2F63"/>
    <w:rsid w:val="406F2519"/>
    <w:rsid w:val="41495CCE"/>
    <w:rsid w:val="414B6E4E"/>
    <w:rsid w:val="416D759F"/>
    <w:rsid w:val="41A42680"/>
    <w:rsid w:val="41C46F9B"/>
    <w:rsid w:val="422C2F92"/>
    <w:rsid w:val="425327E4"/>
    <w:rsid w:val="43A20F5E"/>
    <w:rsid w:val="451E74B3"/>
    <w:rsid w:val="453C2E24"/>
    <w:rsid w:val="456078A6"/>
    <w:rsid w:val="46530544"/>
    <w:rsid w:val="46BF36BD"/>
    <w:rsid w:val="46D516CB"/>
    <w:rsid w:val="47474F2A"/>
    <w:rsid w:val="47AF565E"/>
    <w:rsid w:val="47AF7104"/>
    <w:rsid w:val="48F97312"/>
    <w:rsid w:val="492404AC"/>
    <w:rsid w:val="4A7847A6"/>
    <w:rsid w:val="4B321AF9"/>
    <w:rsid w:val="4BB46967"/>
    <w:rsid w:val="4CFB3AC2"/>
    <w:rsid w:val="4D5C4B25"/>
    <w:rsid w:val="4E165361"/>
    <w:rsid w:val="4F6D614E"/>
    <w:rsid w:val="50020619"/>
    <w:rsid w:val="507C24E1"/>
    <w:rsid w:val="50CF2451"/>
    <w:rsid w:val="518F5363"/>
    <w:rsid w:val="522964B6"/>
    <w:rsid w:val="53182593"/>
    <w:rsid w:val="536D3555"/>
    <w:rsid w:val="537B6A42"/>
    <w:rsid w:val="54E57F29"/>
    <w:rsid w:val="5599449E"/>
    <w:rsid w:val="5653113F"/>
    <w:rsid w:val="576E123A"/>
    <w:rsid w:val="57D54B4F"/>
    <w:rsid w:val="587D1B41"/>
    <w:rsid w:val="59527C5B"/>
    <w:rsid w:val="596455B8"/>
    <w:rsid w:val="596A528E"/>
    <w:rsid w:val="5A771210"/>
    <w:rsid w:val="5ADD4C95"/>
    <w:rsid w:val="5AFC1B6E"/>
    <w:rsid w:val="5B963478"/>
    <w:rsid w:val="5BDB27D0"/>
    <w:rsid w:val="5C1A6ECE"/>
    <w:rsid w:val="5C3A2F43"/>
    <w:rsid w:val="5DD0278B"/>
    <w:rsid w:val="5F1003B9"/>
    <w:rsid w:val="5FC07811"/>
    <w:rsid w:val="5FED3CB2"/>
    <w:rsid w:val="5FFC507F"/>
    <w:rsid w:val="607D28DB"/>
    <w:rsid w:val="609F1A97"/>
    <w:rsid w:val="612771E7"/>
    <w:rsid w:val="61F01284"/>
    <w:rsid w:val="621C7020"/>
    <w:rsid w:val="62AF1C45"/>
    <w:rsid w:val="62DF3B9C"/>
    <w:rsid w:val="631F4F68"/>
    <w:rsid w:val="641B17C4"/>
    <w:rsid w:val="64DE2793"/>
    <w:rsid w:val="64E95EBA"/>
    <w:rsid w:val="653323EC"/>
    <w:rsid w:val="68BC1F83"/>
    <w:rsid w:val="69561C54"/>
    <w:rsid w:val="69D24CBD"/>
    <w:rsid w:val="6A7534D4"/>
    <w:rsid w:val="6A8D4023"/>
    <w:rsid w:val="6A9C52D5"/>
    <w:rsid w:val="6B343249"/>
    <w:rsid w:val="6BFA1369"/>
    <w:rsid w:val="6C032673"/>
    <w:rsid w:val="6C3025A3"/>
    <w:rsid w:val="6CED0DCF"/>
    <w:rsid w:val="6DB41A2B"/>
    <w:rsid w:val="6DC35884"/>
    <w:rsid w:val="6E704B72"/>
    <w:rsid w:val="6F167029"/>
    <w:rsid w:val="71341C6B"/>
    <w:rsid w:val="72427EE3"/>
    <w:rsid w:val="724615D4"/>
    <w:rsid w:val="725F44DD"/>
    <w:rsid w:val="74392A24"/>
    <w:rsid w:val="74ED0CA7"/>
    <w:rsid w:val="75024866"/>
    <w:rsid w:val="763554CF"/>
    <w:rsid w:val="767E0161"/>
    <w:rsid w:val="76853538"/>
    <w:rsid w:val="77F15E5D"/>
    <w:rsid w:val="788E17A4"/>
    <w:rsid w:val="7911674C"/>
    <w:rsid w:val="79316F9E"/>
    <w:rsid w:val="79A12E92"/>
    <w:rsid w:val="7A703CDE"/>
    <w:rsid w:val="7BF07B04"/>
    <w:rsid w:val="7CE00048"/>
    <w:rsid w:val="7D536AA9"/>
    <w:rsid w:val="7F1D1A6C"/>
    <w:rsid w:val="7FF2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firstLine="200"/>
      <w:outlineLvl w:val="0"/>
    </w:pPr>
    <w:rPr>
      <w:rFonts w:eastAsia="黑体"/>
      <w:b/>
      <w:bCs/>
      <w:kern w:val="44"/>
      <w:sz w:val="32"/>
      <w:szCs w:val="44"/>
    </w:rPr>
  </w:style>
  <w:style w:type="paragraph" w:styleId="4">
    <w:name w:val="heading 2"/>
    <w:basedOn w:val="1"/>
    <w:next w:val="5"/>
    <w:qFormat/>
    <w:uiPriority w:val="0"/>
    <w:pPr>
      <w:widowControl/>
      <w:jc w:val="left"/>
      <w:outlineLvl w:val="1"/>
    </w:pPr>
    <w:rPr>
      <w:rFonts w:ascii="宋体" w:hAnsi="宋体" w:cs="宋体"/>
      <w:b/>
      <w:bCs/>
      <w:kern w:val="0"/>
      <w:sz w:val="36"/>
      <w:szCs w:val="36"/>
    </w:rPr>
  </w:style>
  <w:style w:type="paragraph" w:styleId="2">
    <w:name w:val="heading 3"/>
    <w:basedOn w:val="1"/>
    <w:next w:val="1"/>
    <w:unhideWhenUsed/>
    <w:qFormat/>
    <w:uiPriority w:val="0"/>
    <w:pPr>
      <w:keepNext/>
      <w:keepLines/>
      <w:spacing w:line="413" w:lineRule="auto"/>
      <w:outlineLvl w:val="2"/>
    </w:pPr>
    <w:rPr>
      <w:rFonts w:ascii="Times New Roman" w:hAnsi="Times New Roman"/>
    </w:rPr>
  </w:style>
  <w:style w:type="character" w:default="1" w:styleId="15">
    <w:name w:val="Default Paragraph Font"/>
    <w:link w:val="16"/>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cs="Times New Roman"/>
    </w:rPr>
  </w:style>
  <w:style w:type="paragraph" w:styleId="6">
    <w:name w:val="Body Text"/>
    <w:basedOn w:val="1"/>
    <w:qFormat/>
    <w:uiPriority w:val="0"/>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widowControl w:val="0"/>
      <w:snapToGrid w:val="0"/>
      <w:jc w:val="left"/>
    </w:pPr>
    <w:rPr>
      <w:rFonts w:ascii="Calibri" w:hAnsi="Calibri" w:eastAsia="仿宋_GB2312" w:cs="Times New Roman"/>
      <w:kern w:val="2"/>
      <w:sz w:val="18"/>
      <w:szCs w:val="18"/>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 Char Char Char Char Char Char"/>
    <w:basedOn w:val="1"/>
    <w:link w:val="15"/>
    <w:qFormat/>
    <w:uiPriority w:val="0"/>
    <w:pPr>
      <w:widowControl/>
      <w:spacing w:after="160" w:afterLines="0" w:line="240" w:lineRule="exact"/>
      <w:jc w:val="left"/>
    </w:p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customStyle="1" w:styleId="19">
    <w:name w:val="15"/>
    <w:basedOn w:val="15"/>
    <w:qFormat/>
    <w:uiPriority w:val="0"/>
    <w:rPr>
      <w:rFonts w:hint="default" w:ascii="_x000B__x000C_" w:hAnsi="_x000B__x000C_"/>
      <w:color w:val="000000"/>
      <w:sz w:val="18"/>
      <w:szCs w:val="18"/>
      <w:u w:val="none"/>
    </w:rPr>
  </w:style>
  <w:style w:type="character" w:customStyle="1" w:styleId="20">
    <w:name w:val="font11"/>
    <w:basedOn w:val="15"/>
    <w:qFormat/>
    <w:uiPriority w:val="0"/>
    <w:rPr>
      <w:rFonts w:hint="eastAsia" w:ascii="宋体" w:hAnsi="宋体" w:eastAsia="宋体" w:cs="宋体"/>
      <w:color w:val="000000"/>
      <w:sz w:val="22"/>
      <w:szCs w:val="22"/>
      <w:u w:val="single"/>
    </w:rPr>
  </w:style>
  <w:style w:type="character" w:customStyle="1" w:styleId="21">
    <w:name w:val="font31"/>
    <w:basedOn w:val="15"/>
    <w:qFormat/>
    <w:uiPriority w:val="0"/>
    <w:rPr>
      <w:rFonts w:hint="eastAsia" w:ascii="宋体" w:hAnsi="宋体" w:eastAsia="宋体" w:cs="宋体"/>
      <w:color w:val="000000"/>
      <w:sz w:val="22"/>
      <w:szCs w:val="22"/>
      <w:u w:val="none"/>
    </w:rPr>
  </w:style>
  <w:style w:type="character" w:customStyle="1" w:styleId="22">
    <w:name w:val="Body text|3 + 12 pt"/>
    <w:basedOn w:val="23"/>
    <w:unhideWhenUsed/>
    <w:qFormat/>
    <w:uiPriority w:val="0"/>
    <w:rPr>
      <w:color w:val="000000"/>
      <w:spacing w:val="90"/>
      <w:w w:val="66"/>
      <w:position w:val="0"/>
      <w:sz w:val="24"/>
      <w:szCs w:val="24"/>
      <w:lang w:val="zh-CN" w:eastAsia="zh-CN" w:bidi="zh-CN"/>
    </w:rPr>
  </w:style>
  <w:style w:type="character" w:customStyle="1" w:styleId="23">
    <w:name w:val="Body text|3_"/>
    <w:basedOn w:val="15"/>
    <w:link w:val="24"/>
    <w:qFormat/>
    <w:uiPriority w:val="0"/>
    <w:rPr>
      <w:rFonts w:ascii="PMingLiU" w:hAnsi="PMingLiU" w:eastAsia="PMingLiU" w:cs="PMingLiU"/>
      <w:spacing w:val="50"/>
      <w:sz w:val="52"/>
      <w:szCs w:val="52"/>
      <w:u w:val="none"/>
    </w:rPr>
  </w:style>
  <w:style w:type="paragraph" w:customStyle="1" w:styleId="24">
    <w:name w:val="Body text|3"/>
    <w:basedOn w:val="1"/>
    <w:link w:val="23"/>
    <w:qFormat/>
    <w:uiPriority w:val="0"/>
    <w:pPr>
      <w:widowControl w:val="0"/>
      <w:shd w:val="clear" w:color="auto" w:fill="FFFFFF"/>
      <w:spacing w:after="1900" w:line="520" w:lineRule="exact"/>
    </w:pPr>
    <w:rPr>
      <w:rFonts w:ascii="PMingLiU" w:hAnsi="PMingLiU" w:eastAsia="PMingLiU" w:cs="PMingLiU"/>
      <w:spacing w:val="50"/>
      <w:sz w:val="52"/>
      <w:szCs w:val="52"/>
      <w:u w:val="none"/>
    </w:rPr>
  </w:style>
  <w:style w:type="paragraph" w:customStyle="1" w:styleId="25">
    <w:name w:val="List Paragraph"/>
    <w:basedOn w:val="1"/>
    <w:qFormat/>
    <w:uiPriority w:val="0"/>
    <w:pPr>
      <w:ind w:firstLine="420" w:firstLineChars="200"/>
    </w:pPr>
    <w:rPr>
      <w:rFonts w:ascii="Times New Roman" w:hAnsi="Times New Roman" w:eastAsia="宋体" w:cs="Times New Roman"/>
    </w:rPr>
  </w:style>
  <w:style w:type="paragraph" w:customStyle="1" w:styleId="26">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paragraph" w:customStyle="1" w:styleId="27">
    <w:name w:val="付琴建正文"/>
    <w:basedOn w:val="1"/>
    <w:qFormat/>
    <w:uiPriority w:val="0"/>
    <w:pPr>
      <w:spacing w:line="600" w:lineRule="atLeast"/>
      <w:ind w:firstLine="641"/>
    </w:pPr>
    <w:rPr>
      <w:rFonts w:cstheme="minorBidi"/>
      <w:szCs w:val="32"/>
    </w:rPr>
  </w:style>
  <w:style w:type="character" w:customStyle="1" w:styleId="28">
    <w:name w:val="NormalCharacter"/>
    <w:qFormat/>
    <w:uiPriority w:val="0"/>
    <w:rPr>
      <w:rFonts w:ascii="Calibri" w:hAnsi="Calibri" w:eastAsia="宋体" w:cs="Times New Roman"/>
      <w:kern w:val="2"/>
      <w:sz w:val="21"/>
      <w:szCs w:val="24"/>
      <w:lang w:val="en-US" w:eastAsia="zh-CN" w:bidi="ar-SA"/>
    </w:rPr>
  </w:style>
  <w:style w:type="paragraph" w:customStyle="1" w:styleId="29">
    <w:name w:val="样式3"/>
    <w:basedOn w:val="1"/>
    <w:qFormat/>
    <w:uiPriority w:val="0"/>
    <w:pPr>
      <w:adjustRightInd w:val="0"/>
      <w:snapToGrid w:val="0"/>
      <w:spacing w:before="20" w:beforeLines="0" w:line="324" w:lineRule="auto"/>
      <w:jc w:val="center"/>
    </w:pPr>
    <w:rPr>
      <w:rFonts w:ascii="宋体" w:hAnsi="宋体" w:eastAsia="方正楷体_GBK" w:cs="Times New Roman"/>
      <w:spacing w:val="4"/>
      <w:kern w:val="0"/>
      <w:sz w:val="32"/>
      <w:szCs w:val="20"/>
    </w:rPr>
  </w:style>
  <w:style w:type="paragraph" w:customStyle="1" w:styleId="30">
    <w:name w:val="正文宋4"/>
    <w:basedOn w:val="1"/>
    <w:qFormat/>
    <w:uiPriority w:val="0"/>
    <w:pPr>
      <w:suppressLineNumbers/>
      <w:adjustRightInd w:val="0"/>
      <w:snapToGrid w:val="0"/>
      <w:spacing w:before="20" w:beforeLines="0" w:line="460" w:lineRule="atLeast"/>
      <w:ind w:firstLine="601"/>
    </w:pPr>
    <w:rPr>
      <w:rFonts w:ascii="宋体" w:hAnsi="宋体" w:eastAsia="宋体" w:cs="Times New Roman"/>
      <w:spacing w:val="4"/>
      <w:kern w:val="0"/>
      <w:sz w:val="28"/>
      <w:szCs w:val="20"/>
    </w:rPr>
  </w:style>
  <w:style w:type="paragraph" w:customStyle="1" w:styleId="31">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character" w:customStyle="1" w:styleId="32">
    <w:name w:val="页码1"/>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8</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2018-09-06T06:39:00Z</dcterms:created>
  <dc:creator>dell</dc:creator>
  <cp:lastModifiedBy>Administrator</cp:lastModifiedBy>
  <cp:lastPrinted>2020-03-10T02:48:00Z</cp:lastPrinted>
  <dcterms:modified xsi:type="dcterms:W3CDTF">2020-03-13T02:51:01Z</dcterms:modified>
  <dc:title>非洲猪瘟疫情处置指南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