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line="560" w:lineRule="exact"/>
        <w:ind w:firstLine="0" w:firstLineChars="0"/>
        <w:jc w:val="both"/>
        <w:outlineLvl w:val="0"/>
        <w:rPr>
          <w:rFonts w:hint="default" w:ascii="Times New Roman" w:hAnsi="Times New Roman" w:eastAsia="黑体" w:cs="Times New Roman"/>
          <w:kern w:val="44"/>
          <w:sz w:val="32"/>
          <w:szCs w:val="24"/>
          <w:highlight w:val="none"/>
          <w:u w:val="none"/>
          <w:lang w:val="en-US" w:eastAsia="zh-CN" w:bidi="ar-SA"/>
        </w:rPr>
      </w:pPr>
      <w:bookmarkStart w:id="0" w:name="_Toc369"/>
      <w:bookmarkStart w:id="1" w:name="_Toc19246"/>
      <w:bookmarkStart w:id="2" w:name="_Toc1846"/>
      <w:bookmarkStart w:id="3" w:name="_Toc12585"/>
      <w:bookmarkStart w:id="4" w:name="_Toc5639"/>
      <w:bookmarkStart w:id="5" w:name="_Toc4539"/>
      <w:bookmarkStart w:id="6" w:name="_Toc17106"/>
      <w:r>
        <w:rPr>
          <w:rFonts w:hint="default" w:ascii="Times New Roman" w:hAnsi="Times New Roman" w:eastAsia="黑体" w:cs="Times New Roman"/>
          <w:kern w:val="44"/>
          <w:sz w:val="32"/>
          <w:szCs w:val="24"/>
          <w:highlight w:val="none"/>
          <w:u w:val="none"/>
          <w:lang w:val="en-US" w:eastAsia="zh-CN" w:bidi="ar-SA"/>
        </w:rPr>
        <w:t>附</w:t>
      </w:r>
      <w:bookmarkEnd w:id="0"/>
      <w:r>
        <w:rPr>
          <w:rFonts w:hint="eastAsia" w:ascii="Times New Roman" w:hAnsi="Times New Roman" w:eastAsia="黑体" w:cs="Times New Roman"/>
          <w:kern w:val="44"/>
          <w:sz w:val="32"/>
          <w:szCs w:val="24"/>
          <w:highlight w:val="none"/>
          <w:u w:val="none"/>
          <w:lang w:val="en-US" w:eastAsia="zh-CN" w:bidi="ar-SA"/>
        </w:rPr>
        <w:t>件</w:t>
      </w:r>
      <w:r>
        <w:rPr>
          <w:rFonts w:hint="default" w:ascii="Times New Roman" w:hAnsi="Times New Roman" w:eastAsia="黑体" w:cs="Times New Roman"/>
          <w:kern w:val="44"/>
          <w:sz w:val="32"/>
          <w:szCs w:val="24"/>
          <w:highlight w:val="none"/>
          <w:u w:val="none"/>
          <w:lang w:val="en-US" w:eastAsia="zh-CN" w:bidi="ar-SA"/>
        </w:rPr>
        <w:t>3</w:t>
      </w:r>
      <w:bookmarkEnd w:id="1"/>
      <w:bookmarkEnd w:id="2"/>
      <w:bookmarkEnd w:id="3"/>
      <w:bookmarkEnd w:id="4"/>
      <w:bookmarkEnd w:id="5"/>
      <w:bookmarkEnd w:id="6"/>
    </w:p>
    <w:p>
      <w:pPr>
        <w:pStyle w:val="2"/>
        <w:rPr>
          <w:rFonts w:hint="default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u w:val="none"/>
        </w:rPr>
        <w:t>汕头市海域环境管控单元汇总表</w:t>
      </w:r>
    </w:p>
    <w:p>
      <w:pPr>
        <w:pStyle w:val="2"/>
        <w:rPr>
          <w:rFonts w:hint="default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262"/>
        <w:gridCol w:w="2563"/>
        <w:gridCol w:w="2625"/>
        <w:gridCol w:w="2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  <w:t>序号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  <w:t>行政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  <w:t>分区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  <w:t>优先保护单元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  <w:t>数量（个）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  <w:t>重点管控单元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  <w:t>数量（个）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u w:val="none"/>
              </w:rPr>
              <w:t>一般管控单元数量（个）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  <w:t>汕头市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  <w:t>39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  <w:t>20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highlight w:val="none"/>
                <w:u w:val="none"/>
              </w:rPr>
              <w:t>15</w:t>
            </w:r>
          </w:p>
        </w:tc>
      </w:tr>
    </w:tbl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8335A"/>
    <w:rsid w:val="19A8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500" w:lineRule="exact"/>
      <w:ind w:right="26" w:rightChars="8" w:firstLine="640"/>
    </w:pPr>
    <w:rPr>
      <w:rFonts w:ascii="楷体_GB2312" w:eastAsia="楷体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2021-07-06T08:47:00Z</dcterms:created>
  <dc:creator>刘茜</dc:creator>
  <cp:lastModifiedBy>刘茜</cp:lastModifiedBy>
  <dcterms:modified xsi:type="dcterms:W3CDTF">2021-07-06T08:47:40Z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CAB8DAEDB2454CA3B4A15F0F1E5098C8</vt:lpwstr>
  </property>
</Properties>
</file>