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60" w:lineRule="exact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</w:pPr>
      <w:bookmarkStart w:id="0" w:name="_Toc24839"/>
      <w:bookmarkStart w:id="1" w:name="_Toc26860"/>
      <w:bookmarkStart w:id="2" w:name="_Toc17610"/>
      <w:bookmarkStart w:id="3" w:name="_Toc32369"/>
      <w:bookmarkStart w:id="4" w:name="_Toc29988"/>
      <w:bookmarkStart w:id="5" w:name="_Toc6296"/>
      <w:r>
        <w:rPr>
          <w:rFonts w:hint="eastAsia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  <w:t>2</w:t>
      </w:r>
      <w:bookmarkEnd w:id="0"/>
      <w:bookmarkEnd w:id="1"/>
      <w:bookmarkEnd w:id="2"/>
      <w:bookmarkEnd w:id="3"/>
      <w:bookmarkEnd w:id="4"/>
      <w:bookmarkEnd w:id="5"/>
    </w:p>
    <w:p>
      <w:pPr>
        <w:pStyle w:val="2"/>
        <w:rPr>
          <w:rFonts w:hint="default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u w:val="none"/>
        </w:rPr>
        <w:t>汕头市陆域环境管控单元汇总表</w:t>
      </w:r>
    </w:p>
    <w:p>
      <w:pPr>
        <w:pStyle w:val="2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017"/>
        <w:gridCol w:w="883"/>
        <w:gridCol w:w="1117"/>
        <w:gridCol w:w="898"/>
        <w:gridCol w:w="785"/>
        <w:gridCol w:w="950"/>
        <w:gridCol w:w="1084"/>
        <w:gridCol w:w="833"/>
        <w:gridCol w:w="1000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2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序号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行政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分区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优先保护单元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重点管控单元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一般管控单元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单元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数量（个）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面积（km²）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比例（%）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单元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数量（个）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面积（km²）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比例（%）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单元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数量（个）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面积（km²）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u w:val="none"/>
              </w:rPr>
              <w:t>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1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  <w:t>金平区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0.34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0.24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125.58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89.59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14.25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2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龙湖区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5.56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4.4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62.9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49.71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58.06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45.89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3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濠江区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11.44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6.75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71.03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41.88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87.13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51.37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4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澄海区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3.69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0.97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175.48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45.89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203.15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53.14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5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潮阳区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121.13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18.15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175.05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26.23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371.11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55.62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6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潮南区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180.52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30.11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34.36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212.95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35.53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7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  <w:t>南澳县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46.85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41.23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66.79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58.77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</w:rPr>
              <w:t>全市合计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369.53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16.80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816.04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37.11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1013.44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46.09</w:t>
            </w:r>
          </w:p>
        </w:tc>
      </w:tr>
    </w:tbl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67AC"/>
    <w:rsid w:val="6C9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 Char Char Char Char"/>
    <w:basedOn w:val="1"/>
    <w:uiPriority w:val="0"/>
    <w:pPr>
      <w:tabs>
        <w:tab w:val="left" w:pos="840"/>
      </w:tabs>
      <w:ind w:left="840" w:hanging="420"/>
    </w:pPr>
    <w:rPr>
      <w:rFonts w:eastAsia="仿宋_GB2312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2021-07-06T08:47:00Z</dcterms:created>
  <dc:creator>刘茜</dc:creator>
  <cp:lastModifiedBy>刘茜</cp:lastModifiedBy>
  <dcterms:modified xsi:type="dcterms:W3CDTF">2021-07-06T08:47:20Z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D844A7261531404BA8A52628A400A4AA</vt:lpwstr>
  </property>
</Properties>
</file>