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kern w:val="44"/>
          <w:sz w:val="32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24"/>
          <w:u w:val="none"/>
          <w:lang w:val="en-US" w:eastAsia="zh-CN" w:bidi="ar-SA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  <w:lang w:val="en-US"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</w:rPr>
        <w:t>生态空间划定情况汇总表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  <w:vertAlign w:val="superscript"/>
        </w:rPr>
        <w:footnoteReference w:id="0"/>
      </w:r>
    </w:p>
    <w:p>
      <w:pPr>
        <w:pStyle w:val="2"/>
        <w:rPr>
          <w:rFonts w:hint="default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5" w:type="dxa"/>
          <w:bottom w:w="28" w:type="dxa"/>
          <w:right w:w="15" w:type="dxa"/>
        </w:tblCellMar>
      </w:tblPr>
      <w:tblGrid>
        <w:gridCol w:w="1056"/>
        <w:gridCol w:w="1874"/>
        <w:gridCol w:w="287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678" w:hRule="atLeast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序号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行政分区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一般生态空间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662" w:hRule="atLeast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面积（km²）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90" w:hRule="atLeast"/>
        </w:trPr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金平区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1.34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30" w:hRule="atLeast"/>
        </w:trPr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  <w:t>2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龙湖区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1.04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30" w:hRule="atLeast"/>
        </w:trPr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3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濠江区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9.40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30" w:hRule="atLeast"/>
        </w:trPr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澄海区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3.26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30" w:hRule="atLeast"/>
        </w:trPr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5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潮阳区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50.10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30" w:hRule="atLeast"/>
        </w:trPr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潮南区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68.25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30" w:hRule="atLeast"/>
        </w:trPr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7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南澳县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5.03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5" w:type="dxa"/>
            <w:bottom w:w="28" w:type="dxa"/>
            <w:right w:w="15" w:type="dxa"/>
          </w:tblCellMar>
        </w:tblPrEx>
        <w:trPr>
          <w:trHeight w:val="345" w:hRule="atLeast"/>
        </w:trPr>
        <w:tc>
          <w:tcPr>
            <w:tcW w:w="293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highlight w:val="none"/>
                <w:u w:val="none"/>
              </w:rPr>
              <w:t>全市合计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138.42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6.29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snapToGrid w:val="0"/>
        <w:spacing w:line="240" w:lineRule="auto"/>
        <w:ind w:firstLine="360" w:firstLineChars="200"/>
        <w:jc w:val="left"/>
        <w:rPr>
          <w:rFonts w:ascii="Calibri" w:hAnsi="Calibri" w:eastAsia="仿宋_GB2312" w:cs="Times New Roman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-SA"/>
        </w:rPr>
        <w:footnoteRef/>
      </w:r>
      <w:r>
        <w:rPr>
          <w:rFonts w:ascii="Calibri" w:hAnsi="Calibri" w:eastAsia="仿宋_GB2312" w:cs="Times New Roman"/>
          <w:kern w:val="2"/>
          <w:sz w:val="18"/>
          <w:szCs w:val="18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kern w:val="2"/>
          <w:sz w:val="18"/>
          <w:szCs w:val="18"/>
          <w:highlight w:val="none"/>
          <w:lang w:val="en-US" w:eastAsia="zh-CN" w:bidi="ar-SA"/>
        </w:rPr>
        <w:t>一</w:t>
      </w:r>
      <w:r>
        <w:rPr>
          <w:rFonts w:hint="eastAsia" w:ascii="Calibri" w:hAnsi="Calibri" w:eastAsia="仿宋_GB2312" w:cs="Times New Roman"/>
          <w:kern w:val="2"/>
          <w:sz w:val="18"/>
          <w:szCs w:val="18"/>
          <w:lang w:val="en-US" w:eastAsia="zh-CN" w:bidi="ar-SA"/>
        </w:rPr>
        <w:t>般生态空间后续与发布的生态保护红线进行衔接。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1D27"/>
    <w:rsid w:val="205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2021-07-06T08:46:00Z</dcterms:created>
  <dc:creator>刘茜</dc:creator>
  <cp:lastModifiedBy>刘茜</cp:lastModifiedBy>
  <dcterms:modified xsi:type="dcterms:W3CDTF">2021-07-06T08:46:49Z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299F0CF7C4C84E9D94842D405FBEF59A</vt:lpwstr>
  </property>
</Properties>
</file>