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rPr>
          <w:rFonts w:ascii="黑体" w:hAnsi="黑体" w:eastAsia="黑体"/>
          <w:sz w:val="44"/>
          <w:szCs w:val="44"/>
        </w:rPr>
      </w:pPr>
      <w:r>
        <w:rPr>
          <w:rFonts w:hint="eastAsia" w:ascii="黑体" w:hAnsi="黑体" w:eastAsia="黑体"/>
          <w:sz w:val="44"/>
          <w:szCs w:val="44"/>
        </w:rPr>
        <w:t>汕头市海绵城市规划建设管理办法</w:t>
      </w:r>
    </w:p>
    <w:p>
      <w:pPr>
        <w:spacing w:line="240" w:lineRule="auto"/>
        <w:ind w:firstLine="0" w:firstLineChars="0"/>
        <w:jc w:val="center"/>
        <w:rPr>
          <w:rFonts w:ascii="黑体" w:hAnsi="黑体" w:eastAsia="黑体"/>
          <w:sz w:val="44"/>
          <w:szCs w:val="44"/>
        </w:rPr>
      </w:pPr>
      <w:r>
        <w:rPr>
          <w:rFonts w:hint="eastAsia" w:ascii="黑体" w:hAnsi="黑体" w:eastAsia="黑体"/>
          <w:sz w:val="44"/>
          <w:szCs w:val="44"/>
        </w:rPr>
        <w:t>（征求意见稿</w:t>
      </w:r>
      <w:bookmarkStart w:id="1" w:name="_GoBack"/>
      <w:bookmarkEnd w:id="1"/>
      <w:r>
        <w:rPr>
          <w:rFonts w:hint="eastAsia" w:ascii="黑体" w:hAnsi="黑体" w:eastAsia="黑体"/>
          <w:sz w:val="44"/>
          <w:szCs w:val="44"/>
        </w:rPr>
        <w:t>）</w:t>
      </w:r>
    </w:p>
    <w:p>
      <w:pPr>
        <w:pStyle w:val="2"/>
        <w:numPr>
          <w:ilvl w:val="0"/>
          <w:numId w:val="1"/>
        </w:numPr>
        <w:ind w:firstLineChars="0"/>
      </w:pPr>
      <w:r>
        <w:rPr>
          <w:rFonts w:hint="eastAsia"/>
        </w:rPr>
        <w:t xml:space="preserve">总 </w:t>
      </w:r>
      <w:r>
        <w:t xml:space="preserve"> </w:t>
      </w:r>
      <w:r>
        <w:rPr>
          <w:rFonts w:hint="eastAsia"/>
        </w:rPr>
        <w:t>则</w:t>
      </w:r>
    </w:p>
    <w:p>
      <w:pPr>
        <w:pStyle w:val="11"/>
        <w:numPr>
          <w:ilvl w:val="0"/>
          <w:numId w:val="2"/>
        </w:numPr>
        <w:adjustRightInd w:val="0"/>
        <w:spacing w:line="360" w:lineRule="auto"/>
        <w:ind w:left="0" w:firstLine="640"/>
        <w:rPr>
          <w:rFonts w:ascii="仿宋" w:hAnsi="仿宋" w:eastAsia="仿宋"/>
          <w:sz w:val="32"/>
          <w:szCs w:val="32"/>
        </w:rPr>
      </w:pPr>
      <w:r>
        <w:rPr>
          <w:rFonts w:hint="eastAsia" w:ascii="华文仿宋" w:hAnsi="华文仿宋" w:eastAsia="华文仿宋"/>
          <w:sz w:val="32"/>
          <w:szCs w:val="32"/>
        </w:rPr>
        <w:t xml:space="preserve"> </w:t>
      </w:r>
      <w:r>
        <w:rPr>
          <w:rFonts w:ascii="华文仿宋" w:hAnsi="华文仿宋" w:eastAsia="华文仿宋"/>
          <w:sz w:val="32"/>
          <w:szCs w:val="32"/>
        </w:rPr>
        <w:t xml:space="preserve"> </w:t>
      </w:r>
      <w:r>
        <w:rPr>
          <w:rFonts w:hint="eastAsia" w:ascii="仿宋" w:hAnsi="仿宋" w:eastAsia="仿宋"/>
          <w:sz w:val="32"/>
          <w:szCs w:val="32"/>
        </w:rPr>
        <w:t>为贯彻落实习近平生态文明思想，加快推进海绵城市建设，规范海绵城市规划建设管理，保护和改善城市生态环境，根据《中华人民共和国城乡规划法》、《城镇排水与污水处理条例》、《中华人民共和国建筑法》、《建设工程质量管理条例》等有关法律法规，根据《国务院办公厅关于推进海绵城市建设的指导意见》（国办发[</w:t>
      </w:r>
      <w:r>
        <w:rPr>
          <w:rFonts w:ascii="仿宋" w:hAnsi="仿宋" w:eastAsia="仿宋"/>
          <w:sz w:val="32"/>
          <w:szCs w:val="32"/>
        </w:rPr>
        <w:t>2015]75</w:t>
      </w:r>
      <w:r>
        <w:rPr>
          <w:rFonts w:hint="eastAsia" w:ascii="仿宋" w:hAnsi="仿宋" w:eastAsia="仿宋"/>
          <w:sz w:val="32"/>
          <w:szCs w:val="32"/>
        </w:rPr>
        <w:t>号）及《住房城乡建设部办公厅关于印发海绵城市建设绩效评价与考核办法（试行）的通知》（建办城函[</w:t>
      </w:r>
      <w:r>
        <w:rPr>
          <w:rFonts w:ascii="仿宋" w:hAnsi="仿宋" w:eastAsia="仿宋"/>
          <w:sz w:val="32"/>
          <w:szCs w:val="32"/>
        </w:rPr>
        <w:t>2015]635</w:t>
      </w:r>
      <w:r>
        <w:rPr>
          <w:rFonts w:hint="eastAsia" w:ascii="仿宋" w:hAnsi="仿宋" w:eastAsia="仿宋"/>
          <w:sz w:val="32"/>
          <w:szCs w:val="32"/>
        </w:rPr>
        <w:t>号）精神，结合《汕头市海绵城市建设专项规划》、《汕头市海绵城市建设技术导则（试行）》及我市实际情况，制定本办法。</w:t>
      </w:r>
    </w:p>
    <w:p>
      <w:pPr>
        <w:pStyle w:val="11"/>
        <w:numPr>
          <w:ilvl w:val="0"/>
          <w:numId w:val="2"/>
        </w:numPr>
        <w:adjustRightInd w:val="0"/>
        <w:spacing w:line="360" w:lineRule="auto"/>
        <w:ind w:left="0" w:firstLine="640"/>
        <w:rPr>
          <w:rFonts w:ascii="仿宋" w:hAnsi="仿宋" w:eastAsia="仿宋"/>
          <w:sz w:val="32"/>
          <w:szCs w:val="32"/>
        </w:rPr>
      </w:pPr>
      <w:r>
        <w:rPr>
          <w:rFonts w:hint="eastAsia" w:ascii="华文仿宋" w:hAnsi="华文仿宋" w:eastAsia="华文仿宋"/>
          <w:sz w:val="32"/>
          <w:szCs w:val="32"/>
        </w:rPr>
        <w:t xml:space="preserve"> </w:t>
      </w:r>
      <w:r>
        <w:rPr>
          <w:rFonts w:ascii="华文仿宋" w:hAnsi="华文仿宋" w:eastAsia="华文仿宋"/>
          <w:sz w:val="32"/>
          <w:szCs w:val="32"/>
        </w:rPr>
        <w:t xml:space="preserve"> </w:t>
      </w:r>
      <w:r>
        <w:rPr>
          <w:rFonts w:hint="eastAsia" w:ascii="仿宋" w:hAnsi="仿宋" w:eastAsia="仿宋"/>
          <w:sz w:val="32"/>
          <w:szCs w:val="32"/>
        </w:rPr>
        <w:t>海绵城市建设，</w:t>
      </w:r>
      <w:r>
        <w:rPr>
          <w:rFonts w:ascii="仿宋" w:hAnsi="仿宋" w:eastAsia="仿宋"/>
          <w:sz w:val="32"/>
          <w:szCs w:val="32"/>
        </w:rPr>
        <w:t>指通过加强城市规划建设管理</w:t>
      </w:r>
      <w:r>
        <w:rPr>
          <w:rFonts w:hint="eastAsia" w:ascii="仿宋" w:hAnsi="仿宋" w:eastAsia="仿宋"/>
          <w:sz w:val="32"/>
          <w:szCs w:val="32"/>
        </w:rPr>
        <w:t>，</w:t>
      </w:r>
      <w:r>
        <w:rPr>
          <w:rFonts w:ascii="仿宋" w:hAnsi="仿宋" w:eastAsia="仿宋"/>
          <w:sz w:val="32"/>
          <w:szCs w:val="32"/>
        </w:rPr>
        <w:t>从“源头减排、过程控制、系统治理”着手</w:t>
      </w:r>
      <w:r>
        <w:rPr>
          <w:rFonts w:hint="eastAsia" w:ascii="仿宋" w:hAnsi="仿宋" w:eastAsia="仿宋"/>
          <w:sz w:val="32"/>
          <w:szCs w:val="32"/>
        </w:rPr>
        <w:t>，</w:t>
      </w:r>
      <w:r>
        <w:rPr>
          <w:rFonts w:ascii="仿宋" w:hAnsi="仿宋" w:eastAsia="仿宋"/>
          <w:sz w:val="32"/>
          <w:szCs w:val="32"/>
        </w:rPr>
        <w:t>充分发挥建筑、道路和绿地、水系等生态系统对水的吸纳、蓄渗和缓释作用</w:t>
      </w:r>
      <w:r>
        <w:rPr>
          <w:rFonts w:hint="eastAsia" w:ascii="仿宋" w:hAnsi="仿宋" w:eastAsia="仿宋"/>
          <w:sz w:val="32"/>
          <w:szCs w:val="32"/>
        </w:rPr>
        <w:t>，</w:t>
      </w:r>
      <w:r>
        <w:rPr>
          <w:rFonts w:ascii="仿宋" w:hAnsi="仿宋" w:eastAsia="仿宋"/>
          <w:sz w:val="32"/>
          <w:szCs w:val="32"/>
        </w:rPr>
        <w:t>有效控制雨水径流</w:t>
      </w:r>
      <w:r>
        <w:rPr>
          <w:rFonts w:hint="eastAsia" w:ascii="仿宋" w:hAnsi="仿宋" w:eastAsia="仿宋"/>
          <w:sz w:val="32"/>
          <w:szCs w:val="32"/>
        </w:rPr>
        <w:t>，</w:t>
      </w:r>
      <w:r>
        <w:rPr>
          <w:rFonts w:ascii="仿宋" w:hAnsi="仿宋" w:eastAsia="仿宋"/>
          <w:sz w:val="32"/>
          <w:szCs w:val="32"/>
        </w:rPr>
        <w:t>最大限度地减少城市开发建设行为对原有自然水文特征和生态环境造成的破坏</w:t>
      </w:r>
      <w:r>
        <w:rPr>
          <w:rFonts w:hint="eastAsia" w:ascii="仿宋" w:hAnsi="仿宋" w:eastAsia="仿宋"/>
          <w:sz w:val="32"/>
          <w:szCs w:val="32"/>
        </w:rPr>
        <w:t>，</w:t>
      </w:r>
      <w:r>
        <w:rPr>
          <w:rFonts w:ascii="仿宋" w:hAnsi="仿宋" w:eastAsia="仿宋"/>
          <w:sz w:val="32"/>
          <w:szCs w:val="32"/>
        </w:rPr>
        <w:t>实现自然积存、自然渗透、自然净化的城市发展方式。</w:t>
      </w:r>
    </w:p>
    <w:p>
      <w:pPr>
        <w:pStyle w:val="11"/>
        <w:numPr>
          <w:ilvl w:val="0"/>
          <w:numId w:val="2"/>
        </w:numPr>
        <w:adjustRightInd w:val="0"/>
        <w:spacing w:line="360" w:lineRule="auto"/>
        <w:ind w:left="0" w:firstLine="640"/>
        <w:rPr>
          <w:rFonts w:ascii="仿宋" w:hAnsi="仿宋" w:eastAsia="仿宋"/>
          <w:sz w:val="32"/>
          <w:szCs w:val="32"/>
        </w:rPr>
      </w:pPr>
      <w:r>
        <w:rPr>
          <w:rFonts w:hint="eastAsia" w:ascii="华文仿宋" w:hAnsi="华文仿宋" w:eastAsia="华文仿宋"/>
          <w:sz w:val="32"/>
          <w:szCs w:val="32"/>
        </w:rPr>
        <w:t xml:space="preserve"> </w:t>
      </w:r>
      <w:r>
        <w:rPr>
          <w:rFonts w:ascii="华文仿宋" w:hAnsi="华文仿宋" w:eastAsia="华文仿宋"/>
          <w:sz w:val="32"/>
          <w:szCs w:val="32"/>
        </w:rPr>
        <w:t xml:space="preserve"> </w:t>
      </w:r>
      <w:r>
        <w:rPr>
          <w:rFonts w:hint="eastAsia" w:ascii="仿宋" w:hAnsi="仿宋" w:eastAsia="仿宋"/>
          <w:sz w:val="32"/>
          <w:szCs w:val="32"/>
        </w:rPr>
        <w:t>本市行政辖区范围内的新建、改建、扩建工程项目，涉及相关海绵城市规划建设管理活动，适用本办法。</w:t>
      </w:r>
    </w:p>
    <w:p>
      <w:pPr>
        <w:pStyle w:val="11"/>
        <w:numPr>
          <w:ilvl w:val="0"/>
          <w:numId w:val="2"/>
        </w:numPr>
        <w:adjustRightInd w:val="0"/>
        <w:spacing w:line="360" w:lineRule="auto"/>
        <w:ind w:left="0" w:firstLine="64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市政府加强对海绵城市建设工作的领导，组织各相关部门、各功能区及各区县政府，动员全社会共同推动我市海绵城市规划建设工作。</w:t>
      </w:r>
    </w:p>
    <w:p>
      <w:pPr>
        <w:pStyle w:val="11"/>
        <w:adjustRightInd w:val="0"/>
        <w:spacing w:line="360" w:lineRule="auto"/>
        <w:ind w:firstLine="640"/>
        <w:rPr>
          <w:rFonts w:ascii="仿宋" w:hAnsi="仿宋" w:eastAsia="仿宋"/>
          <w:sz w:val="32"/>
          <w:szCs w:val="32"/>
        </w:rPr>
      </w:pPr>
      <w:r>
        <w:rPr>
          <w:rFonts w:hint="eastAsia" w:ascii="仿宋" w:hAnsi="仿宋" w:eastAsia="仿宋"/>
          <w:sz w:val="32"/>
          <w:szCs w:val="32"/>
        </w:rPr>
        <w:t>本办法所称各功能区及各区县政府包括保税区、高新区、华侨试验区管委会，金平区、龙湖区、濠江区、澄海区、潮南区、潮阳区、南澳县人民政府。</w:t>
      </w:r>
    </w:p>
    <w:p>
      <w:pPr>
        <w:pStyle w:val="11"/>
        <w:numPr>
          <w:ilvl w:val="0"/>
          <w:numId w:val="2"/>
        </w:numPr>
        <w:adjustRightInd w:val="0"/>
        <w:spacing w:line="360" w:lineRule="auto"/>
        <w:ind w:left="0" w:firstLine="64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市住房城乡建设、市自然资源、市城管、市水务、市发展改革、市财政等部门应当在各自职权范围内，加强海绵城市规划建设管理工作，将海绵城市建设要求落实到各类建设项目的立项审批、规划条件出具、初步设计审查、施工图设计审查、施工许可发放、竣工验收、运行维护等各个环节。</w:t>
      </w:r>
    </w:p>
    <w:p>
      <w:pPr>
        <w:pStyle w:val="11"/>
        <w:adjustRightInd w:val="0"/>
        <w:spacing w:line="360" w:lineRule="auto"/>
        <w:ind w:firstLine="640"/>
        <w:rPr>
          <w:rFonts w:ascii="仿宋" w:hAnsi="仿宋" w:eastAsia="仿宋"/>
          <w:sz w:val="32"/>
          <w:szCs w:val="32"/>
        </w:rPr>
      </w:pPr>
      <w:r>
        <w:rPr>
          <w:rFonts w:hint="eastAsia" w:ascii="仿宋" w:hAnsi="仿宋" w:eastAsia="仿宋"/>
          <w:sz w:val="32"/>
          <w:szCs w:val="32"/>
        </w:rPr>
        <w:t>市住房城乡建设部门是全市海绵城市建设主管部门</w:t>
      </w:r>
      <w:r>
        <w:rPr>
          <w:rFonts w:ascii="仿宋" w:hAnsi="仿宋" w:eastAsia="仿宋"/>
          <w:sz w:val="32"/>
          <w:szCs w:val="32"/>
        </w:rPr>
        <w:t>,</w:t>
      </w:r>
      <w:r>
        <w:rPr>
          <w:rFonts w:hint="eastAsia" w:ascii="仿宋" w:hAnsi="仿宋" w:eastAsia="仿宋"/>
          <w:sz w:val="32"/>
          <w:szCs w:val="32"/>
        </w:rPr>
        <w:t>负责制定海绵城市相关规范标准并组织实施；负责制定房屋建筑和市政基础设施类海绵建设项目的管控流程，将海绵城市建设约束性指标和要求纳入全市房建和市政基础设施工程审批体系；负责组织海绵城市建设管理督促考核工作。</w:t>
      </w:r>
    </w:p>
    <w:p>
      <w:pPr>
        <w:pStyle w:val="11"/>
        <w:adjustRightInd w:val="0"/>
        <w:spacing w:line="360" w:lineRule="auto"/>
        <w:ind w:firstLine="640"/>
        <w:rPr>
          <w:rFonts w:ascii="仿宋" w:hAnsi="仿宋" w:eastAsia="仿宋"/>
          <w:sz w:val="32"/>
          <w:szCs w:val="32"/>
        </w:rPr>
      </w:pPr>
      <w:r>
        <w:rPr>
          <w:rFonts w:hint="eastAsia" w:ascii="仿宋" w:hAnsi="仿宋" w:eastAsia="仿宋"/>
          <w:sz w:val="32"/>
          <w:szCs w:val="32"/>
        </w:rPr>
        <w:t>市发展改革部门负责将海绵城市建设相关内容纳入国民经济和社会发展规划和年度建设计划；负责制定促进海绵城市建设相关产业发展的优惠政策措施等制度文件。各级发改部门负责在政府投资建设项目的项目建议书、可行性研究报告评审和初步设计批复等环节中，落实海绵城市建设要求；在审核政府投资建设项目总概算时，保障海绵设施建设的资金需求。</w:t>
      </w:r>
    </w:p>
    <w:p>
      <w:pPr>
        <w:pStyle w:val="11"/>
        <w:adjustRightInd w:val="0"/>
        <w:spacing w:line="360" w:lineRule="auto"/>
        <w:ind w:firstLine="640"/>
        <w:rPr>
          <w:rFonts w:ascii="仿宋" w:hAnsi="仿宋" w:eastAsia="仿宋"/>
          <w:sz w:val="32"/>
          <w:szCs w:val="32"/>
        </w:rPr>
      </w:pPr>
      <w:r>
        <w:rPr>
          <w:rFonts w:hint="eastAsia" w:ascii="仿宋" w:hAnsi="仿宋" w:eastAsia="仿宋"/>
          <w:sz w:val="32"/>
          <w:szCs w:val="32"/>
        </w:rPr>
        <w:t>市自然资源部门负责组织编制和修编市级海绵城市专项规划，并将海绵城市建设相关要求纳入国土空间规划体系；负责制定规划建设审批要点并组织实施；各级自然资源部门负责在建设项目规划审批环节落实海绵城市建设要求。</w:t>
      </w:r>
    </w:p>
    <w:p>
      <w:pPr>
        <w:pStyle w:val="11"/>
        <w:adjustRightInd w:val="0"/>
        <w:spacing w:line="360" w:lineRule="auto"/>
        <w:ind w:firstLine="640"/>
        <w:rPr>
          <w:rFonts w:ascii="仿宋" w:hAnsi="仿宋" w:eastAsia="仿宋"/>
          <w:sz w:val="32"/>
          <w:szCs w:val="32"/>
        </w:rPr>
      </w:pPr>
      <w:r>
        <w:rPr>
          <w:rFonts w:hint="eastAsia" w:ascii="仿宋" w:hAnsi="仿宋" w:eastAsia="仿宋"/>
          <w:sz w:val="32"/>
          <w:szCs w:val="32"/>
        </w:rPr>
        <w:t>市城管部门负责建立区域雨水排放管理制度；负责制定公园绿地海绵建设项目的管控流程，将海绵城市建设约束性指标和要求纳入全市公园绿地工程审批体系；负责在污水系统提质增效、排水管网排查修复、黑臭水体治理、内涝点整治等工作中落实海绵城市建设相关要求。</w:t>
      </w:r>
    </w:p>
    <w:p>
      <w:pPr>
        <w:pStyle w:val="11"/>
        <w:adjustRightInd w:val="0"/>
        <w:spacing w:line="360" w:lineRule="auto"/>
        <w:ind w:firstLine="640"/>
        <w:rPr>
          <w:rFonts w:ascii="仿宋" w:hAnsi="仿宋" w:eastAsia="仿宋"/>
          <w:sz w:val="32"/>
          <w:szCs w:val="32"/>
        </w:rPr>
      </w:pPr>
      <w:r>
        <w:rPr>
          <w:rFonts w:hint="eastAsia" w:ascii="仿宋" w:hAnsi="仿宋" w:eastAsia="仿宋"/>
          <w:sz w:val="32"/>
          <w:szCs w:val="32"/>
        </w:rPr>
        <w:t>市水务部门负责加强城市水资源、河湖水域及岸线、防洪排涝及供水风险管理，提高城市水管理能力和水平；负责制定水务工程项目的管控流程，将海绵城市建设约束性指标和要求纳入全市水务工程审批体系。</w:t>
      </w:r>
    </w:p>
    <w:p>
      <w:pPr>
        <w:pStyle w:val="11"/>
        <w:adjustRightInd w:val="0"/>
        <w:spacing w:line="360" w:lineRule="auto"/>
        <w:ind w:firstLine="640"/>
        <w:rPr>
          <w:rFonts w:ascii="仿宋" w:hAnsi="仿宋" w:eastAsia="仿宋"/>
          <w:sz w:val="32"/>
          <w:szCs w:val="32"/>
        </w:rPr>
      </w:pPr>
      <w:r>
        <w:rPr>
          <w:rFonts w:hint="eastAsia" w:ascii="仿宋" w:hAnsi="仿宋" w:eastAsia="仿宋"/>
          <w:sz w:val="32"/>
          <w:szCs w:val="32"/>
        </w:rPr>
        <w:t>市财政部门按照有关要求推进海绵城市建设投融资工作，激励社会各界积极开展海绵城市建设。各级财政部门负责本级政府投资项目海绵设施建设和运维的资金筹措、保障、监管等工作。</w:t>
      </w:r>
    </w:p>
    <w:p>
      <w:pPr>
        <w:pStyle w:val="11"/>
        <w:adjustRightInd w:val="0"/>
        <w:spacing w:line="360" w:lineRule="auto"/>
        <w:ind w:firstLine="640"/>
        <w:rPr>
          <w:rFonts w:ascii="仿宋" w:hAnsi="仿宋" w:eastAsia="仿宋"/>
          <w:sz w:val="32"/>
          <w:szCs w:val="32"/>
        </w:rPr>
      </w:pPr>
      <w:r>
        <w:rPr>
          <w:rFonts w:hint="eastAsia" w:ascii="仿宋" w:hAnsi="仿宋" w:eastAsia="仿宋"/>
          <w:sz w:val="32"/>
          <w:szCs w:val="32"/>
        </w:rPr>
        <w:t>其他各有关部门按照各自职责和本办法有关规定，做好海绵城市规划建设管理相关工作。</w:t>
      </w:r>
    </w:p>
    <w:p>
      <w:pPr>
        <w:pStyle w:val="11"/>
        <w:adjustRightInd w:val="0"/>
        <w:spacing w:line="360" w:lineRule="auto"/>
        <w:ind w:firstLine="640"/>
        <w:rPr>
          <w:rFonts w:ascii="仿宋" w:hAnsi="仿宋" w:eastAsia="仿宋"/>
          <w:sz w:val="32"/>
          <w:szCs w:val="32"/>
        </w:rPr>
      </w:pPr>
      <w:r>
        <w:rPr>
          <w:rFonts w:hint="eastAsia" w:ascii="仿宋" w:hAnsi="仿宋" w:eastAsia="仿宋"/>
          <w:sz w:val="32"/>
          <w:szCs w:val="32"/>
        </w:rPr>
        <w:t>各功能区及各区县政府是海绵城市建设的责任主体，负责组织编制区、片区级海绵城市详细规划，并滚动编制建设计划；按属地管理原则，</w:t>
      </w:r>
      <w:r>
        <w:rPr>
          <w:rFonts w:ascii="仿宋" w:hAnsi="仿宋" w:eastAsia="仿宋"/>
          <w:sz w:val="32"/>
          <w:szCs w:val="32"/>
        </w:rPr>
        <w:t>落实海绵城市建设管理职责,建立完善工作机制,统筹做好辖区内海绵城市规划建设管理和相关监督工作。</w:t>
      </w:r>
    </w:p>
    <w:p>
      <w:pPr>
        <w:pStyle w:val="2"/>
        <w:numPr>
          <w:ilvl w:val="0"/>
          <w:numId w:val="1"/>
        </w:numPr>
        <w:ind w:firstLineChars="0"/>
      </w:pPr>
      <w:r>
        <w:rPr>
          <w:rFonts w:hint="eastAsia"/>
        </w:rPr>
        <w:t>规划和设计管理</w:t>
      </w:r>
    </w:p>
    <w:p>
      <w:pPr>
        <w:pStyle w:val="11"/>
        <w:numPr>
          <w:ilvl w:val="0"/>
          <w:numId w:val="2"/>
        </w:numPr>
        <w:adjustRightInd w:val="0"/>
        <w:spacing w:line="360" w:lineRule="auto"/>
        <w:ind w:left="0" w:firstLine="64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市自然资源部门负责组织编制或修编汕头市海绵城市专项规划，海绵城市专项规划应与国土空间总体规划相协调</w:t>
      </w:r>
      <w:r>
        <w:rPr>
          <w:rFonts w:ascii="仿宋" w:hAnsi="仿宋" w:eastAsia="仿宋"/>
          <w:sz w:val="32"/>
          <w:szCs w:val="32"/>
        </w:rPr>
        <w:t>。</w:t>
      </w:r>
      <w:r>
        <w:rPr>
          <w:rFonts w:hint="eastAsia" w:ascii="仿宋" w:hAnsi="仿宋" w:eastAsia="仿宋"/>
          <w:sz w:val="32"/>
          <w:szCs w:val="32"/>
        </w:rPr>
        <w:t>各功能区及各区县政府负责组织</w:t>
      </w:r>
      <w:r>
        <w:rPr>
          <w:rFonts w:ascii="仿宋" w:hAnsi="仿宋" w:eastAsia="仿宋"/>
          <w:sz w:val="32"/>
          <w:szCs w:val="32"/>
        </w:rPr>
        <w:t>编制区级海绵城市专项规划</w:t>
      </w:r>
      <w:r>
        <w:rPr>
          <w:rFonts w:hint="eastAsia" w:ascii="仿宋" w:hAnsi="仿宋" w:eastAsia="仿宋"/>
          <w:sz w:val="32"/>
          <w:szCs w:val="32"/>
        </w:rPr>
        <w:t>，</w:t>
      </w:r>
      <w:r>
        <w:rPr>
          <w:rFonts w:ascii="仿宋" w:hAnsi="仿宋" w:eastAsia="仿宋"/>
          <w:sz w:val="32"/>
          <w:szCs w:val="32"/>
        </w:rPr>
        <w:t>应明确各区海绵城市建设目标、措施及建设方案与计划</w:t>
      </w:r>
      <w:r>
        <w:rPr>
          <w:rFonts w:hint="eastAsia" w:ascii="仿宋" w:hAnsi="仿宋" w:eastAsia="仿宋"/>
          <w:sz w:val="32"/>
          <w:szCs w:val="32"/>
        </w:rPr>
        <w:t>。</w:t>
      </w:r>
    </w:p>
    <w:p>
      <w:pPr>
        <w:pStyle w:val="11"/>
        <w:numPr>
          <w:ilvl w:val="0"/>
          <w:numId w:val="2"/>
        </w:numPr>
        <w:adjustRightInd w:val="0"/>
        <w:spacing w:line="360" w:lineRule="auto"/>
        <w:ind w:left="0" w:firstLine="64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bookmarkStart w:id="0" w:name="_Hlk65792663"/>
      <w:r>
        <w:rPr>
          <w:rFonts w:hint="eastAsia" w:ascii="仿宋" w:hAnsi="仿宋" w:eastAsia="仿宋"/>
          <w:sz w:val="32"/>
          <w:szCs w:val="32"/>
        </w:rPr>
        <w:t>各功能区及各区县政府</w:t>
      </w:r>
      <w:bookmarkEnd w:id="0"/>
      <w:r>
        <w:rPr>
          <w:rFonts w:hint="eastAsia" w:ascii="仿宋" w:hAnsi="仿宋" w:eastAsia="仿宋"/>
          <w:sz w:val="32"/>
          <w:szCs w:val="32"/>
        </w:rPr>
        <w:t>根据海绵城市专项规划，应当结合本辖区实际情况，衔接好控制性详细规划，组织编制区级海绵城市详细规划，明确雨水年径流总量控制率等海绵城市建设核心指标，并将海绵城市建设指标要求落实到国土空间详细规划及控制性详细规划中；按照国家和省、市海绵城市建设目标，结合本辖区内的城市排水、防洪、防涝等专业规划，编制辖区海绵城市系统化实施方案。</w:t>
      </w:r>
    </w:p>
    <w:p>
      <w:pPr>
        <w:pStyle w:val="11"/>
        <w:numPr>
          <w:ilvl w:val="0"/>
          <w:numId w:val="2"/>
        </w:numPr>
        <w:adjustRightInd w:val="0"/>
        <w:spacing w:line="360" w:lineRule="auto"/>
        <w:ind w:left="0" w:firstLine="64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各行业主管部门编制或修编各层次城市道路、绿地、水系统、排水防涝、绿色建筑等专项规划时，应当与各层级海绵城市建设专项规划充分衔接，编制海绵城市专篇，全面对接落实海绵城市建设要求。</w:t>
      </w:r>
    </w:p>
    <w:p>
      <w:pPr>
        <w:pStyle w:val="11"/>
        <w:numPr>
          <w:ilvl w:val="0"/>
          <w:numId w:val="2"/>
        </w:numPr>
        <w:adjustRightInd w:val="0"/>
        <w:spacing w:line="360" w:lineRule="auto"/>
        <w:ind w:left="0" w:firstLine="64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海绵城市专项规划（详细规划）的组织编制单位，应当将规划成果充分征求海绵城市主管部门、专家的意见，修改完善后经规划委员会审议和同级人民政府批准实施。</w:t>
      </w:r>
    </w:p>
    <w:p>
      <w:pPr>
        <w:pStyle w:val="11"/>
        <w:numPr>
          <w:ilvl w:val="0"/>
          <w:numId w:val="2"/>
        </w:numPr>
        <w:adjustRightInd w:val="0"/>
        <w:spacing w:line="360" w:lineRule="auto"/>
        <w:ind w:left="0" w:firstLine="64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各市级行业主管部门制定和完善行业范围内海绵城市建设豁免类项目清单，报市政府同意后实施。豁免类项目清单内的建设项目，在建设审批许可环节对其海绵城市建设管控指标不作要求，由建设单位因地制宜开展海绵城市建设。豁免类项目主要包括位于地质灾害易发区、特殊污染源地区内的建设项目，以及桥梁、隧道、照明、零星修缮、应急抢险、保密工程等类型建设项目。</w:t>
      </w:r>
    </w:p>
    <w:p>
      <w:pPr>
        <w:pStyle w:val="11"/>
        <w:adjustRightInd w:val="0"/>
        <w:spacing w:line="360" w:lineRule="auto"/>
        <w:ind w:firstLine="640"/>
        <w:rPr>
          <w:rFonts w:ascii="仿宋" w:hAnsi="仿宋" w:eastAsia="仿宋"/>
          <w:sz w:val="32"/>
          <w:szCs w:val="32"/>
        </w:rPr>
      </w:pPr>
      <w:r>
        <w:rPr>
          <w:rFonts w:hint="eastAsia" w:ascii="仿宋" w:hAnsi="仿宋" w:eastAsia="仿宋"/>
          <w:sz w:val="32"/>
          <w:szCs w:val="32"/>
        </w:rPr>
        <w:t>建设项目在策划生成阶段，建设单位应当组织论证项目是否属于海绵城市建设豁免类项目。</w:t>
      </w:r>
    </w:p>
    <w:p>
      <w:pPr>
        <w:pStyle w:val="11"/>
        <w:numPr>
          <w:ilvl w:val="0"/>
          <w:numId w:val="2"/>
        </w:numPr>
        <w:adjustRightInd w:val="0"/>
        <w:spacing w:line="360" w:lineRule="auto"/>
        <w:ind w:left="0" w:firstLine="64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自然资源部门应在建设用地规划条件、建设用地招拍挂条件中明确海绵城市建设要求和开发控制指标，作为土地划拨或土地出让时建设用地开发建设的供地条件和规划条件。</w:t>
      </w:r>
    </w:p>
    <w:p>
      <w:pPr>
        <w:pStyle w:val="11"/>
        <w:adjustRightInd w:val="0"/>
        <w:spacing w:line="360" w:lineRule="auto"/>
        <w:ind w:firstLine="640"/>
        <w:rPr>
          <w:rFonts w:ascii="仿宋" w:hAnsi="仿宋" w:eastAsia="仿宋"/>
          <w:sz w:val="32"/>
          <w:szCs w:val="32"/>
        </w:rPr>
      </w:pPr>
      <w:r>
        <w:rPr>
          <w:rFonts w:hint="eastAsia" w:ascii="仿宋" w:hAnsi="仿宋" w:eastAsia="仿宋"/>
          <w:sz w:val="32"/>
          <w:szCs w:val="32"/>
        </w:rPr>
        <w:t>自然资源部门在核发建设工程规划许可证时，应落实勘察、设计单位承诺的海绵城市专篇内容要求。</w:t>
      </w:r>
    </w:p>
    <w:p>
      <w:pPr>
        <w:pStyle w:val="11"/>
        <w:numPr>
          <w:ilvl w:val="0"/>
          <w:numId w:val="2"/>
        </w:numPr>
        <w:adjustRightInd w:val="0"/>
        <w:spacing w:line="360" w:lineRule="auto"/>
        <w:ind w:left="0" w:firstLine="64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对于已出让或划拨土地尚未建设的地块，通过依法实施设计变更、协商激励等方式，落实海绵城市建设理念和设施。</w:t>
      </w:r>
    </w:p>
    <w:p>
      <w:pPr>
        <w:pStyle w:val="11"/>
        <w:numPr>
          <w:ilvl w:val="0"/>
          <w:numId w:val="2"/>
        </w:numPr>
        <w:adjustRightInd w:val="0"/>
        <w:spacing w:line="360" w:lineRule="auto"/>
        <w:ind w:left="0" w:firstLine="64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政府投资建设项目应当在项目可行性研究报告、初步设计中编制海绵城市专篇，明确海绵城市建设内容及规模，行政审批部门应当在批复中明确相关要求、指标、内容及规模。</w:t>
      </w:r>
    </w:p>
    <w:p>
      <w:pPr>
        <w:pStyle w:val="11"/>
        <w:numPr>
          <w:ilvl w:val="0"/>
          <w:numId w:val="2"/>
        </w:numPr>
        <w:adjustRightInd w:val="0"/>
        <w:spacing w:line="360" w:lineRule="auto"/>
        <w:ind w:left="0" w:firstLine="64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建设单位应当组织勘察设计单位按照国家、省、市海绵城市相关标准、规范、导则要求进行勘察、设计,施工图设计文件应当包含海绵城市专篇和自评价表,明确工程措施及规模,评估实施效果,勘察设计质量承诺书应当包含海绵城市建设内容,并承诺达到规划确定的海绵城市建设指标要求。</w:t>
      </w:r>
    </w:p>
    <w:p>
      <w:pPr>
        <w:pStyle w:val="11"/>
        <w:numPr>
          <w:ilvl w:val="0"/>
          <w:numId w:val="2"/>
        </w:numPr>
        <w:adjustRightInd w:val="0"/>
        <w:spacing w:line="360" w:lineRule="auto"/>
        <w:ind w:left="0" w:firstLine="64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建设项目施工图设计应当包括海绵设施内容,设计内容应当达到海绵城市建设技术规范和标准。施工图设计中涉及的海绵城市内容发生设计变更的,建设单位应当按程序报施工图审查机构进行重审,审查合格的施工图任何单位和个人不得擅自修改。</w:t>
      </w:r>
    </w:p>
    <w:p>
      <w:pPr>
        <w:pStyle w:val="2"/>
        <w:numPr>
          <w:ilvl w:val="0"/>
          <w:numId w:val="1"/>
        </w:numPr>
        <w:ind w:firstLineChars="0"/>
      </w:pPr>
      <w:r>
        <w:rPr>
          <w:rFonts w:hint="eastAsia"/>
        </w:rPr>
        <w:t>建设和质量管理</w:t>
      </w:r>
    </w:p>
    <w:p>
      <w:pPr>
        <w:pStyle w:val="11"/>
        <w:numPr>
          <w:ilvl w:val="0"/>
          <w:numId w:val="2"/>
        </w:numPr>
        <w:adjustRightInd w:val="0"/>
        <w:spacing w:line="360" w:lineRule="auto"/>
        <w:ind w:left="0" w:firstLine="64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新建、改建、扩建项目应配套海绵设施。海绵设施应与建设项目主体工程同步规划设计、同步施工、同步竣工验收、同步运营使用。</w:t>
      </w:r>
    </w:p>
    <w:p>
      <w:pPr>
        <w:pStyle w:val="11"/>
        <w:numPr>
          <w:ilvl w:val="0"/>
          <w:numId w:val="2"/>
        </w:numPr>
        <w:adjustRightInd w:val="0"/>
        <w:spacing w:line="360" w:lineRule="auto"/>
        <w:ind w:left="0" w:firstLine="64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各行业主管部门应当</w:t>
      </w:r>
      <w:r>
        <w:rPr>
          <w:rFonts w:ascii="仿宋" w:hAnsi="仿宋" w:eastAsia="仿宋"/>
          <w:sz w:val="32"/>
          <w:szCs w:val="32"/>
        </w:rPr>
        <w:t>将海绵城市建设内容纳入建设工程质量管理范围,加强监督管理。行政审批部门依据批准的海绵城市建设内容办理相应的质监、安监、施工许可和竣工验收备案手续</w:t>
      </w:r>
      <w:r>
        <w:rPr>
          <w:rFonts w:hint="eastAsia" w:ascii="仿宋" w:hAnsi="仿宋" w:eastAsia="仿宋"/>
          <w:sz w:val="32"/>
          <w:szCs w:val="32"/>
        </w:rPr>
        <w:t>。</w:t>
      </w:r>
    </w:p>
    <w:p>
      <w:pPr>
        <w:pStyle w:val="11"/>
        <w:numPr>
          <w:ilvl w:val="0"/>
          <w:numId w:val="2"/>
        </w:numPr>
        <w:adjustRightInd w:val="0"/>
        <w:spacing w:line="360" w:lineRule="auto"/>
        <w:ind w:left="0" w:firstLine="64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建设项目海绵设施方案、设计和施工应当保持一致。</w:t>
      </w:r>
    </w:p>
    <w:p>
      <w:pPr>
        <w:pStyle w:val="11"/>
        <w:adjustRightInd w:val="0"/>
        <w:spacing w:line="360" w:lineRule="auto"/>
        <w:ind w:firstLine="640"/>
        <w:rPr>
          <w:rFonts w:ascii="仿宋" w:hAnsi="仿宋" w:eastAsia="仿宋"/>
          <w:sz w:val="32"/>
          <w:szCs w:val="32"/>
        </w:rPr>
      </w:pPr>
      <w:r>
        <w:rPr>
          <w:rFonts w:hint="eastAsia" w:ascii="仿宋" w:hAnsi="仿宋" w:eastAsia="仿宋"/>
          <w:sz w:val="32"/>
          <w:szCs w:val="32"/>
        </w:rPr>
        <w:t>勘察、设计单位参与海绵设施验收等技术服务时，不得出具降低海绵设施建设标准的变更通知，重大变更须经原工程可行性研究报告和初步设计文件审查批准部门重新审查批准才能实施。</w:t>
      </w:r>
    </w:p>
    <w:p>
      <w:pPr>
        <w:pStyle w:val="11"/>
        <w:adjustRightInd w:val="0"/>
        <w:spacing w:line="360" w:lineRule="auto"/>
        <w:ind w:firstLine="640"/>
        <w:rPr>
          <w:rFonts w:ascii="仿宋" w:hAnsi="仿宋" w:eastAsia="仿宋"/>
          <w:sz w:val="32"/>
          <w:szCs w:val="32"/>
        </w:rPr>
      </w:pPr>
      <w:r>
        <w:rPr>
          <w:rFonts w:hint="eastAsia" w:ascii="仿宋" w:hAnsi="仿宋" w:eastAsia="仿宋"/>
          <w:sz w:val="32"/>
          <w:szCs w:val="32"/>
        </w:rPr>
        <w:t>施工单位应按照设计图纸要求和施工技术标准进行施工，</w:t>
      </w:r>
      <w:r>
        <w:rPr>
          <w:rFonts w:ascii="仿宋" w:hAnsi="仿宋" w:eastAsia="仿宋"/>
          <w:sz w:val="32"/>
          <w:szCs w:val="32"/>
        </w:rPr>
        <w:t>对使用的建筑材料、建筑构配件和设备进行检验</w:t>
      </w:r>
      <w:r>
        <w:rPr>
          <w:rFonts w:hint="eastAsia" w:ascii="仿宋" w:hAnsi="仿宋" w:eastAsia="仿宋"/>
          <w:sz w:val="32"/>
          <w:szCs w:val="32"/>
        </w:rPr>
        <w:t>，确保工程质量。</w:t>
      </w:r>
    </w:p>
    <w:p>
      <w:pPr>
        <w:pStyle w:val="11"/>
        <w:adjustRightInd w:val="0"/>
        <w:spacing w:line="360" w:lineRule="auto"/>
        <w:ind w:firstLine="640"/>
        <w:rPr>
          <w:rFonts w:ascii="仿宋" w:hAnsi="仿宋" w:eastAsia="仿宋"/>
          <w:sz w:val="32"/>
          <w:szCs w:val="32"/>
        </w:rPr>
      </w:pPr>
      <w:r>
        <w:rPr>
          <w:rFonts w:hint="eastAsia" w:ascii="仿宋" w:hAnsi="仿宋" w:eastAsia="仿宋"/>
          <w:sz w:val="32"/>
          <w:szCs w:val="32"/>
        </w:rPr>
        <w:t>监理单位应依照法律</w:t>
      </w:r>
      <w:r>
        <w:rPr>
          <w:rFonts w:ascii="仿宋" w:hAnsi="仿宋" w:eastAsia="仿宋"/>
          <w:sz w:val="32"/>
          <w:szCs w:val="32"/>
        </w:rPr>
        <w:t>法规及海绵城市</w:t>
      </w:r>
      <w:r>
        <w:rPr>
          <w:rFonts w:hint="eastAsia" w:ascii="仿宋" w:hAnsi="仿宋" w:eastAsia="仿宋"/>
          <w:sz w:val="32"/>
          <w:szCs w:val="32"/>
        </w:rPr>
        <w:t>建设</w:t>
      </w:r>
      <w:r>
        <w:rPr>
          <w:rFonts w:ascii="仿宋" w:hAnsi="仿宋" w:eastAsia="仿宋"/>
          <w:sz w:val="32"/>
          <w:szCs w:val="32"/>
        </w:rPr>
        <w:t>有关技术标</w:t>
      </w:r>
      <w:r>
        <w:rPr>
          <w:rFonts w:hint="eastAsia" w:ascii="仿宋" w:hAnsi="仿宋" w:eastAsia="仿宋"/>
          <w:sz w:val="32"/>
          <w:szCs w:val="32"/>
        </w:rPr>
        <w:t>准、</w:t>
      </w:r>
      <w:r>
        <w:rPr>
          <w:rFonts w:ascii="仿宋" w:hAnsi="仿宋" w:eastAsia="仿宋"/>
          <w:sz w:val="32"/>
          <w:szCs w:val="32"/>
        </w:rPr>
        <w:t>设计文件、工程监理合同等实施监理,</w:t>
      </w:r>
      <w:r>
        <w:rPr>
          <w:rFonts w:hint="eastAsia" w:ascii="仿宋" w:hAnsi="仿宋" w:eastAsia="仿宋"/>
          <w:sz w:val="32"/>
          <w:szCs w:val="32"/>
        </w:rPr>
        <w:t>履行监理职责</w:t>
      </w:r>
      <w:r>
        <w:rPr>
          <w:rFonts w:ascii="仿宋" w:hAnsi="仿宋" w:eastAsia="仿宋"/>
          <w:sz w:val="32"/>
          <w:szCs w:val="32"/>
        </w:rPr>
        <w:t>。</w:t>
      </w:r>
    </w:p>
    <w:p>
      <w:pPr>
        <w:pStyle w:val="11"/>
        <w:adjustRightInd w:val="0"/>
        <w:spacing w:line="360" w:lineRule="auto"/>
        <w:ind w:firstLine="640"/>
        <w:rPr>
          <w:rFonts w:ascii="仿宋" w:hAnsi="仿宋" w:eastAsia="仿宋"/>
          <w:sz w:val="32"/>
          <w:szCs w:val="32"/>
        </w:rPr>
      </w:pPr>
      <w:r>
        <w:rPr>
          <w:rFonts w:hint="eastAsia" w:ascii="仿宋" w:hAnsi="仿宋" w:eastAsia="仿宋"/>
          <w:sz w:val="32"/>
          <w:szCs w:val="32"/>
        </w:rPr>
        <w:t>质量安全监督部门应加强对各方海绵城市建设主体行为的监督管理，在工程原材料、工艺、施工质量检查监督、工程验收等环节加强对海绵城市设施建设的监督检查。</w:t>
      </w:r>
    </w:p>
    <w:p>
      <w:pPr>
        <w:pStyle w:val="2"/>
        <w:numPr>
          <w:ilvl w:val="0"/>
          <w:numId w:val="1"/>
        </w:numPr>
        <w:ind w:firstLineChars="0"/>
      </w:pPr>
      <w:r>
        <w:rPr>
          <w:rFonts w:hint="eastAsia"/>
        </w:rPr>
        <w:t>竣工验收和移交</w:t>
      </w:r>
    </w:p>
    <w:p>
      <w:pPr>
        <w:pStyle w:val="11"/>
        <w:numPr>
          <w:ilvl w:val="0"/>
          <w:numId w:val="2"/>
        </w:numPr>
        <w:adjustRightInd w:val="0"/>
        <w:spacing w:line="360" w:lineRule="auto"/>
        <w:ind w:left="0" w:firstLine="640"/>
        <w:rPr>
          <w:rFonts w:ascii="仿宋" w:hAnsi="仿宋" w:eastAsia="仿宋"/>
          <w:sz w:val="32"/>
          <w:szCs w:val="32"/>
        </w:rPr>
      </w:pPr>
      <w:r>
        <w:rPr>
          <w:rFonts w:hint="eastAsia" w:ascii="仿宋" w:hAnsi="仿宋" w:eastAsia="仿宋"/>
          <w:sz w:val="32"/>
          <w:szCs w:val="32"/>
        </w:rPr>
        <w:t>海绵城市设施的竣工验收应按照相关施工验收规范和评价标准执行，由建设单位组织设计、施工、工程监理质检及规划、建设、管理等相关单位部门验收，</w:t>
      </w:r>
      <w:r>
        <w:rPr>
          <w:rFonts w:ascii="仿宋" w:hAnsi="仿宋" w:eastAsia="仿宋"/>
          <w:sz w:val="32"/>
          <w:szCs w:val="32"/>
        </w:rPr>
        <w:t>在竣工验收报告写明</w:t>
      </w:r>
      <w:r>
        <w:rPr>
          <w:rFonts w:hint="eastAsia" w:ascii="仿宋" w:hAnsi="仿宋" w:eastAsia="仿宋"/>
          <w:sz w:val="32"/>
          <w:szCs w:val="32"/>
        </w:rPr>
        <w:t>海绵城市有关工程措施的落实</w:t>
      </w:r>
      <w:r>
        <w:rPr>
          <w:rFonts w:ascii="仿宋" w:hAnsi="仿宋" w:eastAsia="仿宋"/>
          <w:sz w:val="32"/>
          <w:szCs w:val="32"/>
        </w:rPr>
        <w:t>情况,依法办理备案手续。</w:t>
      </w:r>
      <w:r>
        <w:rPr>
          <w:rFonts w:hint="eastAsia" w:ascii="仿宋" w:hAnsi="仿宋" w:eastAsia="仿宋"/>
          <w:sz w:val="32"/>
          <w:szCs w:val="32"/>
        </w:rPr>
        <w:t>对于未按审查通过的施工图设计文件施工的，竣工验收应当定为不合格，整改验收合格后方可交付使用。</w:t>
      </w:r>
    </w:p>
    <w:p>
      <w:pPr>
        <w:pStyle w:val="11"/>
        <w:numPr>
          <w:ilvl w:val="0"/>
          <w:numId w:val="2"/>
        </w:numPr>
        <w:adjustRightInd w:val="0"/>
        <w:spacing w:line="360" w:lineRule="auto"/>
        <w:ind w:left="0" w:firstLine="640"/>
        <w:rPr>
          <w:rFonts w:ascii="仿宋" w:hAnsi="仿宋" w:eastAsia="仿宋"/>
          <w:sz w:val="32"/>
          <w:szCs w:val="32"/>
        </w:rPr>
      </w:pPr>
      <w:r>
        <w:rPr>
          <w:rFonts w:hint="eastAsia" w:ascii="仿宋" w:hAnsi="仿宋" w:eastAsia="仿宋"/>
          <w:sz w:val="32"/>
          <w:szCs w:val="32"/>
        </w:rPr>
        <w:t>海绵设施竣工验收合格后应随主体工程同步移交。</w:t>
      </w:r>
    </w:p>
    <w:p>
      <w:pPr>
        <w:pStyle w:val="2"/>
        <w:numPr>
          <w:ilvl w:val="0"/>
          <w:numId w:val="1"/>
        </w:numPr>
        <w:ind w:firstLineChars="0"/>
      </w:pPr>
      <w:r>
        <w:rPr>
          <w:rFonts w:hint="eastAsia"/>
        </w:rPr>
        <w:t>运营和维护管理</w:t>
      </w:r>
    </w:p>
    <w:p>
      <w:pPr>
        <w:pStyle w:val="11"/>
        <w:numPr>
          <w:ilvl w:val="0"/>
          <w:numId w:val="2"/>
        </w:numPr>
        <w:adjustRightInd w:val="0"/>
        <w:spacing w:line="360" w:lineRule="auto"/>
        <w:ind w:left="0" w:firstLine="640"/>
        <w:rPr>
          <w:rFonts w:ascii="仿宋" w:hAnsi="仿宋" w:eastAsia="仿宋"/>
          <w:sz w:val="32"/>
          <w:szCs w:val="32"/>
        </w:rPr>
      </w:pPr>
      <w:r>
        <w:rPr>
          <w:rFonts w:hint="eastAsia" w:ascii="仿宋" w:hAnsi="仿宋" w:eastAsia="仿宋"/>
          <w:sz w:val="32"/>
          <w:szCs w:val="32"/>
        </w:rPr>
        <w:t>海绵设施移交后应当及时确定运行维护单位。</w:t>
      </w:r>
      <w:r>
        <w:rPr>
          <w:rFonts w:ascii="仿宋" w:hAnsi="仿宋" w:eastAsia="仿宋"/>
          <w:sz w:val="32"/>
          <w:szCs w:val="32"/>
        </w:rPr>
        <w:t>政</w:t>
      </w:r>
      <w:r>
        <w:rPr>
          <w:rFonts w:hint="eastAsia" w:ascii="仿宋" w:hAnsi="仿宋" w:eastAsia="仿宋"/>
          <w:sz w:val="32"/>
          <w:szCs w:val="32"/>
        </w:rPr>
        <w:t>府投资建设项目的海绵设施由相关职能部门、</w:t>
      </w:r>
      <w:r>
        <w:rPr>
          <w:rFonts w:ascii="仿宋" w:hAnsi="仿宋" w:eastAsia="仿宋"/>
          <w:sz w:val="32"/>
          <w:szCs w:val="32"/>
        </w:rPr>
        <w:t>所在</w:t>
      </w:r>
      <w:r>
        <w:rPr>
          <w:rFonts w:hint="eastAsia" w:ascii="仿宋" w:hAnsi="仿宋" w:eastAsia="仿宋"/>
          <w:sz w:val="32"/>
          <w:szCs w:val="32"/>
        </w:rPr>
        <w:t>功能区及</w:t>
      </w:r>
      <w:r>
        <w:rPr>
          <w:rFonts w:ascii="仿宋" w:hAnsi="仿宋" w:eastAsia="仿宋"/>
          <w:sz w:val="32"/>
          <w:szCs w:val="32"/>
        </w:rPr>
        <w:t>区</w:t>
      </w:r>
      <w:r>
        <w:rPr>
          <w:rFonts w:hint="eastAsia" w:ascii="仿宋" w:hAnsi="仿宋" w:eastAsia="仿宋"/>
          <w:sz w:val="32"/>
          <w:szCs w:val="32"/>
        </w:rPr>
        <w:t>县</w:t>
      </w:r>
      <w:r>
        <w:rPr>
          <w:rFonts w:ascii="仿宋" w:hAnsi="仿宋" w:eastAsia="仿宋"/>
          <w:sz w:val="32"/>
          <w:szCs w:val="32"/>
        </w:rPr>
        <w:t>政府</w:t>
      </w:r>
      <w:r>
        <w:rPr>
          <w:rFonts w:hint="eastAsia" w:ascii="仿宋" w:hAnsi="仿宋" w:eastAsia="仿宋"/>
          <w:sz w:val="32"/>
          <w:szCs w:val="32"/>
        </w:rPr>
        <w:t>按照职责分工进行监管，</w:t>
      </w:r>
      <w:r>
        <w:rPr>
          <w:rFonts w:ascii="仿宋" w:hAnsi="仿宋" w:eastAsia="仿宋"/>
          <w:sz w:val="32"/>
          <w:szCs w:val="32"/>
        </w:rPr>
        <w:t>并委托管理养护单位运行维护</w:t>
      </w:r>
      <w:r>
        <w:rPr>
          <w:rFonts w:hint="eastAsia" w:ascii="仿宋" w:hAnsi="仿宋" w:eastAsia="仿宋"/>
          <w:sz w:val="32"/>
          <w:szCs w:val="32"/>
        </w:rPr>
        <w:t>；</w:t>
      </w:r>
      <w:r>
        <w:rPr>
          <w:rFonts w:ascii="仿宋" w:hAnsi="仿宋" w:eastAsia="仿宋"/>
          <w:sz w:val="32"/>
          <w:szCs w:val="32"/>
        </w:rPr>
        <w:t>社会投</w:t>
      </w:r>
      <w:r>
        <w:rPr>
          <w:rFonts w:hint="eastAsia" w:ascii="仿宋" w:hAnsi="仿宋" w:eastAsia="仿宋"/>
          <w:sz w:val="32"/>
          <w:szCs w:val="32"/>
        </w:rPr>
        <w:t>资建设项目的海绵设施由该设施权属单位负责运行维护；若无明确监管责任主体，遵循“谁建设，谁管理”的原则进行维护管理。</w:t>
      </w:r>
    </w:p>
    <w:p>
      <w:pPr>
        <w:pStyle w:val="11"/>
        <w:numPr>
          <w:ilvl w:val="0"/>
          <w:numId w:val="2"/>
        </w:numPr>
        <w:adjustRightInd w:val="0"/>
        <w:spacing w:line="360" w:lineRule="auto"/>
        <w:ind w:left="0" w:firstLine="640"/>
        <w:rPr>
          <w:rFonts w:ascii="仿宋" w:hAnsi="仿宋" w:eastAsia="仿宋"/>
          <w:sz w:val="32"/>
          <w:szCs w:val="32"/>
        </w:rPr>
      </w:pPr>
      <w:r>
        <w:rPr>
          <w:rFonts w:ascii="仿宋" w:hAnsi="仿宋" w:eastAsia="仿宋"/>
          <w:sz w:val="32"/>
          <w:szCs w:val="32"/>
        </w:rPr>
        <w:t>市</w:t>
      </w:r>
      <w:r>
        <w:rPr>
          <w:rFonts w:hint="eastAsia" w:ascii="仿宋" w:hAnsi="仿宋" w:eastAsia="仿宋"/>
          <w:sz w:val="32"/>
          <w:szCs w:val="32"/>
        </w:rPr>
        <w:t>城管部门</w:t>
      </w:r>
      <w:r>
        <w:rPr>
          <w:rFonts w:ascii="仿宋" w:hAnsi="仿宋" w:eastAsia="仿宋"/>
          <w:sz w:val="32"/>
          <w:szCs w:val="32"/>
        </w:rPr>
        <w:t>负责组织制定海绵设施运行维护相关技术规范,各</w:t>
      </w:r>
      <w:r>
        <w:rPr>
          <w:rFonts w:hint="eastAsia" w:ascii="仿宋" w:hAnsi="仿宋" w:eastAsia="仿宋"/>
          <w:sz w:val="32"/>
          <w:szCs w:val="32"/>
        </w:rPr>
        <w:t>功能区及各区县</w:t>
      </w:r>
      <w:r>
        <w:rPr>
          <w:rFonts w:ascii="仿宋" w:hAnsi="仿宋" w:eastAsia="仿宋"/>
          <w:sz w:val="32"/>
          <w:szCs w:val="32"/>
        </w:rPr>
        <w:t>政府可因地制宜制定海绵设施运行维护管理细则。</w:t>
      </w:r>
    </w:p>
    <w:p>
      <w:pPr>
        <w:pStyle w:val="11"/>
        <w:adjustRightInd w:val="0"/>
        <w:spacing w:line="360" w:lineRule="auto"/>
        <w:ind w:firstLine="640"/>
        <w:rPr>
          <w:rFonts w:ascii="仿宋" w:hAnsi="仿宋" w:eastAsia="仿宋"/>
          <w:sz w:val="32"/>
          <w:szCs w:val="32"/>
        </w:rPr>
      </w:pPr>
      <w:r>
        <w:rPr>
          <w:rFonts w:ascii="仿宋" w:hAnsi="仿宋" w:eastAsia="仿宋"/>
          <w:sz w:val="32"/>
          <w:szCs w:val="32"/>
        </w:rPr>
        <w:t>海绵设施维护管理单位应当建立维护管理制度、操作规程,加强日常巡查、维修和养护,确保设施功能正常发挥、安全运行。鼓励采取市场化模式、信息化手段进行运维</w:t>
      </w:r>
      <w:r>
        <w:rPr>
          <w:rFonts w:hint="eastAsia" w:ascii="仿宋" w:hAnsi="仿宋" w:eastAsia="仿宋"/>
          <w:sz w:val="32"/>
          <w:szCs w:val="32"/>
        </w:rPr>
        <w:t>，逐步提高运行管理水平</w:t>
      </w:r>
      <w:r>
        <w:rPr>
          <w:rFonts w:ascii="仿宋" w:hAnsi="仿宋" w:eastAsia="仿宋"/>
          <w:sz w:val="32"/>
          <w:szCs w:val="32"/>
        </w:rPr>
        <w:t>。</w:t>
      </w:r>
    </w:p>
    <w:p>
      <w:pPr>
        <w:pStyle w:val="11"/>
        <w:numPr>
          <w:ilvl w:val="0"/>
          <w:numId w:val="2"/>
        </w:numPr>
        <w:adjustRightInd w:val="0"/>
        <w:spacing w:line="360" w:lineRule="auto"/>
        <w:ind w:left="0" w:firstLine="640"/>
        <w:rPr>
          <w:rFonts w:ascii="仿宋" w:hAnsi="仿宋" w:eastAsia="仿宋"/>
          <w:sz w:val="32"/>
          <w:szCs w:val="32"/>
        </w:rPr>
      </w:pPr>
      <w:r>
        <w:rPr>
          <w:rFonts w:ascii="仿宋" w:hAnsi="仿宋" w:eastAsia="仿宋"/>
          <w:sz w:val="32"/>
          <w:szCs w:val="32"/>
        </w:rPr>
        <w:t>各行业</w:t>
      </w:r>
      <w:r>
        <w:rPr>
          <w:rFonts w:hint="eastAsia" w:ascii="仿宋" w:hAnsi="仿宋" w:eastAsia="仿宋"/>
          <w:sz w:val="32"/>
          <w:szCs w:val="32"/>
        </w:rPr>
        <w:t>主管部门按职责分工对所属行业海绵设施的运行维护效果进行监督，制定服务标准，按效付费，充分调动管养单位积极性。</w:t>
      </w:r>
    </w:p>
    <w:p>
      <w:pPr>
        <w:pStyle w:val="2"/>
        <w:numPr>
          <w:ilvl w:val="0"/>
          <w:numId w:val="1"/>
        </w:numPr>
        <w:ind w:firstLineChars="0"/>
      </w:pPr>
      <w:r>
        <w:rPr>
          <w:rFonts w:hint="eastAsia"/>
        </w:rPr>
        <w:t>考核评价与奖惩</w:t>
      </w:r>
    </w:p>
    <w:p>
      <w:pPr>
        <w:pStyle w:val="11"/>
        <w:numPr>
          <w:ilvl w:val="0"/>
          <w:numId w:val="2"/>
        </w:numPr>
        <w:adjustRightInd w:val="0"/>
        <w:spacing w:line="360" w:lineRule="auto"/>
        <w:ind w:left="0" w:firstLine="640"/>
        <w:rPr>
          <w:rFonts w:ascii="仿宋" w:hAnsi="仿宋" w:eastAsia="仿宋"/>
          <w:sz w:val="32"/>
          <w:szCs w:val="32"/>
        </w:rPr>
      </w:pPr>
      <w:r>
        <w:rPr>
          <w:rFonts w:hint="eastAsia" w:ascii="仿宋" w:hAnsi="仿宋" w:eastAsia="仿宋"/>
          <w:sz w:val="32"/>
          <w:szCs w:val="32"/>
        </w:rPr>
        <w:t>市政府对市相关部门和各区县政府海绵城市建设情况进行年度实绩考评，并将考评结果纳入政府绩效考核体系和生态文明考核体系。海绵城市建设年度实绩考评由市海绵办负责组织实施，具体考评细则由市海绵办制定，经批准后执行。</w:t>
      </w:r>
    </w:p>
    <w:p>
      <w:pPr>
        <w:pStyle w:val="11"/>
        <w:numPr>
          <w:ilvl w:val="0"/>
          <w:numId w:val="2"/>
        </w:numPr>
        <w:adjustRightInd w:val="0"/>
        <w:spacing w:line="360" w:lineRule="auto"/>
        <w:ind w:left="0" w:firstLine="640"/>
        <w:rPr>
          <w:rFonts w:ascii="仿宋" w:hAnsi="仿宋" w:eastAsia="仿宋"/>
          <w:sz w:val="32"/>
          <w:szCs w:val="32"/>
        </w:rPr>
      </w:pPr>
      <w:r>
        <w:rPr>
          <w:rFonts w:hint="eastAsia" w:ascii="仿宋" w:hAnsi="仿宋" w:eastAsia="仿宋"/>
          <w:sz w:val="32"/>
          <w:szCs w:val="32"/>
        </w:rPr>
        <w:t>市、区两级海绵办及相关职能部门应当加强对从事海绵设施设计、建设、维护、管理活动人员的培训，加强对社会公众的宣传工作，不断提高海绵城市建设管理水平，扩大海绵城市建设参与范围。</w:t>
      </w:r>
    </w:p>
    <w:p>
      <w:pPr>
        <w:pStyle w:val="11"/>
        <w:numPr>
          <w:ilvl w:val="0"/>
          <w:numId w:val="2"/>
        </w:numPr>
        <w:adjustRightInd w:val="0"/>
        <w:spacing w:line="360" w:lineRule="auto"/>
        <w:ind w:left="0" w:firstLine="640"/>
        <w:rPr>
          <w:rFonts w:ascii="仿宋" w:hAnsi="仿宋" w:eastAsia="仿宋"/>
          <w:sz w:val="32"/>
          <w:szCs w:val="32"/>
        </w:rPr>
      </w:pPr>
      <w:r>
        <w:rPr>
          <w:rFonts w:hint="eastAsia" w:ascii="仿宋" w:hAnsi="仿宋" w:eastAsia="仿宋"/>
          <w:sz w:val="32"/>
          <w:szCs w:val="32"/>
        </w:rPr>
        <w:t>将海绵城市建设落实情况作为优秀勘察设计、优质工程等奖项推荐评选的重要指标。对在海绵城市规划建设管理工作中作出突出贡献的单位和个人给予奖励，具体奖励政策由市海绵城市建设主管部门会同市相关部门另行制定。</w:t>
      </w:r>
    </w:p>
    <w:p>
      <w:pPr>
        <w:pStyle w:val="11"/>
        <w:numPr>
          <w:ilvl w:val="0"/>
          <w:numId w:val="2"/>
        </w:numPr>
        <w:adjustRightInd w:val="0"/>
        <w:spacing w:line="360" w:lineRule="auto"/>
        <w:ind w:left="0" w:firstLine="640"/>
        <w:rPr>
          <w:rFonts w:ascii="仿宋" w:hAnsi="仿宋" w:eastAsia="仿宋"/>
          <w:sz w:val="32"/>
          <w:szCs w:val="32"/>
        </w:rPr>
      </w:pPr>
      <w:r>
        <w:rPr>
          <w:rFonts w:hint="eastAsia" w:ascii="仿宋" w:hAnsi="仿宋" w:eastAsia="仿宋"/>
          <w:sz w:val="32"/>
          <w:szCs w:val="32"/>
        </w:rPr>
        <w:t>任何单位和个人有权对海绵城市建设项目规划建设活动进行监督，发现违反本办法的行为，可向海绵办、规划建设行政主管部门、纪检监察部门举报。</w:t>
      </w:r>
    </w:p>
    <w:p>
      <w:pPr>
        <w:pStyle w:val="11"/>
        <w:adjustRightInd w:val="0"/>
        <w:spacing w:line="360" w:lineRule="auto"/>
        <w:ind w:firstLine="640"/>
        <w:rPr>
          <w:rFonts w:ascii="仿宋" w:hAnsi="仿宋" w:eastAsia="仿宋"/>
          <w:sz w:val="32"/>
          <w:szCs w:val="32"/>
        </w:rPr>
      </w:pPr>
      <w:r>
        <w:rPr>
          <w:rFonts w:hint="eastAsia" w:ascii="仿宋" w:hAnsi="仿宋" w:eastAsia="仿宋"/>
          <w:sz w:val="32"/>
          <w:szCs w:val="32"/>
        </w:rPr>
        <w:t>规划、设计、施工、监理、施工图审查、运行维护等有关单位违反本办法的，可将其违章行为作为不良记录予以公示或视情节轻重依法追究责任。</w:t>
      </w:r>
    </w:p>
    <w:p>
      <w:pPr>
        <w:pStyle w:val="11"/>
        <w:adjustRightInd w:val="0"/>
        <w:spacing w:line="360" w:lineRule="auto"/>
        <w:ind w:firstLine="640"/>
        <w:rPr>
          <w:rFonts w:ascii="仿宋" w:hAnsi="仿宋" w:eastAsia="仿宋"/>
          <w:sz w:val="32"/>
          <w:szCs w:val="32"/>
        </w:rPr>
      </w:pPr>
      <w:r>
        <w:rPr>
          <w:rFonts w:hint="eastAsia" w:ascii="仿宋" w:hAnsi="仿宋" w:eastAsia="仿宋"/>
          <w:sz w:val="32"/>
          <w:szCs w:val="32"/>
        </w:rPr>
        <w:t>各建设主管部门及其工作人员在海绵城市建设管理过程中违反本办法的，依法依纪追究相关人员责任；涉嫌犯罪的，移交司法机关依法处理。</w:t>
      </w:r>
    </w:p>
    <w:p>
      <w:pPr>
        <w:pStyle w:val="2"/>
        <w:numPr>
          <w:ilvl w:val="0"/>
          <w:numId w:val="1"/>
        </w:numPr>
        <w:ind w:firstLineChars="0"/>
      </w:pPr>
      <w:r>
        <w:rPr>
          <w:rFonts w:hint="eastAsia"/>
        </w:rPr>
        <w:t xml:space="preserve">附 </w:t>
      </w:r>
      <w:r>
        <w:t xml:space="preserve"> </w:t>
      </w:r>
      <w:r>
        <w:rPr>
          <w:rFonts w:hint="eastAsia"/>
        </w:rPr>
        <w:t>则</w:t>
      </w:r>
    </w:p>
    <w:p>
      <w:pPr>
        <w:pStyle w:val="11"/>
        <w:numPr>
          <w:ilvl w:val="0"/>
          <w:numId w:val="2"/>
        </w:numPr>
        <w:adjustRightInd w:val="0"/>
        <w:spacing w:line="360" w:lineRule="auto"/>
        <w:ind w:left="0" w:firstLine="64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本办法适用中的具体问题由市海绵办负责解释。</w:t>
      </w:r>
    </w:p>
    <w:p>
      <w:pPr>
        <w:pStyle w:val="11"/>
        <w:numPr>
          <w:ilvl w:val="0"/>
          <w:numId w:val="2"/>
        </w:numPr>
        <w:adjustRightInd w:val="0"/>
        <w:spacing w:line="360" w:lineRule="auto"/>
        <w:ind w:left="0" w:firstLine="640"/>
        <w:rPr>
          <w:rFonts w:ascii="仿宋" w:hAnsi="仿宋" w:eastAsia="仿宋"/>
          <w:sz w:val="32"/>
          <w:szCs w:val="32"/>
        </w:rPr>
      </w:pPr>
      <w:r>
        <w:rPr>
          <w:rFonts w:hint="eastAsia" w:ascii="仿宋" w:hAnsi="仿宋" w:eastAsia="仿宋"/>
          <w:sz w:val="32"/>
          <w:szCs w:val="32"/>
        </w:rPr>
        <w:t>本办法自印发之日起施行。</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CDCDEE">
    <w:altName w:val="Cambria"/>
    <w:panose1 w:val="00000000000000000000"/>
    <w:charset w:val="00"/>
    <w:family w:val="roman"/>
    <w:pitch w:val="default"/>
    <w:sig w:usb0="00000000" w:usb1="00000000" w:usb2="00000000" w:usb3="00000000" w:csb0="00000000" w:csb1="00000000"/>
  </w:font>
  <w:font w:name="DDCDEE">
    <w:altName w:val="Cambria"/>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536278"/>
      <w:docPartObj>
        <w:docPartGallery w:val="AutoText"/>
      </w:docPartObj>
    </w:sdtPr>
    <w:sdtContent>
      <w:p>
        <w:pPr>
          <w:pStyle w:val="4"/>
          <w:ind w:firstLine="360"/>
          <w:jc w:val="center"/>
        </w:pPr>
      </w:p>
      <w:p>
        <w:pPr>
          <w:pStyle w:val="4"/>
          <w:ind w:firstLine="360"/>
          <w:jc w:val="center"/>
        </w:pPr>
        <w:r>
          <w:fldChar w:fldCharType="begin"/>
        </w:r>
        <w:r>
          <w:instrText xml:space="preserve">PAGE   \* MERGEFORMAT</w:instrText>
        </w:r>
        <w:r>
          <w:fldChar w:fldCharType="separate"/>
        </w:r>
        <w:r>
          <w:rPr>
            <w:lang w:val="zh-CN"/>
          </w:rPr>
          <w:t>2</w:t>
        </w:r>
        <w:r>
          <w:fldChar w:fldCharType="end"/>
        </w:r>
      </w:p>
    </w:sdtContent>
  </w:sdt>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69AB"/>
    <w:multiLevelType w:val="multilevel"/>
    <w:tmpl w:val="00BC69AB"/>
    <w:lvl w:ilvl="0" w:tentative="0">
      <w:start w:val="1"/>
      <w:numFmt w:val="japaneseCounting"/>
      <w:lvlText w:val="第%1条"/>
      <w:lvlJc w:val="left"/>
      <w:pPr>
        <w:ind w:left="1933" w:hanging="1290"/>
      </w:pPr>
      <w:rPr>
        <w:rFonts w:hint="default" w:ascii="黑体" w:hAnsi="黑体" w:eastAsia="黑体"/>
        <w:b/>
        <w:lang w:val="en-US"/>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
    <w:nsid w:val="56524B7A"/>
    <w:multiLevelType w:val="multilevel"/>
    <w:tmpl w:val="56524B7A"/>
    <w:lvl w:ilvl="0" w:tentative="0">
      <w:start w:val="1"/>
      <w:numFmt w:val="japaneseCounting"/>
      <w:lvlText w:val="第%1章"/>
      <w:lvlJc w:val="left"/>
      <w:pPr>
        <w:ind w:left="1280" w:hanging="12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09A"/>
    <w:rsid w:val="0001076F"/>
    <w:rsid w:val="000114A1"/>
    <w:rsid w:val="0001331E"/>
    <w:rsid w:val="00014CA1"/>
    <w:rsid w:val="00014F59"/>
    <w:rsid w:val="000166FD"/>
    <w:rsid w:val="000175F7"/>
    <w:rsid w:val="00023B1E"/>
    <w:rsid w:val="00026D9B"/>
    <w:rsid w:val="00033925"/>
    <w:rsid w:val="00036CDA"/>
    <w:rsid w:val="00037431"/>
    <w:rsid w:val="00042F69"/>
    <w:rsid w:val="00046EE7"/>
    <w:rsid w:val="000516B1"/>
    <w:rsid w:val="00052762"/>
    <w:rsid w:val="000538EB"/>
    <w:rsid w:val="000565C7"/>
    <w:rsid w:val="00056C0F"/>
    <w:rsid w:val="000579C3"/>
    <w:rsid w:val="00057CD4"/>
    <w:rsid w:val="00062451"/>
    <w:rsid w:val="00062D18"/>
    <w:rsid w:val="00071A9D"/>
    <w:rsid w:val="0008596F"/>
    <w:rsid w:val="00091901"/>
    <w:rsid w:val="00095B8A"/>
    <w:rsid w:val="000A5944"/>
    <w:rsid w:val="000A66B2"/>
    <w:rsid w:val="000B7C86"/>
    <w:rsid w:val="000C06CA"/>
    <w:rsid w:val="000C2AC0"/>
    <w:rsid w:val="000C7A9E"/>
    <w:rsid w:val="000D5A93"/>
    <w:rsid w:val="000D6860"/>
    <w:rsid w:val="000D7D1D"/>
    <w:rsid w:val="000E0A8C"/>
    <w:rsid w:val="000E5D01"/>
    <w:rsid w:val="000E73F9"/>
    <w:rsid w:val="000F4D8B"/>
    <w:rsid w:val="0010055A"/>
    <w:rsid w:val="00101AC1"/>
    <w:rsid w:val="0010265D"/>
    <w:rsid w:val="00120000"/>
    <w:rsid w:val="0012454D"/>
    <w:rsid w:val="001324E4"/>
    <w:rsid w:val="00132566"/>
    <w:rsid w:val="00133945"/>
    <w:rsid w:val="0014329E"/>
    <w:rsid w:val="00143CF4"/>
    <w:rsid w:val="0014572E"/>
    <w:rsid w:val="00146EEF"/>
    <w:rsid w:val="00147552"/>
    <w:rsid w:val="00147599"/>
    <w:rsid w:val="00153E30"/>
    <w:rsid w:val="00156120"/>
    <w:rsid w:val="001610A1"/>
    <w:rsid w:val="00163DD1"/>
    <w:rsid w:val="0017054E"/>
    <w:rsid w:val="00171B8B"/>
    <w:rsid w:val="00176701"/>
    <w:rsid w:val="001A40C9"/>
    <w:rsid w:val="001A4276"/>
    <w:rsid w:val="001C010F"/>
    <w:rsid w:val="001C03D0"/>
    <w:rsid w:val="001C71EB"/>
    <w:rsid w:val="001D2D98"/>
    <w:rsid w:val="001D3F64"/>
    <w:rsid w:val="001E05DA"/>
    <w:rsid w:val="001E06D0"/>
    <w:rsid w:val="001E2868"/>
    <w:rsid w:val="001E2B79"/>
    <w:rsid w:val="001E51CA"/>
    <w:rsid w:val="001E55D6"/>
    <w:rsid w:val="001F0A54"/>
    <w:rsid w:val="001F137A"/>
    <w:rsid w:val="001F17E2"/>
    <w:rsid w:val="00202347"/>
    <w:rsid w:val="0020328D"/>
    <w:rsid w:val="00203855"/>
    <w:rsid w:val="002046F7"/>
    <w:rsid w:val="00206B32"/>
    <w:rsid w:val="002228DB"/>
    <w:rsid w:val="002264B0"/>
    <w:rsid w:val="00237E4E"/>
    <w:rsid w:val="0024425A"/>
    <w:rsid w:val="00244849"/>
    <w:rsid w:val="0025406C"/>
    <w:rsid w:val="0025640E"/>
    <w:rsid w:val="00257F21"/>
    <w:rsid w:val="00262FCB"/>
    <w:rsid w:val="0026373F"/>
    <w:rsid w:val="00277F84"/>
    <w:rsid w:val="00280707"/>
    <w:rsid w:val="00283F9E"/>
    <w:rsid w:val="0029084D"/>
    <w:rsid w:val="00291C1B"/>
    <w:rsid w:val="00292AB1"/>
    <w:rsid w:val="00293EFB"/>
    <w:rsid w:val="00296647"/>
    <w:rsid w:val="002A3180"/>
    <w:rsid w:val="002A3816"/>
    <w:rsid w:val="002B102C"/>
    <w:rsid w:val="002B237A"/>
    <w:rsid w:val="002B4381"/>
    <w:rsid w:val="002B63DC"/>
    <w:rsid w:val="002C1E95"/>
    <w:rsid w:val="002E0559"/>
    <w:rsid w:val="002F1033"/>
    <w:rsid w:val="002F3746"/>
    <w:rsid w:val="002F584B"/>
    <w:rsid w:val="002F6B41"/>
    <w:rsid w:val="002F7717"/>
    <w:rsid w:val="003035B7"/>
    <w:rsid w:val="003070D2"/>
    <w:rsid w:val="003124B3"/>
    <w:rsid w:val="003153E6"/>
    <w:rsid w:val="00323F94"/>
    <w:rsid w:val="00327C0F"/>
    <w:rsid w:val="00330C4B"/>
    <w:rsid w:val="00332392"/>
    <w:rsid w:val="00333A4E"/>
    <w:rsid w:val="00335BCA"/>
    <w:rsid w:val="00336522"/>
    <w:rsid w:val="00336986"/>
    <w:rsid w:val="00336FB7"/>
    <w:rsid w:val="003425A9"/>
    <w:rsid w:val="00342CA2"/>
    <w:rsid w:val="00343A91"/>
    <w:rsid w:val="003531DF"/>
    <w:rsid w:val="0035778A"/>
    <w:rsid w:val="003604AC"/>
    <w:rsid w:val="00362401"/>
    <w:rsid w:val="00362835"/>
    <w:rsid w:val="003674AE"/>
    <w:rsid w:val="003705CE"/>
    <w:rsid w:val="003727ED"/>
    <w:rsid w:val="00384260"/>
    <w:rsid w:val="0038456D"/>
    <w:rsid w:val="00384C35"/>
    <w:rsid w:val="003857B3"/>
    <w:rsid w:val="0038795A"/>
    <w:rsid w:val="00394B80"/>
    <w:rsid w:val="00396F8D"/>
    <w:rsid w:val="003A0383"/>
    <w:rsid w:val="003A365D"/>
    <w:rsid w:val="003A508B"/>
    <w:rsid w:val="003A5ED8"/>
    <w:rsid w:val="003B66F6"/>
    <w:rsid w:val="003C43D6"/>
    <w:rsid w:val="003C5D19"/>
    <w:rsid w:val="003C7FDB"/>
    <w:rsid w:val="003D04D9"/>
    <w:rsid w:val="003D2473"/>
    <w:rsid w:val="003D36E5"/>
    <w:rsid w:val="003F03EF"/>
    <w:rsid w:val="003F0B79"/>
    <w:rsid w:val="003F75A0"/>
    <w:rsid w:val="00404C73"/>
    <w:rsid w:val="00405D10"/>
    <w:rsid w:val="004106B2"/>
    <w:rsid w:val="00412310"/>
    <w:rsid w:val="004163F0"/>
    <w:rsid w:val="00424435"/>
    <w:rsid w:val="0042550D"/>
    <w:rsid w:val="004318BA"/>
    <w:rsid w:val="00437BBF"/>
    <w:rsid w:val="00450FE8"/>
    <w:rsid w:val="00452884"/>
    <w:rsid w:val="00452E03"/>
    <w:rsid w:val="00457A43"/>
    <w:rsid w:val="00466000"/>
    <w:rsid w:val="00471B94"/>
    <w:rsid w:val="00474CC3"/>
    <w:rsid w:val="00475357"/>
    <w:rsid w:val="00475E84"/>
    <w:rsid w:val="004913F5"/>
    <w:rsid w:val="00496B47"/>
    <w:rsid w:val="00497778"/>
    <w:rsid w:val="004A4935"/>
    <w:rsid w:val="004C1907"/>
    <w:rsid w:val="004C3FA7"/>
    <w:rsid w:val="004C77BC"/>
    <w:rsid w:val="004D0798"/>
    <w:rsid w:val="004D5CDA"/>
    <w:rsid w:val="004E1F49"/>
    <w:rsid w:val="004E7BF1"/>
    <w:rsid w:val="004F09C8"/>
    <w:rsid w:val="004F4CFD"/>
    <w:rsid w:val="00502AC0"/>
    <w:rsid w:val="0050334A"/>
    <w:rsid w:val="0050362C"/>
    <w:rsid w:val="00507E8B"/>
    <w:rsid w:val="00520DAC"/>
    <w:rsid w:val="00521084"/>
    <w:rsid w:val="005324B9"/>
    <w:rsid w:val="00532C97"/>
    <w:rsid w:val="0053727A"/>
    <w:rsid w:val="00540C9E"/>
    <w:rsid w:val="00542950"/>
    <w:rsid w:val="005477FA"/>
    <w:rsid w:val="005603E7"/>
    <w:rsid w:val="00560440"/>
    <w:rsid w:val="00561B0C"/>
    <w:rsid w:val="0056545A"/>
    <w:rsid w:val="00565BDD"/>
    <w:rsid w:val="0057317A"/>
    <w:rsid w:val="00575D07"/>
    <w:rsid w:val="005779C9"/>
    <w:rsid w:val="00586BF9"/>
    <w:rsid w:val="0058725B"/>
    <w:rsid w:val="0059009E"/>
    <w:rsid w:val="00590527"/>
    <w:rsid w:val="00595483"/>
    <w:rsid w:val="00596DE9"/>
    <w:rsid w:val="005A0588"/>
    <w:rsid w:val="005A5D97"/>
    <w:rsid w:val="005B0514"/>
    <w:rsid w:val="005B7872"/>
    <w:rsid w:val="005C6CE1"/>
    <w:rsid w:val="005D5572"/>
    <w:rsid w:val="005E0DD2"/>
    <w:rsid w:val="005E1135"/>
    <w:rsid w:val="005E3093"/>
    <w:rsid w:val="005E46C4"/>
    <w:rsid w:val="005E4E11"/>
    <w:rsid w:val="005E6129"/>
    <w:rsid w:val="005E675F"/>
    <w:rsid w:val="005F0619"/>
    <w:rsid w:val="005F66B2"/>
    <w:rsid w:val="00600F4E"/>
    <w:rsid w:val="006011C9"/>
    <w:rsid w:val="006037D2"/>
    <w:rsid w:val="006041CF"/>
    <w:rsid w:val="00620C54"/>
    <w:rsid w:val="00620D98"/>
    <w:rsid w:val="00626F4D"/>
    <w:rsid w:val="0063416E"/>
    <w:rsid w:val="006379CE"/>
    <w:rsid w:val="006601E5"/>
    <w:rsid w:val="006710AF"/>
    <w:rsid w:val="006754CE"/>
    <w:rsid w:val="00675CF6"/>
    <w:rsid w:val="00680C74"/>
    <w:rsid w:val="00682CB3"/>
    <w:rsid w:val="006919CF"/>
    <w:rsid w:val="006A1662"/>
    <w:rsid w:val="006A1A55"/>
    <w:rsid w:val="006A1E15"/>
    <w:rsid w:val="006A4EE6"/>
    <w:rsid w:val="006A514E"/>
    <w:rsid w:val="006A5467"/>
    <w:rsid w:val="006A6FCE"/>
    <w:rsid w:val="006A70D5"/>
    <w:rsid w:val="006A727B"/>
    <w:rsid w:val="006C09CD"/>
    <w:rsid w:val="006E2FEA"/>
    <w:rsid w:val="006E57B3"/>
    <w:rsid w:val="006E7722"/>
    <w:rsid w:val="006F021D"/>
    <w:rsid w:val="00706E34"/>
    <w:rsid w:val="007105C3"/>
    <w:rsid w:val="007172D6"/>
    <w:rsid w:val="00721DC7"/>
    <w:rsid w:val="00722753"/>
    <w:rsid w:val="00727FD5"/>
    <w:rsid w:val="0074149E"/>
    <w:rsid w:val="007518CC"/>
    <w:rsid w:val="00756BE9"/>
    <w:rsid w:val="00762514"/>
    <w:rsid w:val="00763DEF"/>
    <w:rsid w:val="00766E77"/>
    <w:rsid w:val="007700B1"/>
    <w:rsid w:val="00771762"/>
    <w:rsid w:val="00772E15"/>
    <w:rsid w:val="00775797"/>
    <w:rsid w:val="00780063"/>
    <w:rsid w:val="0078011D"/>
    <w:rsid w:val="00784A17"/>
    <w:rsid w:val="00787F56"/>
    <w:rsid w:val="007A047C"/>
    <w:rsid w:val="007A1DBF"/>
    <w:rsid w:val="007A2666"/>
    <w:rsid w:val="007A44E7"/>
    <w:rsid w:val="007A6C23"/>
    <w:rsid w:val="007B0EB4"/>
    <w:rsid w:val="007B2EF0"/>
    <w:rsid w:val="007B5387"/>
    <w:rsid w:val="007B7C5C"/>
    <w:rsid w:val="007C7F0E"/>
    <w:rsid w:val="007D03B1"/>
    <w:rsid w:val="007D51CD"/>
    <w:rsid w:val="007D53B1"/>
    <w:rsid w:val="007E037A"/>
    <w:rsid w:val="007E7D3D"/>
    <w:rsid w:val="007E7F4C"/>
    <w:rsid w:val="007F2865"/>
    <w:rsid w:val="00802EA2"/>
    <w:rsid w:val="008030A7"/>
    <w:rsid w:val="008138BD"/>
    <w:rsid w:val="0081393E"/>
    <w:rsid w:val="008142F1"/>
    <w:rsid w:val="00822BFC"/>
    <w:rsid w:val="00824FA9"/>
    <w:rsid w:val="00834349"/>
    <w:rsid w:val="0084368F"/>
    <w:rsid w:val="00851F70"/>
    <w:rsid w:val="008527A8"/>
    <w:rsid w:val="00856ABD"/>
    <w:rsid w:val="00856BFA"/>
    <w:rsid w:val="00860621"/>
    <w:rsid w:val="0086215E"/>
    <w:rsid w:val="00864555"/>
    <w:rsid w:val="00866A27"/>
    <w:rsid w:val="008704E8"/>
    <w:rsid w:val="00870C77"/>
    <w:rsid w:val="008938C2"/>
    <w:rsid w:val="00893A94"/>
    <w:rsid w:val="00895BBE"/>
    <w:rsid w:val="0089709A"/>
    <w:rsid w:val="008A2A7F"/>
    <w:rsid w:val="008A3AFB"/>
    <w:rsid w:val="008A7090"/>
    <w:rsid w:val="008B70F4"/>
    <w:rsid w:val="008B719E"/>
    <w:rsid w:val="008B7BBF"/>
    <w:rsid w:val="008C1779"/>
    <w:rsid w:val="008D6A81"/>
    <w:rsid w:val="008F24BD"/>
    <w:rsid w:val="008F2ADA"/>
    <w:rsid w:val="00900A26"/>
    <w:rsid w:val="00906298"/>
    <w:rsid w:val="009072B6"/>
    <w:rsid w:val="00912E3B"/>
    <w:rsid w:val="00913B07"/>
    <w:rsid w:val="0091691C"/>
    <w:rsid w:val="0094510C"/>
    <w:rsid w:val="00946EEE"/>
    <w:rsid w:val="00951729"/>
    <w:rsid w:val="00952BB8"/>
    <w:rsid w:val="009551D3"/>
    <w:rsid w:val="00961D28"/>
    <w:rsid w:val="009635C9"/>
    <w:rsid w:val="0096503B"/>
    <w:rsid w:val="00980464"/>
    <w:rsid w:val="00981260"/>
    <w:rsid w:val="0098135F"/>
    <w:rsid w:val="009813FD"/>
    <w:rsid w:val="00987B0D"/>
    <w:rsid w:val="00993DF6"/>
    <w:rsid w:val="009A06ED"/>
    <w:rsid w:val="009B5CD5"/>
    <w:rsid w:val="009B6195"/>
    <w:rsid w:val="009B7ED3"/>
    <w:rsid w:val="009C0732"/>
    <w:rsid w:val="009C5AA8"/>
    <w:rsid w:val="009D0B77"/>
    <w:rsid w:val="009D794D"/>
    <w:rsid w:val="009E2EB1"/>
    <w:rsid w:val="009E305E"/>
    <w:rsid w:val="009E7CE5"/>
    <w:rsid w:val="009F1FD7"/>
    <w:rsid w:val="009F3C0C"/>
    <w:rsid w:val="009F4D9D"/>
    <w:rsid w:val="00A00315"/>
    <w:rsid w:val="00A162D9"/>
    <w:rsid w:val="00A16D1B"/>
    <w:rsid w:val="00A27284"/>
    <w:rsid w:val="00A45DCA"/>
    <w:rsid w:val="00A50DFC"/>
    <w:rsid w:val="00A51D78"/>
    <w:rsid w:val="00A52D3F"/>
    <w:rsid w:val="00A615DB"/>
    <w:rsid w:val="00A643A8"/>
    <w:rsid w:val="00A70FAB"/>
    <w:rsid w:val="00A713E8"/>
    <w:rsid w:val="00A80940"/>
    <w:rsid w:val="00A819F4"/>
    <w:rsid w:val="00A81DBD"/>
    <w:rsid w:val="00A8363E"/>
    <w:rsid w:val="00A83DC0"/>
    <w:rsid w:val="00A90538"/>
    <w:rsid w:val="00A922A5"/>
    <w:rsid w:val="00AA54B8"/>
    <w:rsid w:val="00AB0A2A"/>
    <w:rsid w:val="00AB1733"/>
    <w:rsid w:val="00AB4823"/>
    <w:rsid w:val="00AC2AFF"/>
    <w:rsid w:val="00AC2C38"/>
    <w:rsid w:val="00AC41FF"/>
    <w:rsid w:val="00AD3D9B"/>
    <w:rsid w:val="00AE38AB"/>
    <w:rsid w:val="00AE3CD4"/>
    <w:rsid w:val="00AF09A6"/>
    <w:rsid w:val="00B013B2"/>
    <w:rsid w:val="00B05A0E"/>
    <w:rsid w:val="00B073EA"/>
    <w:rsid w:val="00B11680"/>
    <w:rsid w:val="00B11DAF"/>
    <w:rsid w:val="00B13117"/>
    <w:rsid w:val="00B2013D"/>
    <w:rsid w:val="00B20E4C"/>
    <w:rsid w:val="00B236AF"/>
    <w:rsid w:val="00B24BF9"/>
    <w:rsid w:val="00B252B3"/>
    <w:rsid w:val="00B25D8D"/>
    <w:rsid w:val="00B279F6"/>
    <w:rsid w:val="00B30E25"/>
    <w:rsid w:val="00B31A2B"/>
    <w:rsid w:val="00B32836"/>
    <w:rsid w:val="00B33C3D"/>
    <w:rsid w:val="00B40BA0"/>
    <w:rsid w:val="00B47405"/>
    <w:rsid w:val="00B64BE2"/>
    <w:rsid w:val="00B65031"/>
    <w:rsid w:val="00B65D91"/>
    <w:rsid w:val="00B771B3"/>
    <w:rsid w:val="00B810E5"/>
    <w:rsid w:val="00B850B8"/>
    <w:rsid w:val="00B86F98"/>
    <w:rsid w:val="00B87942"/>
    <w:rsid w:val="00B922DF"/>
    <w:rsid w:val="00B92C15"/>
    <w:rsid w:val="00B94CD8"/>
    <w:rsid w:val="00B96058"/>
    <w:rsid w:val="00BA2A28"/>
    <w:rsid w:val="00BB0BD6"/>
    <w:rsid w:val="00BB108D"/>
    <w:rsid w:val="00BB3A0B"/>
    <w:rsid w:val="00BB505F"/>
    <w:rsid w:val="00BB76F1"/>
    <w:rsid w:val="00BB78C1"/>
    <w:rsid w:val="00BD04CF"/>
    <w:rsid w:val="00BD5D44"/>
    <w:rsid w:val="00BE0DFC"/>
    <w:rsid w:val="00BE24BA"/>
    <w:rsid w:val="00BE4936"/>
    <w:rsid w:val="00C14487"/>
    <w:rsid w:val="00C168AD"/>
    <w:rsid w:val="00C16DEC"/>
    <w:rsid w:val="00C258E6"/>
    <w:rsid w:val="00C27F95"/>
    <w:rsid w:val="00C43598"/>
    <w:rsid w:val="00C44278"/>
    <w:rsid w:val="00C45634"/>
    <w:rsid w:val="00C45900"/>
    <w:rsid w:val="00C5065A"/>
    <w:rsid w:val="00C574BD"/>
    <w:rsid w:val="00C62B1B"/>
    <w:rsid w:val="00C6578B"/>
    <w:rsid w:val="00C840FD"/>
    <w:rsid w:val="00C86631"/>
    <w:rsid w:val="00C94223"/>
    <w:rsid w:val="00C96360"/>
    <w:rsid w:val="00CA1893"/>
    <w:rsid w:val="00CA3118"/>
    <w:rsid w:val="00CA42C4"/>
    <w:rsid w:val="00CB391A"/>
    <w:rsid w:val="00CB70C0"/>
    <w:rsid w:val="00CB7781"/>
    <w:rsid w:val="00CC1186"/>
    <w:rsid w:val="00CD35F3"/>
    <w:rsid w:val="00CD4E8E"/>
    <w:rsid w:val="00CF062B"/>
    <w:rsid w:val="00CF20AB"/>
    <w:rsid w:val="00D019BB"/>
    <w:rsid w:val="00D15591"/>
    <w:rsid w:val="00D16AF9"/>
    <w:rsid w:val="00D16FD4"/>
    <w:rsid w:val="00D237C7"/>
    <w:rsid w:val="00D23C76"/>
    <w:rsid w:val="00D26137"/>
    <w:rsid w:val="00D35EFB"/>
    <w:rsid w:val="00D448FC"/>
    <w:rsid w:val="00D45E72"/>
    <w:rsid w:val="00D46C11"/>
    <w:rsid w:val="00D6525B"/>
    <w:rsid w:val="00D7247E"/>
    <w:rsid w:val="00D72762"/>
    <w:rsid w:val="00D81391"/>
    <w:rsid w:val="00D841C7"/>
    <w:rsid w:val="00D9537A"/>
    <w:rsid w:val="00DA49DC"/>
    <w:rsid w:val="00DB185A"/>
    <w:rsid w:val="00DB6547"/>
    <w:rsid w:val="00DD03CC"/>
    <w:rsid w:val="00DD1375"/>
    <w:rsid w:val="00DD3324"/>
    <w:rsid w:val="00DD63C7"/>
    <w:rsid w:val="00DE6CD7"/>
    <w:rsid w:val="00DE6FD4"/>
    <w:rsid w:val="00DE7548"/>
    <w:rsid w:val="00DF3421"/>
    <w:rsid w:val="00DF55F7"/>
    <w:rsid w:val="00E00E0C"/>
    <w:rsid w:val="00E04949"/>
    <w:rsid w:val="00E0527F"/>
    <w:rsid w:val="00E06EB8"/>
    <w:rsid w:val="00E07CBE"/>
    <w:rsid w:val="00E112F1"/>
    <w:rsid w:val="00E12490"/>
    <w:rsid w:val="00E1464C"/>
    <w:rsid w:val="00E151C9"/>
    <w:rsid w:val="00E156B7"/>
    <w:rsid w:val="00E17343"/>
    <w:rsid w:val="00E24F86"/>
    <w:rsid w:val="00E3478B"/>
    <w:rsid w:val="00E37067"/>
    <w:rsid w:val="00E37573"/>
    <w:rsid w:val="00E40586"/>
    <w:rsid w:val="00E405A3"/>
    <w:rsid w:val="00E4348A"/>
    <w:rsid w:val="00E44F30"/>
    <w:rsid w:val="00E46EAD"/>
    <w:rsid w:val="00E50DBE"/>
    <w:rsid w:val="00E55DAD"/>
    <w:rsid w:val="00E65094"/>
    <w:rsid w:val="00E66408"/>
    <w:rsid w:val="00E71FF4"/>
    <w:rsid w:val="00E73CD6"/>
    <w:rsid w:val="00E917D8"/>
    <w:rsid w:val="00E92D6C"/>
    <w:rsid w:val="00EA0526"/>
    <w:rsid w:val="00EA12BF"/>
    <w:rsid w:val="00EA3DBB"/>
    <w:rsid w:val="00EA47E6"/>
    <w:rsid w:val="00EB00FC"/>
    <w:rsid w:val="00EC5260"/>
    <w:rsid w:val="00EC6477"/>
    <w:rsid w:val="00ED1650"/>
    <w:rsid w:val="00ED4517"/>
    <w:rsid w:val="00EE6AC1"/>
    <w:rsid w:val="00EF0761"/>
    <w:rsid w:val="00EF37EE"/>
    <w:rsid w:val="00F11286"/>
    <w:rsid w:val="00F15C16"/>
    <w:rsid w:val="00F179C9"/>
    <w:rsid w:val="00F206BB"/>
    <w:rsid w:val="00F22ADC"/>
    <w:rsid w:val="00F25A2C"/>
    <w:rsid w:val="00F34A59"/>
    <w:rsid w:val="00F34FEE"/>
    <w:rsid w:val="00F405A1"/>
    <w:rsid w:val="00F42805"/>
    <w:rsid w:val="00F442AC"/>
    <w:rsid w:val="00F463F2"/>
    <w:rsid w:val="00F5642E"/>
    <w:rsid w:val="00F5660F"/>
    <w:rsid w:val="00F56A23"/>
    <w:rsid w:val="00F63BE5"/>
    <w:rsid w:val="00F65945"/>
    <w:rsid w:val="00F71B03"/>
    <w:rsid w:val="00F818BC"/>
    <w:rsid w:val="00F8446D"/>
    <w:rsid w:val="00F8506A"/>
    <w:rsid w:val="00F86636"/>
    <w:rsid w:val="00F92E4E"/>
    <w:rsid w:val="00F93EBA"/>
    <w:rsid w:val="00FA0975"/>
    <w:rsid w:val="00FA18AE"/>
    <w:rsid w:val="00FA51C8"/>
    <w:rsid w:val="00FB068E"/>
    <w:rsid w:val="00FB0B83"/>
    <w:rsid w:val="00FB0B90"/>
    <w:rsid w:val="00FB0F60"/>
    <w:rsid w:val="00FD3213"/>
    <w:rsid w:val="00FE083B"/>
    <w:rsid w:val="00FE22E8"/>
    <w:rsid w:val="00FF4C3E"/>
    <w:rsid w:val="00FF7324"/>
    <w:rsid w:val="3CE43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eastAsia="宋体" w:asciiTheme="minorHAnsi" w:hAnsiTheme="minorHAnsi" w:cstheme="minorBidi"/>
      <w:kern w:val="2"/>
      <w:sz w:val="28"/>
      <w:szCs w:val="22"/>
      <w:lang w:val="en-US" w:eastAsia="zh-CN" w:bidi="ar-SA"/>
    </w:rPr>
  </w:style>
  <w:style w:type="paragraph" w:styleId="2">
    <w:name w:val="heading 1"/>
    <w:basedOn w:val="1"/>
    <w:next w:val="1"/>
    <w:link w:val="10"/>
    <w:qFormat/>
    <w:uiPriority w:val="9"/>
    <w:pPr>
      <w:keepNext/>
      <w:keepLines/>
      <w:spacing w:before="340" w:after="330" w:line="578" w:lineRule="auto"/>
      <w:jc w:val="center"/>
      <w:outlineLvl w:val="0"/>
    </w:pPr>
    <w:rPr>
      <w:rFonts w:eastAsia="黑体"/>
      <w:bCs/>
      <w:kern w:val="44"/>
      <w:sz w:val="32"/>
      <w:szCs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2"/>
    <w:semiHidden/>
    <w:unhideWhenUsed/>
    <w:uiPriority w:val="99"/>
    <w:pPr>
      <w:jc w:val="left"/>
    </w:pPr>
  </w:style>
  <w:style w:type="paragraph" w:styleId="4">
    <w:name w:val="footer"/>
    <w:basedOn w:val="1"/>
    <w:link w:val="17"/>
    <w:unhideWhenUsed/>
    <w:uiPriority w:val="99"/>
    <w:pPr>
      <w:tabs>
        <w:tab w:val="center" w:pos="4153"/>
        <w:tab w:val="right" w:pos="8306"/>
      </w:tabs>
      <w:snapToGrid w:val="0"/>
      <w:spacing w:line="240" w:lineRule="atLeast"/>
      <w:jc w:val="left"/>
    </w:pPr>
    <w:rPr>
      <w:sz w:val="18"/>
      <w:szCs w:val="18"/>
    </w:rPr>
  </w:style>
  <w:style w:type="paragraph" w:styleId="5">
    <w:name w:val="header"/>
    <w:basedOn w:val="1"/>
    <w:link w:val="16"/>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annotation subject"/>
    <w:basedOn w:val="3"/>
    <w:next w:val="3"/>
    <w:link w:val="13"/>
    <w:semiHidden/>
    <w:unhideWhenUsed/>
    <w:uiPriority w:val="99"/>
    <w:rPr>
      <w:b/>
      <w:bCs/>
    </w:rPr>
  </w:style>
  <w:style w:type="character" w:styleId="9">
    <w:name w:val="annotation reference"/>
    <w:basedOn w:val="8"/>
    <w:semiHidden/>
    <w:unhideWhenUsed/>
    <w:uiPriority w:val="99"/>
    <w:rPr>
      <w:sz w:val="21"/>
      <w:szCs w:val="21"/>
    </w:rPr>
  </w:style>
  <w:style w:type="character" w:customStyle="1" w:styleId="10">
    <w:name w:val="标题 1 字符"/>
    <w:basedOn w:val="8"/>
    <w:link w:val="2"/>
    <w:uiPriority w:val="9"/>
    <w:rPr>
      <w:rFonts w:eastAsia="黑体"/>
      <w:bCs/>
      <w:kern w:val="44"/>
      <w:sz w:val="32"/>
      <w:szCs w:val="44"/>
    </w:rPr>
  </w:style>
  <w:style w:type="paragraph" w:styleId="11">
    <w:name w:val="List Paragraph"/>
    <w:basedOn w:val="1"/>
    <w:qFormat/>
    <w:uiPriority w:val="34"/>
    <w:pPr>
      <w:ind w:firstLine="420"/>
    </w:pPr>
  </w:style>
  <w:style w:type="character" w:customStyle="1" w:styleId="12">
    <w:name w:val="批注文字 字符"/>
    <w:basedOn w:val="8"/>
    <w:link w:val="3"/>
    <w:semiHidden/>
    <w:uiPriority w:val="99"/>
    <w:rPr>
      <w:rFonts w:eastAsia="宋体"/>
      <w:sz w:val="28"/>
    </w:rPr>
  </w:style>
  <w:style w:type="character" w:customStyle="1" w:styleId="13">
    <w:name w:val="批注主题 字符"/>
    <w:basedOn w:val="12"/>
    <w:link w:val="6"/>
    <w:semiHidden/>
    <w:uiPriority w:val="99"/>
    <w:rPr>
      <w:rFonts w:eastAsia="宋体"/>
      <w:b/>
      <w:bCs/>
      <w:sz w:val="28"/>
    </w:rPr>
  </w:style>
  <w:style w:type="character" w:customStyle="1" w:styleId="14">
    <w:name w:val="fontstyle01"/>
    <w:basedOn w:val="8"/>
    <w:uiPriority w:val="0"/>
    <w:rPr>
      <w:rFonts w:hint="default" w:ascii="CDCDEE" w:hAnsi="CDCDEE"/>
      <w:color w:val="000000"/>
      <w:sz w:val="30"/>
      <w:szCs w:val="30"/>
    </w:rPr>
  </w:style>
  <w:style w:type="character" w:customStyle="1" w:styleId="15">
    <w:name w:val="fontstyle11"/>
    <w:basedOn w:val="8"/>
    <w:uiPriority w:val="0"/>
    <w:rPr>
      <w:rFonts w:hint="default" w:ascii="DDCDEE" w:hAnsi="DDCDEE"/>
      <w:color w:val="000000"/>
      <w:sz w:val="30"/>
      <w:szCs w:val="30"/>
    </w:rPr>
  </w:style>
  <w:style w:type="character" w:customStyle="1" w:styleId="16">
    <w:name w:val="页眉 字符"/>
    <w:basedOn w:val="8"/>
    <w:link w:val="5"/>
    <w:uiPriority w:val="99"/>
    <w:rPr>
      <w:rFonts w:eastAsia="宋体"/>
      <w:sz w:val="18"/>
      <w:szCs w:val="18"/>
    </w:rPr>
  </w:style>
  <w:style w:type="character" w:customStyle="1" w:styleId="17">
    <w:name w:val="页脚 字符"/>
    <w:basedOn w:val="8"/>
    <w:link w:val="4"/>
    <w:uiPriority w:val="99"/>
    <w:rPr>
      <w:rFonts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634</Words>
  <Characters>3619</Characters>
  <Lines>30</Lines>
  <Paragraphs>8</Paragraphs>
  <TotalTime>3959</TotalTime>
  <ScaleCrop>false</ScaleCrop>
  <LinksUpToDate>false</LinksUpToDate>
  <CharactersWithSpaces>4245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2021-01-21T03:48:00Z</dcterms:created>
  <dc:creator>hby</dc:creator>
  <cp:lastModifiedBy>林粤</cp:lastModifiedBy>
  <cp:lastPrinted>2021-03-15T02:00:00Z</cp:lastPrinted>
  <dcterms:modified xsi:type="dcterms:W3CDTF">2021-03-17T08:10:13Z</dcterms:modified>
  <cp:revision>1497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