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240"/>
        </w:tabs>
        <w:spacing w:line="560" w:lineRule="exact"/>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附件</w:t>
      </w:r>
    </w:p>
    <w:p>
      <w:pPr>
        <w:spacing w:line="560" w:lineRule="exact"/>
        <w:jc w:val="center"/>
        <w:rPr>
          <w:rFonts w:ascii="仿宋_GB2312" w:hAnsi="宋体" w:eastAsia="仿宋_GB2312" w:cs="宋体"/>
          <w:bCs/>
          <w:color w:val="auto"/>
          <w:sz w:val="32"/>
          <w:szCs w:val="32"/>
        </w:rPr>
      </w:pPr>
    </w:p>
    <w:p>
      <w:pPr>
        <w:spacing w:line="560" w:lineRule="exact"/>
        <w:jc w:val="center"/>
        <w:rPr>
          <w:rFonts w:hint="eastAsia"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汕头市基本医疗保险病种分值确定方法</w:t>
      </w:r>
    </w:p>
    <w:p>
      <w:pPr>
        <w:spacing w:line="560" w:lineRule="exact"/>
        <w:jc w:val="center"/>
        <w:rPr>
          <w:rFonts w:ascii="仿宋_GB2312" w:hAnsi="宋体" w:eastAsia="仿宋_GB2312" w:cs="宋体"/>
          <w:bCs/>
          <w:color w:val="auto"/>
          <w:sz w:val="32"/>
          <w:szCs w:val="32"/>
        </w:rPr>
      </w:pPr>
    </w:p>
    <w:p>
      <w:pPr>
        <w:spacing w:line="560" w:lineRule="exact"/>
        <w:ind w:firstLine="640"/>
        <w:rPr>
          <w:rFonts w:ascii="仿宋_GB2312" w:hAnsi="仿宋" w:eastAsia="仿宋_GB2312" w:cs="仿宋"/>
          <w:bCs/>
          <w:color w:val="auto"/>
          <w:sz w:val="32"/>
          <w:szCs w:val="32"/>
        </w:rPr>
      </w:pPr>
      <w:r>
        <w:rPr>
          <w:rFonts w:hint="eastAsia" w:ascii="仿宋_GB2312" w:hAnsi="仿宋" w:eastAsia="仿宋_GB2312" w:cs="仿宋"/>
          <w:color w:val="auto"/>
          <w:sz w:val="32"/>
          <w:szCs w:val="32"/>
        </w:rPr>
        <w:t>为做好我市基本医疗保险病种分值结算工作，根据《汕头市基本医疗保险医疗费用结算办法》的规定，</w:t>
      </w:r>
      <w:r>
        <w:rPr>
          <w:rFonts w:hint="eastAsia" w:ascii="仿宋_GB2312" w:hAnsi="仿宋" w:eastAsia="仿宋_GB2312" w:cs="仿宋"/>
          <w:bCs/>
          <w:color w:val="auto"/>
          <w:sz w:val="32"/>
          <w:szCs w:val="32"/>
        </w:rPr>
        <w:t>病种分值的确定按本方法执行。</w:t>
      </w:r>
    </w:p>
    <w:p>
      <w:pPr>
        <w:spacing w:line="560" w:lineRule="exact"/>
        <w:ind w:firstLine="640"/>
        <w:rPr>
          <w:rFonts w:ascii="仿宋_GB2312" w:hAnsi="仿宋" w:eastAsia="仿宋_GB2312" w:cs="仿宋"/>
          <w:bCs/>
          <w:color w:val="auto"/>
          <w:sz w:val="32"/>
          <w:szCs w:val="32"/>
        </w:rPr>
      </w:pPr>
      <w:r>
        <w:rPr>
          <w:rFonts w:hint="eastAsia" w:ascii="仿宋_GB2312" w:hAnsi="仿宋" w:eastAsia="仿宋_GB2312" w:cs="仿宋"/>
          <w:bCs/>
          <w:color w:val="auto"/>
          <w:sz w:val="32"/>
          <w:szCs w:val="32"/>
        </w:rPr>
        <w:t>一、病种分值按以下方式确定：</w:t>
      </w:r>
    </w:p>
    <w:p>
      <w:pPr>
        <w:spacing w:line="560" w:lineRule="exact"/>
        <w:ind w:firstLine="640"/>
        <w:rPr>
          <w:rFonts w:ascii="仿宋_GB2312" w:hAnsi="仿宋" w:eastAsia="仿宋_GB2312" w:cs="仿宋"/>
          <w:bCs/>
          <w:color w:val="auto"/>
          <w:sz w:val="32"/>
          <w:szCs w:val="32"/>
        </w:rPr>
      </w:pPr>
      <w:r>
        <w:rPr>
          <w:rFonts w:hint="eastAsia" w:ascii="仿宋_GB2312" w:hAnsi="仿宋" w:eastAsia="仿宋_GB2312" w:cs="仿宋"/>
          <w:bCs/>
          <w:color w:val="auto"/>
          <w:sz w:val="32"/>
          <w:szCs w:val="32"/>
        </w:rPr>
        <w:t>（一）根据各定点医疗机构上年度出院参保人病历资料，按出院的临床第一诊断（主要诊断）病种发生频率（年发生大于10例）、按国际疾病分类ICD-10编码小数点后1位（亚目）筛选出常见病、多发病病种，结合治疗方法分别计算出各病种的次均住院基本医疗费用（下称次均住院费用）。</w:t>
      </w:r>
    </w:p>
    <w:p>
      <w:pPr>
        <w:spacing w:line="560" w:lineRule="exact"/>
        <w:ind w:firstLine="640"/>
        <w:rPr>
          <w:rFonts w:ascii="仿宋_GB2312" w:hAnsi="仿宋" w:eastAsia="仿宋_GB2312" w:cs="仿宋"/>
          <w:bCs/>
          <w:color w:val="auto"/>
          <w:sz w:val="32"/>
          <w:szCs w:val="32"/>
        </w:rPr>
      </w:pPr>
      <w:r>
        <w:rPr>
          <w:rFonts w:hint="eastAsia" w:ascii="仿宋_GB2312" w:hAnsi="仿宋" w:eastAsia="仿宋_GB2312" w:cs="仿宋"/>
          <w:bCs/>
          <w:color w:val="auto"/>
          <w:sz w:val="32"/>
          <w:szCs w:val="32"/>
        </w:rPr>
        <w:t>未纳入上述按分值结算的病种视为一个特别病种。</w:t>
      </w:r>
    </w:p>
    <w:p>
      <w:pPr>
        <w:spacing w:line="560" w:lineRule="exact"/>
        <w:ind w:firstLine="640"/>
        <w:rPr>
          <w:rFonts w:ascii="仿宋_GB2312" w:hAnsi="仿宋" w:eastAsia="仿宋_GB2312" w:cs="仿宋"/>
          <w:bCs/>
          <w:color w:val="auto"/>
          <w:sz w:val="32"/>
          <w:szCs w:val="32"/>
        </w:rPr>
      </w:pPr>
      <w:r>
        <w:rPr>
          <w:rFonts w:hint="eastAsia" w:ascii="仿宋_GB2312" w:hAnsi="仿宋" w:eastAsia="仿宋_GB2312" w:cs="仿宋"/>
          <w:bCs/>
          <w:color w:val="auto"/>
          <w:sz w:val="32"/>
          <w:szCs w:val="32"/>
        </w:rPr>
        <w:t>（二）统计已确定病种上年度实际发生的住院基本医疗费用，剔除每一病种费用最高的2.5%及费用最低的2.5%病例后，取剩余病例的次均住院费用作为该病种的次均住院费用基准值，除以固定参数，经四舍五入整取后得出每一病种的初步分值。</w:t>
      </w:r>
    </w:p>
    <w:p>
      <w:pPr>
        <w:spacing w:line="560" w:lineRule="exact"/>
        <w:ind w:firstLine="640" w:firstLineChars="200"/>
        <w:rPr>
          <w:rFonts w:ascii="仿宋_GB2312" w:hAnsi="仿宋" w:eastAsia="仿宋_GB2312" w:cs="仿宋"/>
          <w:bCs/>
          <w:color w:val="auto"/>
          <w:sz w:val="32"/>
          <w:szCs w:val="32"/>
        </w:rPr>
      </w:pPr>
      <w:r>
        <w:rPr>
          <w:rFonts w:hint="eastAsia" w:ascii="仿宋_GB2312" w:hAnsi="仿宋" w:eastAsia="仿宋_GB2312" w:cs="仿宋"/>
          <w:bCs/>
          <w:color w:val="auto"/>
          <w:sz w:val="32"/>
          <w:szCs w:val="32"/>
        </w:rPr>
        <w:t>病种的初步分值=病种的次均住院费用÷固定参数</w:t>
      </w:r>
    </w:p>
    <w:p>
      <w:pPr>
        <w:numPr>
          <w:ilvl w:val="0"/>
          <w:numId w:val="1"/>
        </w:numPr>
        <w:spacing w:line="560" w:lineRule="exact"/>
        <w:ind w:firstLine="640" w:firstLineChars="200"/>
        <w:rPr>
          <w:rFonts w:ascii="仿宋_GB2312" w:hAnsi="仿宋" w:eastAsia="仿宋_GB2312" w:cs="仿宋"/>
          <w:bCs/>
          <w:color w:val="auto"/>
          <w:sz w:val="32"/>
          <w:szCs w:val="32"/>
        </w:rPr>
      </w:pPr>
      <w:r>
        <w:rPr>
          <w:rFonts w:hint="eastAsia" w:ascii="仿宋_GB2312" w:hAnsi="仿宋" w:eastAsia="仿宋_GB2312" w:cs="仿宋"/>
          <w:bCs/>
          <w:color w:val="auto"/>
          <w:sz w:val="32"/>
          <w:szCs w:val="32"/>
        </w:rPr>
        <w:t>将病种的初步分值向各定点医疗机构公布、说明及广泛征求意见，根据各定点医疗机构的修改或认可的分值进行修正，得出病种的修正分值；再对病种的修正分值进行纠偏，得出的分值作为用以结算的病种分值。</w:t>
      </w:r>
    </w:p>
    <w:p>
      <w:pPr>
        <w:spacing w:line="560" w:lineRule="exact"/>
        <w:ind w:firstLine="640" w:firstLineChars="200"/>
        <w:rPr>
          <w:rFonts w:ascii="仿宋_GB2312" w:hAnsi="仿宋" w:eastAsia="仿宋_GB2312" w:cs="仿宋"/>
          <w:bCs/>
          <w:color w:val="auto"/>
          <w:sz w:val="32"/>
          <w:szCs w:val="32"/>
        </w:rPr>
      </w:pPr>
      <w:r>
        <w:rPr>
          <w:rFonts w:hint="eastAsia" w:ascii="仿宋_GB2312" w:hAnsi="仿宋" w:eastAsia="仿宋_GB2312" w:cs="仿宋"/>
          <w:color w:val="auto"/>
          <w:sz w:val="32"/>
          <w:szCs w:val="32"/>
        </w:rPr>
        <w:t>二、精神病患者在精神专科定点医疗机构住院医疗费用按床日</w:t>
      </w:r>
      <w:r>
        <w:rPr>
          <w:rFonts w:hint="eastAsia" w:ascii="仿宋_GB2312" w:hAnsi="仿宋" w:eastAsia="仿宋_GB2312" w:cs="仿宋"/>
          <w:bCs/>
          <w:color w:val="auto"/>
          <w:sz w:val="32"/>
          <w:szCs w:val="32"/>
        </w:rPr>
        <w:t>计算日均基本医疗费用（下称住院床日费用），并按以下公式确定其分值：</w:t>
      </w:r>
    </w:p>
    <w:p>
      <w:pPr>
        <w:spacing w:line="560" w:lineRule="exact"/>
        <w:ind w:firstLine="640" w:firstLineChars="200"/>
        <w:rPr>
          <w:rFonts w:ascii="仿宋_GB2312" w:hAnsi="仿宋" w:eastAsia="仿宋_GB2312" w:cs="仿宋"/>
          <w:bCs/>
          <w:color w:val="auto"/>
          <w:sz w:val="32"/>
          <w:szCs w:val="32"/>
        </w:rPr>
      </w:pPr>
      <w:r>
        <w:rPr>
          <w:rFonts w:hint="eastAsia" w:ascii="仿宋_GB2312" w:hAnsi="仿宋" w:eastAsia="仿宋_GB2312" w:cs="仿宋"/>
          <w:bCs/>
          <w:color w:val="auto"/>
          <w:sz w:val="32"/>
          <w:szCs w:val="32"/>
        </w:rPr>
        <w:t>住院床日费用分值=累计住院基本医疗费用÷累计住院人次及天数÷固定参数</w:t>
      </w:r>
    </w:p>
    <w:p>
      <w:pPr>
        <w:spacing w:line="560" w:lineRule="exact"/>
        <w:ind w:firstLine="640" w:firstLineChars="200"/>
        <w:rPr>
          <w:rFonts w:ascii="仿宋_GB2312" w:hAnsi="仿宋" w:eastAsia="仿宋_GB2312" w:cs="仿宋"/>
          <w:bCs/>
          <w:color w:val="auto"/>
          <w:sz w:val="32"/>
          <w:szCs w:val="32"/>
        </w:rPr>
      </w:pPr>
      <w:r>
        <w:rPr>
          <w:rFonts w:hint="eastAsia" w:ascii="仿宋_GB2312" w:hAnsi="仿宋" w:eastAsia="仿宋_GB2312" w:cs="仿宋"/>
          <w:bCs/>
          <w:color w:val="auto"/>
          <w:sz w:val="32"/>
          <w:szCs w:val="32"/>
        </w:rPr>
        <w:t>三、当次发生的住院基本医疗费用等于或高于该病种上年度住院结算费用2.5倍的病例（费用偏差病例），按以下公式确定其病种分值：</w:t>
      </w:r>
    </w:p>
    <w:p>
      <w:pPr>
        <w:spacing w:line="560" w:lineRule="exact"/>
        <w:ind w:firstLine="640" w:firstLineChars="200"/>
        <w:rPr>
          <w:rFonts w:ascii="仿宋_GB2312" w:hAnsi="仿宋" w:eastAsia="仿宋_GB2312" w:cs="仿宋"/>
          <w:bCs/>
          <w:color w:val="auto"/>
          <w:sz w:val="32"/>
          <w:szCs w:val="32"/>
        </w:rPr>
      </w:pPr>
      <w:r>
        <w:rPr>
          <w:rFonts w:hint="eastAsia" w:ascii="仿宋_GB2312" w:hAnsi="仿宋" w:eastAsia="仿宋_GB2312" w:cs="仿宋"/>
          <w:bCs/>
          <w:color w:val="auto"/>
          <w:sz w:val="32"/>
          <w:szCs w:val="32"/>
        </w:rPr>
        <w:t>（一）非基层病种</w:t>
      </w:r>
    </w:p>
    <w:p>
      <w:pPr>
        <w:spacing w:line="560" w:lineRule="exact"/>
        <w:ind w:firstLine="640" w:firstLineChars="200"/>
        <w:rPr>
          <w:rFonts w:ascii="仿宋_GB2312" w:hAnsi="仿宋" w:eastAsia="仿宋_GB2312" w:cs="仿宋"/>
          <w:bCs/>
          <w:color w:val="auto"/>
          <w:sz w:val="32"/>
          <w:szCs w:val="32"/>
        </w:rPr>
      </w:pPr>
      <w:r>
        <w:rPr>
          <w:rFonts w:hint="eastAsia" w:ascii="仿宋_GB2312" w:hAnsi="仿宋" w:eastAsia="仿宋_GB2312" w:cs="仿宋"/>
          <w:bCs/>
          <w:color w:val="auto"/>
          <w:sz w:val="32"/>
          <w:szCs w:val="32"/>
        </w:rPr>
        <w:t>分值=［（该病例当次住院基本医疗费用÷上年度该同一权重系数定点医疗机构该病种的结算费用）-2.5+1］×原该病种分值</w:t>
      </w:r>
    </w:p>
    <w:p>
      <w:pPr>
        <w:spacing w:line="560" w:lineRule="exact"/>
        <w:ind w:firstLine="640"/>
        <w:rPr>
          <w:rFonts w:ascii="仿宋_GB2312" w:hAnsi="仿宋" w:eastAsia="仿宋_GB2312" w:cs="仿宋"/>
          <w:bCs/>
          <w:color w:val="auto"/>
          <w:sz w:val="32"/>
          <w:szCs w:val="32"/>
        </w:rPr>
      </w:pPr>
      <w:r>
        <w:rPr>
          <w:rFonts w:hint="eastAsia" w:ascii="仿宋_GB2312" w:hAnsi="仿宋" w:eastAsia="仿宋_GB2312" w:cs="仿宋"/>
          <w:bCs/>
          <w:color w:val="auto"/>
          <w:sz w:val="32"/>
          <w:szCs w:val="32"/>
        </w:rPr>
        <w:t>当次发生的住院基本医疗费用等于或低于该病种上年度住院结算费用40%的病例，按以下公式确定其病种分值：</w:t>
      </w:r>
    </w:p>
    <w:p>
      <w:pPr>
        <w:spacing w:line="560" w:lineRule="exact"/>
        <w:ind w:firstLine="640" w:firstLineChars="200"/>
        <w:rPr>
          <w:rFonts w:ascii="仿宋_GB2312" w:hAnsi="仿宋" w:eastAsia="仿宋_GB2312" w:cs="仿宋"/>
          <w:bCs/>
          <w:color w:val="auto"/>
          <w:sz w:val="32"/>
          <w:szCs w:val="32"/>
        </w:rPr>
      </w:pPr>
      <w:r>
        <w:rPr>
          <w:rFonts w:hint="eastAsia" w:ascii="仿宋_GB2312" w:hAnsi="仿宋" w:eastAsia="仿宋_GB2312" w:cs="仿宋"/>
          <w:bCs/>
          <w:color w:val="auto"/>
          <w:sz w:val="32"/>
          <w:szCs w:val="32"/>
        </w:rPr>
        <w:t>分值=该病例当次住院基本医疗费用÷上年度同一权重系数定点医疗机构该病种的结算费用×原该病种分值</w:t>
      </w:r>
    </w:p>
    <w:p>
      <w:pPr>
        <w:spacing w:line="560" w:lineRule="exact"/>
        <w:ind w:firstLine="640" w:firstLineChars="200"/>
        <w:rPr>
          <w:rFonts w:ascii="仿宋_GB2312" w:hAnsi="仿宋" w:eastAsia="仿宋_GB2312" w:cs="仿宋"/>
          <w:bCs/>
          <w:color w:val="auto"/>
          <w:sz w:val="32"/>
          <w:szCs w:val="32"/>
        </w:rPr>
      </w:pPr>
      <w:r>
        <w:rPr>
          <w:rFonts w:hint="eastAsia" w:ascii="仿宋_GB2312" w:hAnsi="仿宋" w:eastAsia="仿宋_GB2312" w:cs="仿宋"/>
          <w:bCs/>
          <w:color w:val="auto"/>
          <w:sz w:val="32"/>
          <w:szCs w:val="32"/>
        </w:rPr>
        <w:t>结算费用=病种分值×权重系数×上年度每分基本医疗费用单价（全市上年度按病种分值结算的基本医疗费用总额/全市上年度定点医疗机构总分值之和）</w:t>
      </w:r>
    </w:p>
    <w:p>
      <w:pPr>
        <w:numPr>
          <w:ilvl w:val="0"/>
          <w:numId w:val="2"/>
        </w:numPr>
        <w:spacing w:line="560" w:lineRule="exact"/>
        <w:ind w:firstLine="640" w:firstLineChars="200"/>
        <w:rPr>
          <w:rFonts w:ascii="仿宋_GB2312" w:hAnsi="仿宋" w:eastAsia="仿宋_GB2312" w:cs="仿宋"/>
          <w:bCs/>
          <w:color w:val="auto"/>
          <w:sz w:val="32"/>
          <w:szCs w:val="32"/>
        </w:rPr>
      </w:pPr>
      <w:r>
        <w:rPr>
          <w:rFonts w:hint="eastAsia" w:ascii="仿宋_GB2312" w:hAnsi="仿宋" w:eastAsia="仿宋_GB2312" w:cs="仿宋"/>
          <w:bCs/>
          <w:color w:val="auto"/>
          <w:sz w:val="32"/>
          <w:szCs w:val="32"/>
        </w:rPr>
        <w:t>基层病种</w:t>
      </w:r>
    </w:p>
    <w:p>
      <w:pPr>
        <w:spacing w:line="560" w:lineRule="exact"/>
        <w:ind w:firstLine="640" w:firstLineChars="200"/>
        <w:rPr>
          <w:rFonts w:ascii="仿宋_GB2312" w:hAnsi="仿宋" w:eastAsia="仿宋_GB2312" w:cs="仿宋"/>
          <w:bCs/>
          <w:color w:val="auto"/>
          <w:sz w:val="32"/>
          <w:szCs w:val="32"/>
        </w:rPr>
      </w:pPr>
      <w:r>
        <w:rPr>
          <w:rFonts w:hint="eastAsia" w:ascii="仿宋_GB2312" w:hAnsi="仿宋" w:eastAsia="仿宋_GB2312" w:cs="仿宋"/>
          <w:bCs/>
          <w:color w:val="auto"/>
          <w:sz w:val="32"/>
          <w:szCs w:val="32"/>
        </w:rPr>
        <w:t>分值=［（该病例当次住院基本医疗费用÷上年度该病种的结算费用）-2.5+1］×原该病种分值</w:t>
      </w:r>
    </w:p>
    <w:p>
      <w:pPr>
        <w:spacing w:line="560" w:lineRule="exact"/>
        <w:ind w:firstLine="640"/>
        <w:rPr>
          <w:rFonts w:ascii="仿宋_GB2312" w:hAnsi="仿宋" w:eastAsia="仿宋_GB2312" w:cs="仿宋"/>
          <w:bCs/>
          <w:color w:val="auto"/>
          <w:sz w:val="32"/>
          <w:szCs w:val="32"/>
        </w:rPr>
      </w:pPr>
      <w:r>
        <w:rPr>
          <w:rFonts w:hint="eastAsia" w:ascii="仿宋_GB2312" w:hAnsi="仿宋" w:eastAsia="仿宋_GB2312" w:cs="仿宋"/>
          <w:bCs/>
          <w:color w:val="auto"/>
          <w:sz w:val="32"/>
          <w:szCs w:val="32"/>
        </w:rPr>
        <w:t>当次发生的住院基本医疗费用等于或低于该病种上年度住院结算费用40%的病例，按以下公式确定其病种分值：</w:t>
      </w:r>
    </w:p>
    <w:p>
      <w:pPr>
        <w:spacing w:line="560" w:lineRule="exact"/>
        <w:ind w:firstLine="640" w:firstLineChars="200"/>
        <w:rPr>
          <w:rFonts w:ascii="仿宋_GB2312" w:hAnsi="仿宋" w:eastAsia="仿宋_GB2312" w:cs="仿宋"/>
          <w:bCs/>
          <w:color w:val="auto"/>
          <w:sz w:val="32"/>
          <w:szCs w:val="32"/>
        </w:rPr>
      </w:pPr>
      <w:r>
        <w:rPr>
          <w:rFonts w:hint="eastAsia" w:ascii="仿宋_GB2312" w:hAnsi="仿宋" w:eastAsia="仿宋_GB2312" w:cs="仿宋"/>
          <w:bCs/>
          <w:color w:val="auto"/>
          <w:sz w:val="32"/>
          <w:szCs w:val="32"/>
        </w:rPr>
        <w:t>分值=该病例当次住院基本医疗费用÷上年度该病种的结算费用×原该病种分值</w:t>
      </w:r>
    </w:p>
    <w:p>
      <w:pPr>
        <w:spacing w:line="560" w:lineRule="exact"/>
        <w:ind w:firstLine="640" w:firstLineChars="200"/>
        <w:rPr>
          <w:rFonts w:ascii="仿宋_GB2312" w:hAnsi="仿宋" w:eastAsia="仿宋_GB2312" w:cs="仿宋"/>
          <w:bCs/>
          <w:color w:val="auto"/>
          <w:sz w:val="32"/>
          <w:szCs w:val="32"/>
        </w:rPr>
      </w:pPr>
      <w:r>
        <w:rPr>
          <w:rFonts w:hint="eastAsia" w:ascii="仿宋_GB2312" w:hAnsi="仿宋" w:eastAsia="仿宋_GB2312" w:cs="仿宋"/>
          <w:bCs/>
          <w:color w:val="auto"/>
          <w:sz w:val="32"/>
          <w:szCs w:val="32"/>
        </w:rPr>
        <w:t>结算费用=病种分值×上年度每分基本医疗费用单价（全市上年度按病种分值结算的基本医疗费用总额/全市上年度定点医疗机构总分值之和）</w:t>
      </w:r>
    </w:p>
    <w:p>
      <w:pPr>
        <w:spacing w:line="560" w:lineRule="exact"/>
        <w:ind w:firstLine="640" w:firstLineChars="200"/>
        <w:rPr>
          <w:rFonts w:ascii="仿宋_GB2312" w:hAnsi="仿宋" w:eastAsia="仿宋_GB2312" w:cs="仿宋"/>
          <w:bCs/>
          <w:color w:val="auto"/>
          <w:sz w:val="32"/>
          <w:szCs w:val="32"/>
        </w:rPr>
      </w:pPr>
      <w:r>
        <w:rPr>
          <w:rFonts w:hint="eastAsia" w:ascii="仿宋_GB2312" w:hAnsi="仿宋" w:eastAsia="仿宋_GB2312" w:cs="仿宋"/>
          <w:bCs/>
          <w:color w:val="auto"/>
          <w:sz w:val="32"/>
          <w:szCs w:val="32"/>
        </w:rPr>
        <w:t>四、定点医疗机构要按照规定规范做好病案首页填报和疾病编码匹配工作，及时上传病案首页，按ICD-10亚目及诊治方式匹配相应的分值。诊治方式应根据诊治编码库中相应的编码规范对应，其中，未出现在诊治编码库的手术及操作统一对应为“保守治疗”，病种库中未列出的ICD-10亚目统一对应为“特别病种”。</w:t>
      </w:r>
    </w:p>
    <w:p>
      <w:pPr>
        <w:spacing w:line="560" w:lineRule="exact"/>
        <w:ind w:firstLine="640" w:firstLineChars="200"/>
        <w:rPr>
          <w:rFonts w:ascii="仿宋_GB2312" w:hAnsi="仿宋" w:eastAsia="仿宋_GB2312" w:cs="仿宋"/>
          <w:bCs/>
          <w:color w:val="auto"/>
          <w:sz w:val="32"/>
          <w:szCs w:val="32"/>
        </w:rPr>
      </w:pPr>
      <w:r>
        <w:rPr>
          <w:rFonts w:hint="eastAsia" w:ascii="仿宋_GB2312" w:hAnsi="仿宋" w:eastAsia="仿宋_GB2312" w:cs="仿宋"/>
          <w:bCs/>
          <w:color w:val="auto"/>
          <w:sz w:val="32"/>
          <w:szCs w:val="32"/>
        </w:rPr>
        <w:t>五、病种分值一经确定，一个年度内不再改变。如因医疗技术发展、新药发明等原因，导致部分病种医疗费用明显偏离时，由定点医疗机构在上一年度清算后１个月内提出申请；市医疗保障局联合市卫生健康局组织医疗专家组重新评估后确定下一年度的病种分值。</w:t>
      </w:r>
    </w:p>
    <w:p>
      <w:pPr>
        <w:tabs>
          <w:tab w:val="left" w:pos="2240"/>
        </w:tabs>
        <w:spacing w:line="560" w:lineRule="exact"/>
        <w:ind w:firstLine="640" w:firstLineChars="200"/>
        <w:rPr>
          <w:rFonts w:hint="default" w:ascii="仿宋_GB2312" w:hAnsi="仿宋" w:eastAsia="仿宋_GB2312" w:cs="仿宋"/>
          <w:bCs/>
          <w:color w:val="auto"/>
          <w:sz w:val="32"/>
          <w:szCs w:val="32"/>
          <w:lang w:eastAsia="zh-CN"/>
        </w:rPr>
      </w:pPr>
      <w:r>
        <w:rPr>
          <w:rFonts w:hint="eastAsia" w:ascii="仿宋_GB2312" w:hAnsi="仿宋" w:eastAsia="仿宋_GB2312" w:cs="仿宋"/>
          <w:bCs/>
          <w:color w:val="auto"/>
          <w:sz w:val="32"/>
          <w:szCs w:val="32"/>
        </w:rPr>
        <w:t>六、纳入病种分值结算的病种及分值库由市医疗保障局会同市卫生健康局联合制定并公布。</w:t>
      </w:r>
      <w:bookmarkStart w:id="0" w:name="_GoBack"/>
      <w:bookmarkEnd w:id="0"/>
    </w:p>
    <w:sectPr>
      <w:footerReference r:id="rId3" w:type="default"/>
      <w:pgSz w:w="12240" w:h="15840"/>
      <w:pgMar w:top="1701" w:right="1587" w:bottom="1701" w:left="1587" w:header="720" w:footer="720"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8bSus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pt6IoSxy0O/PLzx+XXn8vv72SZ&#10;5ekD1Jh1HzAvDe/8gEsz+wGdmfWgos1f5EMwjuKer+LKIRGRH61X63WFIYGx+YL47OF5iJDeS29J&#10;NhoacXpFVH76CGlMnVNyNefvtDFlgsb940DM7GG597HHbKVhP0yE9r49I58eB99Qh3tOifngUNe8&#10;I7MRZ2M/G8cQ9aErS5TrQbg9Jmyi9JYrjLBTYZxYYTdtV16Jx/eS9fBHbf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fG0rrIAQAAmQMAAA4AAAAAAAAAAQAgAAAAHgEAAGRycy9lMm9Eb2Mu&#10;eG1sUEsFBgAAAAAGAAYAWQEAAFgFAAAAAA==&#10;">
              <v:fill on="f" focussize="0,0"/>
              <v:stroke on="f"/>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tentative="0">
      <w:start w:val="3"/>
      <w:numFmt w:val="chineseCounting"/>
      <w:suff w:val="nothing"/>
      <w:lvlText w:val="（%1）"/>
      <w:lvlJc w:val="left"/>
    </w:lvl>
  </w:abstractNum>
  <w:abstractNum w:abstractNumId="1">
    <w:nsid w:val="5DA18C46"/>
    <w:multiLevelType w:val="singleLevel"/>
    <w:tmpl w:val="5DA18C46"/>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8DBA0E3D-C00A-4F7A-8E24-AF443CA596F0}"/>
    <w:docVar w:name="KY_MEDREF_VERSION" w:val="3"/>
  </w:docVars>
  <w:rsids>
    <w:rsidRoot w:val="00D12A79"/>
    <w:rsid w:val="00004DBF"/>
    <w:rsid w:val="00004E2B"/>
    <w:rsid w:val="0003029E"/>
    <w:rsid w:val="00050C8F"/>
    <w:rsid w:val="00163ACB"/>
    <w:rsid w:val="00197ED0"/>
    <w:rsid w:val="001A26CA"/>
    <w:rsid w:val="001B2082"/>
    <w:rsid w:val="001C7302"/>
    <w:rsid w:val="001D15FF"/>
    <w:rsid w:val="001E567E"/>
    <w:rsid w:val="001E7468"/>
    <w:rsid w:val="0020782F"/>
    <w:rsid w:val="002402E1"/>
    <w:rsid w:val="00274466"/>
    <w:rsid w:val="002C074A"/>
    <w:rsid w:val="00335561"/>
    <w:rsid w:val="0034683A"/>
    <w:rsid w:val="003C1FCF"/>
    <w:rsid w:val="003D3363"/>
    <w:rsid w:val="003E7282"/>
    <w:rsid w:val="003E79CD"/>
    <w:rsid w:val="003F0E69"/>
    <w:rsid w:val="00451BE0"/>
    <w:rsid w:val="004521BD"/>
    <w:rsid w:val="00476DB0"/>
    <w:rsid w:val="00496B53"/>
    <w:rsid w:val="004D6EF6"/>
    <w:rsid w:val="004E7F5F"/>
    <w:rsid w:val="004F502C"/>
    <w:rsid w:val="0050134E"/>
    <w:rsid w:val="005137D0"/>
    <w:rsid w:val="0054318F"/>
    <w:rsid w:val="005521A4"/>
    <w:rsid w:val="00553598"/>
    <w:rsid w:val="00560875"/>
    <w:rsid w:val="0056277A"/>
    <w:rsid w:val="00580F35"/>
    <w:rsid w:val="00581B52"/>
    <w:rsid w:val="005C2145"/>
    <w:rsid w:val="005C685D"/>
    <w:rsid w:val="00615B20"/>
    <w:rsid w:val="0063007A"/>
    <w:rsid w:val="00631D1F"/>
    <w:rsid w:val="00635F1F"/>
    <w:rsid w:val="00646BEA"/>
    <w:rsid w:val="00682703"/>
    <w:rsid w:val="006A450F"/>
    <w:rsid w:val="006C69BF"/>
    <w:rsid w:val="006E081F"/>
    <w:rsid w:val="006F3AF7"/>
    <w:rsid w:val="00722371"/>
    <w:rsid w:val="00745EA1"/>
    <w:rsid w:val="00747D86"/>
    <w:rsid w:val="0078642E"/>
    <w:rsid w:val="00810201"/>
    <w:rsid w:val="00850F2D"/>
    <w:rsid w:val="00865580"/>
    <w:rsid w:val="00873394"/>
    <w:rsid w:val="00883FA2"/>
    <w:rsid w:val="008E2375"/>
    <w:rsid w:val="00904EE1"/>
    <w:rsid w:val="009163DA"/>
    <w:rsid w:val="009353A7"/>
    <w:rsid w:val="00944A7D"/>
    <w:rsid w:val="00972294"/>
    <w:rsid w:val="009F3C61"/>
    <w:rsid w:val="00A01076"/>
    <w:rsid w:val="00A07130"/>
    <w:rsid w:val="00A07BB6"/>
    <w:rsid w:val="00A2460D"/>
    <w:rsid w:val="00A2558A"/>
    <w:rsid w:val="00A574F0"/>
    <w:rsid w:val="00A75FEE"/>
    <w:rsid w:val="00A80562"/>
    <w:rsid w:val="00A966FC"/>
    <w:rsid w:val="00AF667F"/>
    <w:rsid w:val="00B23A05"/>
    <w:rsid w:val="00B52215"/>
    <w:rsid w:val="00B63BEB"/>
    <w:rsid w:val="00B737D7"/>
    <w:rsid w:val="00B73A85"/>
    <w:rsid w:val="00BC0D91"/>
    <w:rsid w:val="00BD05FA"/>
    <w:rsid w:val="00C84558"/>
    <w:rsid w:val="00C87A1F"/>
    <w:rsid w:val="00C90CC2"/>
    <w:rsid w:val="00CD1E75"/>
    <w:rsid w:val="00CF1B0F"/>
    <w:rsid w:val="00CF79BF"/>
    <w:rsid w:val="00CF7DEF"/>
    <w:rsid w:val="00D028A4"/>
    <w:rsid w:val="00D07493"/>
    <w:rsid w:val="00D12A79"/>
    <w:rsid w:val="00D25F70"/>
    <w:rsid w:val="00D3298D"/>
    <w:rsid w:val="00D70CCC"/>
    <w:rsid w:val="00D85E43"/>
    <w:rsid w:val="00E0211D"/>
    <w:rsid w:val="00E12191"/>
    <w:rsid w:val="00E23652"/>
    <w:rsid w:val="00E60599"/>
    <w:rsid w:val="00E834E8"/>
    <w:rsid w:val="00E8515C"/>
    <w:rsid w:val="00E912D5"/>
    <w:rsid w:val="00E97182"/>
    <w:rsid w:val="00E979C8"/>
    <w:rsid w:val="00EC23BA"/>
    <w:rsid w:val="00EE0986"/>
    <w:rsid w:val="00F15DC7"/>
    <w:rsid w:val="00F37190"/>
    <w:rsid w:val="00F5547D"/>
    <w:rsid w:val="00F566B8"/>
    <w:rsid w:val="00F70B5B"/>
    <w:rsid w:val="00F87889"/>
    <w:rsid w:val="00FD05E2"/>
    <w:rsid w:val="00FE4BD3"/>
    <w:rsid w:val="02767232"/>
    <w:rsid w:val="07606C6F"/>
    <w:rsid w:val="0B256965"/>
    <w:rsid w:val="0CCB6F01"/>
    <w:rsid w:val="0CE265E2"/>
    <w:rsid w:val="0F055A3B"/>
    <w:rsid w:val="15FD1D3D"/>
    <w:rsid w:val="1B99551F"/>
    <w:rsid w:val="22364F21"/>
    <w:rsid w:val="23A90EDF"/>
    <w:rsid w:val="27621F3B"/>
    <w:rsid w:val="283F6FC3"/>
    <w:rsid w:val="2A8B6381"/>
    <w:rsid w:val="34BB1A34"/>
    <w:rsid w:val="36024019"/>
    <w:rsid w:val="376D49EF"/>
    <w:rsid w:val="37BD1E00"/>
    <w:rsid w:val="39F0721D"/>
    <w:rsid w:val="3EFC1B69"/>
    <w:rsid w:val="45891DB5"/>
    <w:rsid w:val="46B10457"/>
    <w:rsid w:val="46DE1FB9"/>
    <w:rsid w:val="47AB533F"/>
    <w:rsid w:val="4895185B"/>
    <w:rsid w:val="48B51613"/>
    <w:rsid w:val="4C4A7CD9"/>
    <w:rsid w:val="4FFE4879"/>
    <w:rsid w:val="511A264C"/>
    <w:rsid w:val="53CA36D8"/>
    <w:rsid w:val="55AA5732"/>
    <w:rsid w:val="5678162D"/>
    <w:rsid w:val="57065FF1"/>
    <w:rsid w:val="59A063F7"/>
    <w:rsid w:val="5A55568D"/>
    <w:rsid w:val="5B7D7994"/>
    <w:rsid w:val="5F690D95"/>
    <w:rsid w:val="64222E1F"/>
    <w:rsid w:val="64C230FE"/>
    <w:rsid w:val="64D47F4B"/>
    <w:rsid w:val="67001F14"/>
    <w:rsid w:val="67F74D1F"/>
    <w:rsid w:val="687E5B65"/>
    <w:rsid w:val="68BA5E7B"/>
    <w:rsid w:val="69170C55"/>
    <w:rsid w:val="71D63A7C"/>
    <w:rsid w:val="76B664EA"/>
    <w:rsid w:val="7726556D"/>
    <w:rsid w:val="78F77A08"/>
    <w:rsid w:val="79EC6923"/>
    <w:rsid w:val="7D9D3A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 w:type="paragraph" w:styleId="3">
    <w:name w:val="annotation text"/>
    <w:basedOn w:val="1"/>
    <w:link w:val="9"/>
    <w:qFormat/>
    <w:uiPriority w:val="0"/>
    <w:pPr>
      <w:jc w:val="left"/>
    </w:pPr>
  </w:style>
  <w:style w:type="paragraph" w:styleId="4">
    <w:name w:val="Balloon Text"/>
    <w:basedOn w:val="1"/>
    <w:link w:val="10"/>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批注文字 Char"/>
    <w:basedOn w:val="8"/>
    <w:link w:val="3"/>
    <w:qFormat/>
    <w:uiPriority w:val="0"/>
    <w:rPr>
      <w:rFonts w:ascii="Calibri" w:hAnsi="Calibri" w:eastAsia="宋体" w:cs="Times New Roman"/>
      <w:szCs w:val="24"/>
    </w:rPr>
  </w:style>
  <w:style w:type="character" w:customStyle="1" w:styleId="10">
    <w:name w:val="批注框文本 Char"/>
    <w:basedOn w:val="8"/>
    <w:link w:val="4"/>
    <w:semiHidden/>
    <w:qFormat/>
    <w:uiPriority w:val="99"/>
    <w:rPr>
      <w:rFonts w:ascii="Calibri" w:hAnsi="Calibri" w:eastAsia="宋体" w:cs="Times New Roman"/>
      <w:sz w:val="18"/>
      <w:szCs w:val="18"/>
    </w:rPr>
  </w:style>
  <w:style w:type="paragraph" w:styleId="11">
    <w:name w:val="List Paragraph"/>
    <w:basedOn w:val="1"/>
    <w:qFormat/>
    <w:uiPriority w:val="34"/>
    <w:pPr>
      <w:ind w:firstLine="420" w:firstLineChars="200"/>
    </w:pPr>
  </w:style>
  <w:style w:type="character" w:customStyle="1" w:styleId="12">
    <w:name w:val="页眉 Char"/>
    <w:basedOn w:val="8"/>
    <w:link w:val="6"/>
    <w:qFormat/>
    <w:uiPriority w:val="99"/>
    <w:rPr>
      <w:rFonts w:ascii="Calibri" w:hAnsi="Calibri" w:eastAsia="宋体" w:cs="Times New Roman"/>
      <w:kern w:val="2"/>
      <w:sz w:val="18"/>
      <w:szCs w:val="18"/>
    </w:rPr>
  </w:style>
  <w:style w:type="character" w:customStyle="1" w:styleId="13">
    <w:name w:val="页脚 Char"/>
    <w:basedOn w:val="8"/>
    <w:link w:val="5"/>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Corp.</Company>
  <Pages>17</Pages>
  <Words>6570</Words>
  <Characters>6662</Characters>
  <Lines>48</Lines>
  <Paragraphs>13</Paragraphs>
  <TotalTime>18</TotalTime>
  <ScaleCrop>false</ScaleCrop>
  <LinksUpToDate>false</LinksUpToDate>
  <CharactersWithSpaces>6853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2021-02-23T02:57:00Z</dcterms:created>
  <dc:creator>admin</dc:creator>
  <cp:lastModifiedBy>Administrator</cp:lastModifiedBy>
  <cp:lastPrinted>2021-02-23T03:08:00Z</cp:lastPrinted>
  <dcterms:modified xsi:type="dcterms:W3CDTF">2021-03-03T02:10:02Z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