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汕头市财政局2020年政府信息公开工作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，现公布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汕头市财政局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年政府信息公开工作年度报告。本报告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内容包括总体情况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、主动公开政府信息情况、收到和处理政府信息公开申请情况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、政府信息公开行政复议和行政诉讼情况、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存在的主要问题及改进情况。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报告中所列数据的统计期限自2020年1月1日起至2020年12月31日止。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本报告的电子版可在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市政府门户网站市财政局频道（http://www.shantou.gov.cn）查阅或下载。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2020年，市财政局认真贯彻落实新修订的《中华人民共和国政府信息公开条例》及有关文件精神，按照上级部署，结合财政工作实际认真做好信息主动公开、依申请公开、政府信息管理、平台建设、监督保障等方面工作，充分利用市政府门户网站市财政局频道、“汕头财政”公众号、新闻媒体等渠道，及时主动向社会公开财政信息，进一步增强财政信息的时效性和影响力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市政府门户网站市财政局频道、“汕头财政”公众号、新闻媒体等渠道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加大信息公开的力度，其中网站主动公开信息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公众号信息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同时，牵头做好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部门预决算公开工作，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83个部门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预算公开报告及附表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通过“广东省预决算公开报告填报系统”审核后进行公开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进一步提高预决算工作的规范性、完整性和细化程度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，为接受社会监督、促进依法理财、提升财政科学化规范化管理水平奠定坚实基础。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年，共收到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件，内容涉及财政预决算、预算绩效管理、政府债务等信息，除1件为重复申请不予办理外已全部按规定办结。。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建立健全信息收集、审查、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严格落实意识形态工作责任制及保密审查制度，经审查依法应当公开的事项，及时准确向社会公开，确保政府信息规范管理。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2019年中旬开通“汕头财政”微信公众号以来，全面宣传报道汕头财政在改革发展、收支运行、公共服务、政策信息与干部队伍建设等方面的工作动态，充分发挥政务新媒体在凝聚社会共识的重要作用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组织领导，印发《汕头市财政局政府信息公开工作办法》，成立汕头市财政局政府信息公开领导小组，局主要负责同志认真履行信息公开工作第一责任人的职责，亲自抓，负总责，研究部署推进工作；局分管领导按照工作分工，对职责范围内的信息公开工作负直接领导责任；各科室、单位负责人按照局的统一部署，认真抓好本科室、单位信息公开制度的组织实施，使政务信息公开工作进一步规范化、制度化，确保工作持续良好开展。建立健全信息收集、审查、发布机制，严格落实意识形态工作责任制及保密审查制度，经审查依法应当公开的事项，及时准确向社会公开，确保政府信息规范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ascii="Calibri" w:hAnsi="Calibri" w:eastAsia="宋体" w:cs="黑体"/>
                <w:color w:val="000000"/>
                <w:kern w:val="0"/>
                <w:sz w:val="20"/>
                <w:szCs w:val="20"/>
                <w:lang w:val="en-US" w:eastAsia="zh-CN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ascii="Calibri" w:hAnsi="Calibri" w:eastAsia="宋体" w:cs="黑体"/>
                <w:color w:val="000000"/>
                <w:kern w:val="0"/>
                <w:sz w:val="20"/>
                <w:szCs w:val="20"/>
                <w:lang w:val="en-US" w:eastAsia="zh-CN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337.4148万元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856"/>
        <w:gridCol w:w="2094"/>
        <w:gridCol w:w="816"/>
        <w:gridCol w:w="758"/>
        <w:gridCol w:w="758"/>
        <w:gridCol w:w="817"/>
        <w:gridCol w:w="978"/>
        <w:gridCol w:w="715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5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40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商业企业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科研机构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2020年，市财政局政府信息公开工作取得了一定成效，但仍存在信息公开质量有待提升，专题个性化内容较少；个别领域信息公开有待加强、信息公开的深度和广度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需进一步扩展；信息公开工作的专业化水平需要进一步提高等问题。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接下来，市财政局将认真贯彻落实中央及省市有关信息公开工作的规定要求，切实推动信息公开工作提质增效。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加强内部业务培训，切实提高财政干部职工对做好政务信息公开工作重要性的认识，夯实工作基础。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坚持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“以公开为常态，不公开为例外”原则，完善规范信息采集、审核、发布、更新等流程，加强信息公开合法性、合规性审查，扩展信息公开的深度和广度。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加强政务信息公开质量把控，在内容上更加侧重群众关注度高的热点难点问题，加强信息可读性。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四是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shd w:val="clear" w:color="auto" w:fill="FFFFFF"/>
        </w:rPr>
        <w:t>加强重点领域信息公开工作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持续做好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财政预决算、部门预决算、“三公”经费、财政专项信息、减税降费信息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等重点领域信息公开工作。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3C777"/>
    <w:multiLevelType w:val="singleLevel"/>
    <w:tmpl w:val="5E23C77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E23CD08"/>
    <w:multiLevelType w:val="singleLevel"/>
    <w:tmpl w:val="5E23CD0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5D4E"/>
    <w:rsid w:val="132D5E2D"/>
    <w:rsid w:val="1CEC1886"/>
    <w:rsid w:val="23C24669"/>
    <w:rsid w:val="31D078C5"/>
    <w:rsid w:val="51F0441E"/>
    <w:rsid w:val="6AEC609E"/>
    <w:rsid w:val="72621BF6"/>
    <w:rsid w:val="760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2020-01-19T02:48:00Z</dcterms:created>
  <dc:creator>Administrator</dc:creator>
  <cp:lastModifiedBy>谢晓航</cp:lastModifiedBy>
  <cp:lastPrinted>2021-01-12T07:09:54Z</cp:lastPrinted>
  <dcterms:modified xsi:type="dcterms:W3CDTF">2021-01-19T09:53:00Z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