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187" w:rsidRDefault="00097F53">
      <w:pPr>
        <w:tabs>
          <w:tab w:val="left" w:pos="996"/>
          <w:tab w:val="left" w:pos="1494"/>
        </w:tabs>
        <w:spacing w:before="156" w:after="156"/>
        <w:jc w:val="center"/>
        <w:rPr>
          <w:rFonts w:ascii="黑体" w:eastAsia="黑体" w:hAnsi="黑体"/>
          <w:b/>
          <w:bCs/>
          <w:sz w:val="32"/>
          <w:szCs w:val="32"/>
        </w:rPr>
      </w:pPr>
      <w:bookmarkStart w:id="0" w:name="_Toc9603595"/>
      <w:bookmarkStart w:id="1" w:name="_Toc3466719"/>
      <w:bookmarkStart w:id="2" w:name="_Toc3467178"/>
      <w:bookmarkStart w:id="3" w:name="_Toc2262117"/>
      <w:r>
        <w:rPr>
          <w:rFonts w:ascii="黑体" w:eastAsia="黑体" w:hAnsi="黑体" w:hint="eastAsia"/>
          <w:b/>
          <w:bCs/>
          <w:sz w:val="32"/>
          <w:szCs w:val="32"/>
        </w:rPr>
        <w:t>《</w:t>
      </w:r>
      <w:r w:rsidR="00DB69D2" w:rsidRPr="00DB69D2">
        <w:rPr>
          <w:rFonts w:ascii="黑体" w:eastAsia="黑体" w:hAnsi="黑体" w:hint="eastAsia"/>
          <w:b/>
          <w:bCs/>
          <w:sz w:val="32"/>
          <w:szCs w:val="32"/>
        </w:rPr>
        <w:t>汕头市陈厝合（旧村改造）控制性详细规划局部修编-南碧埠片区（龙湖区LH-02106控制单元）</w:t>
      </w:r>
      <w:r>
        <w:rPr>
          <w:rFonts w:ascii="黑体" w:eastAsia="黑体" w:hAnsi="黑体" w:hint="eastAsia"/>
          <w:b/>
          <w:bCs/>
          <w:sz w:val="32"/>
          <w:szCs w:val="32"/>
        </w:rPr>
        <w:t>》</w:t>
      </w:r>
    </w:p>
    <w:p w:rsidR="00E93187" w:rsidRDefault="00097F53">
      <w:pPr>
        <w:tabs>
          <w:tab w:val="left" w:pos="996"/>
          <w:tab w:val="left" w:pos="1494"/>
        </w:tabs>
        <w:spacing w:before="156" w:after="156"/>
        <w:jc w:val="center"/>
        <w:rPr>
          <w:sz w:val="32"/>
          <w:szCs w:val="32"/>
        </w:rPr>
      </w:pPr>
      <w:r>
        <w:rPr>
          <w:rFonts w:ascii="黑体" w:eastAsia="黑体" w:hAnsi="黑体" w:hint="eastAsia"/>
          <w:b/>
          <w:bCs/>
          <w:sz w:val="32"/>
          <w:szCs w:val="32"/>
        </w:rPr>
        <w:t>简介</w:t>
      </w:r>
    </w:p>
    <w:bookmarkEnd w:id="0"/>
    <w:bookmarkEnd w:id="1"/>
    <w:bookmarkEnd w:id="2"/>
    <w:bookmarkEnd w:id="3"/>
    <w:p w:rsidR="00E93187" w:rsidRDefault="00097F53">
      <w:pPr>
        <w:pStyle w:val="a0"/>
        <w:tabs>
          <w:tab w:val="clear" w:pos="1134"/>
          <w:tab w:val="left" w:pos="996"/>
          <w:tab w:val="left" w:pos="1494"/>
        </w:tabs>
        <w:spacing w:before="156" w:after="156"/>
        <w:rPr>
          <w:b/>
          <w:bCs/>
        </w:rPr>
      </w:pPr>
      <w:r>
        <w:rPr>
          <w:rFonts w:hint="eastAsia"/>
          <w:b/>
          <w:bCs/>
        </w:rPr>
        <w:t>规划范围</w:t>
      </w:r>
    </w:p>
    <w:p w:rsidR="00DB69D2" w:rsidRPr="00DB69D2" w:rsidRDefault="00DB69D2" w:rsidP="00DB69D2">
      <w:pPr>
        <w:pStyle w:val="a0"/>
        <w:numPr>
          <w:ilvl w:val="0"/>
          <w:numId w:val="0"/>
        </w:numPr>
        <w:spacing w:before="156" w:after="156" w:line="300" w:lineRule="exact"/>
        <w:ind w:firstLineChars="200" w:firstLine="480"/>
        <w:jc w:val="left"/>
        <w:rPr>
          <w:rFonts w:eastAsia="宋体" w:cs="Times New Roman"/>
        </w:rPr>
      </w:pPr>
      <w:r w:rsidRPr="00DB69D2">
        <w:rPr>
          <w:rFonts w:eastAsia="宋体" w:cs="Times New Roman" w:hint="eastAsia"/>
        </w:rPr>
        <w:t>规划区具体范围为泰山路以西，庐山路以东，黄河路以北，浦江路、龙新五</w:t>
      </w:r>
    </w:p>
    <w:p w:rsidR="00E93187" w:rsidRPr="00DB69D2" w:rsidRDefault="00DB69D2" w:rsidP="00DB69D2">
      <w:pPr>
        <w:pStyle w:val="a0"/>
        <w:numPr>
          <w:ilvl w:val="0"/>
          <w:numId w:val="0"/>
        </w:numPr>
        <w:spacing w:before="156" w:after="156" w:line="300" w:lineRule="exact"/>
        <w:jc w:val="left"/>
        <w:rPr>
          <w:rFonts w:eastAsia="宋体" w:cs="Times New Roman"/>
        </w:rPr>
      </w:pPr>
      <w:r w:rsidRPr="00DB69D2">
        <w:rPr>
          <w:rFonts w:eastAsia="宋体" w:cs="Times New Roman" w:hint="eastAsia"/>
        </w:rPr>
        <w:t>街以南组成的街区，总用地面积为 33.93 公顷。</w:t>
      </w:r>
    </w:p>
    <w:p w:rsidR="00E93187" w:rsidRDefault="00097F53">
      <w:pPr>
        <w:pStyle w:val="a0"/>
        <w:tabs>
          <w:tab w:val="clear" w:pos="1134"/>
          <w:tab w:val="left" w:pos="996"/>
          <w:tab w:val="left" w:pos="1494"/>
        </w:tabs>
        <w:spacing w:before="156" w:after="156"/>
        <w:rPr>
          <w:b/>
          <w:bCs/>
        </w:rPr>
      </w:pPr>
      <w:bookmarkStart w:id="4" w:name="_Toc3467185"/>
      <w:bookmarkStart w:id="5" w:name="_Toc9603603"/>
      <w:bookmarkStart w:id="6" w:name="_Toc2262126"/>
      <w:bookmarkStart w:id="7" w:name="_Toc3466726"/>
      <w:bookmarkStart w:id="8" w:name="_Hlk7341402"/>
      <w:r>
        <w:rPr>
          <w:rFonts w:hint="eastAsia"/>
          <w:b/>
          <w:bCs/>
        </w:rPr>
        <w:t>功能定位</w:t>
      </w:r>
      <w:bookmarkEnd w:id="4"/>
      <w:bookmarkEnd w:id="5"/>
      <w:bookmarkEnd w:id="6"/>
      <w:bookmarkEnd w:id="7"/>
    </w:p>
    <w:p w:rsidR="00E93187" w:rsidRPr="00DB69D2" w:rsidRDefault="00DB69D2" w:rsidP="00DB69D2">
      <w:pPr>
        <w:pStyle w:val="a0"/>
        <w:numPr>
          <w:ilvl w:val="0"/>
          <w:numId w:val="0"/>
        </w:numPr>
        <w:spacing w:before="156" w:after="156" w:line="300" w:lineRule="exact"/>
        <w:ind w:firstLineChars="200" w:firstLine="480"/>
        <w:jc w:val="left"/>
        <w:rPr>
          <w:rFonts w:eastAsia="宋体" w:cs="Times New Roman"/>
        </w:rPr>
      </w:pPr>
      <w:r w:rsidRPr="00DB69D2">
        <w:rPr>
          <w:rFonts w:eastAsia="宋体" w:cs="Times New Roman" w:hint="eastAsia"/>
        </w:rPr>
        <w:t>毗邻城市快速路（泰山路、黄河路）的交通方便、布局合理、配套完善、环境优美的居住组团，一个融城市型配套服务功能与内聚型传统村居习俗于一体的独特社区。</w:t>
      </w:r>
      <w:r w:rsidR="00097F53" w:rsidRPr="00DB69D2">
        <w:rPr>
          <w:rFonts w:eastAsia="宋体" w:cs="Times New Roman" w:hint="eastAsia"/>
        </w:rPr>
        <w:t xml:space="preserve"> </w:t>
      </w:r>
    </w:p>
    <w:p w:rsidR="00E93187" w:rsidRDefault="00097F53">
      <w:pPr>
        <w:pStyle w:val="a0"/>
        <w:tabs>
          <w:tab w:val="clear" w:pos="1134"/>
          <w:tab w:val="left" w:pos="996"/>
          <w:tab w:val="left" w:pos="1494"/>
        </w:tabs>
        <w:spacing w:before="156" w:after="156"/>
        <w:rPr>
          <w:b/>
          <w:bCs/>
        </w:rPr>
      </w:pPr>
      <w:r>
        <w:rPr>
          <w:rFonts w:hint="eastAsia"/>
          <w:b/>
          <w:bCs/>
        </w:rPr>
        <w:t>功能布局</w:t>
      </w:r>
    </w:p>
    <w:p w:rsidR="00E93187" w:rsidRPr="00DB69D2" w:rsidRDefault="00DB69D2" w:rsidP="00DB69D2">
      <w:pPr>
        <w:pStyle w:val="a0"/>
        <w:numPr>
          <w:ilvl w:val="0"/>
          <w:numId w:val="0"/>
        </w:numPr>
        <w:spacing w:before="156" w:after="156" w:line="300" w:lineRule="exact"/>
        <w:ind w:firstLineChars="200" w:firstLine="480"/>
        <w:rPr>
          <w:rFonts w:eastAsia="宋体" w:cs="Times New Roman"/>
        </w:rPr>
      </w:pPr>
      <w:r w:rsidRPr="00DB69D2">
        <w:rPr>
          <w:rFonts w:eastAsia="宋体" w:cs="Times New Roman" w:hint="eastAsia"/>
        </w:rPr>
        <w:t>考虑片区片区实际情况及周边商业规模，本次规划在片区西南侧规划商住用地。完善片区小学、幼儿园等服务设施，对“三旧”地块、南碧埠旧村、北侧三社区用地分别进行独立改造。</w:t>
      </w:r>
      <w:r w:rsidR="00097F53" w:rsidRPr="00DB69D2">
        <w:rPr>
          <w:rFonts w:eastAsia="宋体" w:cs="Times New Roman" w:hint="eastAsia"/>
        </w:rPr>
        <w:t xml:space="preserve"> </w:t>
      </w:r>
    </w:p>
    <w:p w:rsidR="00E93187" w:rsidRDefault="00097F53">
      <w:pPr>
        <w:pStyle w:val="a0"/>
        <w:tabs>
          <w:tab w:val="clear" w:pos="1134"/>
          <w:tab w:val="left" w:pos="996"/>
          <w:tab w:val="left" w:pos="1494"/>
        </w:tabs>
        <w:spacing w:before="156" w:after="156"/>
        <w:rPr>
          <w:b/>
          <w:bCs/>
        </w:rPr>
      </w:pPr>
      <w:r>
        <w:rPr>
          <w:rFonts w:hint="eastAsia"/>
          <w:b/>
          <w:bCs/>
        </w:rPr>
        <w:t>发展规模</w:t>
      </w:r>
    </w:p>
    <w:bookmarkEnd w:id="8"/>
    <w:p w:rsidR="00DB69D2" w:rsidRPr="00DB69D2" w:rsidRDefault="00DB69D2" w:rsidP="00DB69D2">
      <w:pPr>
        <w:pStyle w:val="a0"/>
        <w:numPr>
          <w:ilvl w:val="0"/>
          <w:numId w:val="0"/>
        </w:numPr>
        <w:spacing w:before="156" w:after="156"/>
        <w:ind w:firstLineChars="200" w:firstLine="480"/>
        <w:rPr>
          <w:rFonts w:eastAsia="宋体" w:cs="Times New Roman"/>
        </w:rPr>
      </w:pPr>
      <w:r w:rsidRPr="00DB69D2">
        <w:rPr>
          <w:rFonts w:eastAsia="宋体" w:cs="Times New Roman" w:hint="eastAsia"/>
        </w:rPr>
        <w:t>规划区总用地面积 33.93 公顷，均为城市建设用地。</w:t>
      </w:r>
    </w:p>
    <w:p w:rsidR="00E93187" w:rsidRPr="00DB69D2" w:rsidRDefault="00DB69D2" w:rsidP="00DB69D2">
      <w:pPr>
        <w:pStyle w:val="a0"/>
        <w:numPr>
          <w:ilvl w:val="0"/>
          <w:numId w:val="0"/>
        </w:numPr>
        <w:spacing w:before="156" w:after="156"/>
        <w:ind w:firstLineChars="200" w:firstLine="480"/>
        <w:rPr>
          <w:rFonts w:eastAsia="宋体" w:cs="Times New Roman"/>
        </w:rPr>
      </w:pPr>
      <w:r w:rsidRPr="00DB69D2">
        <w:rPr>
          <w:rFonts w:eastAsia="宋体" w:cs="Times New Roman" w:hint="eastAsia"/>
        </w:rPr>
        <w:t>本次规划新增住宅用地/零售商业用地面积为 19.12 公顷。根据有关法规、规章、技术规范及市政府相关文件，经测算本次规划新建住宅用地产生居住人口约 1.39 万人。规划区内居住总人口约 1.39 万人。</w:t>
      </w:r>
    </w:p>
    <w:p w:rsidR="00E93187" w:rsidRDefault="00E93187">
      <w:pPr>
        <w:spacing w:before="100" w:beforeAutospacing="1" w:after="100" w:afterAutospacing="1"/>
        <w:ind w:firstLineChars="200" w:firstLine="480"/>
        <w:rPr>
          <w:kern w:val="0"/>
          <w:szCs w:val="20"/>
          <w:lang w:val="zh-CN"/>
        </w:rPr>
      </w:pPr>
    </w:p>
    <w:sectPr w:rsidR="00E93187" w:rsidSect="00E931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B7F" w:rsidRDefault="00564B7F" w:rsidP="00DB69D2">
      <w:r>
        <w:separator/>
      </w:r>
    </w:p>
  </w:endnote>
  <w:endnote w:type="continuationSeparator" w:id="1">
    <w:p w:rsidR="00564B7F" w:rsidRDefault="00564B7F" w:rsidP="00DB6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charset w:val="86"/>
    <w:family w:val="auto"/>
    <w:pitch w:val="default"/>
    <w:sig w:usb0="00000000" w:usb1="00000000"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default"/>
    <w:sig w:usb0="00000000" w:usb1="00000000"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B7F" w:rsidRDefault="00564B7F" w:rsidP="00DB69D2">
      <w:r>
        <w:separator/>
      </w:r>
    </w:p>
  </w:footnote>
  <w:footnote w:type="continuationSeparator" w:id="1">
    <w:p w:rsidR="00564B7F" w:rsidRDefault="00564B7F" w:rsidP="00DB69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047F5A"/>
    <w:multiLevelType w:val="multilevel"/>
    <w:tmpl w:val="69047F5A"/>
    <w:lvl w:ilvl="0">
      <w:start w:val="1"/>
      <w:numFmt w:val="japaneseCounting"/>
      <w:pStyle w:val="a"/>
      <w:lvlText w:val="第%1章"/>
      <w:lvlJc w:val="left"/>
      <w:pPr>
        <w:tabs>
          <w:tab w:val="left" w:pos="1401"/>
        </w:tabs>
        <w:ind w:left="1401" w:hanging="1400"/>
      </w:pPr>
      <w:rPr>
        <w:rFonts w:hint="default"/>
      </w:rPr>
    </w:lvl>
    <w:lvl w:ilvl="1">
      <w:start w:val="1"/>
      <w:numFmt w:val="decimal"/>
      <w:lvlText w:val="%2."/>
      <w:lvlJc w:val="left"/>
      <w:pPr>
        <w:tabs>
          <w:tab w:val="left" w:pos="841"/>
        </w:tabs>
        <w:ind w:left="841" w:hanging="420"/>
      </w:pPr>
      <w:rPr>
        <w:rFonts w:hint="default"/>
      </w:rPr>
    </w:lvl>
    <w:lvl w:ilvl="2">
      <w:start w:val="1"/>
      <w:numFmt w:val="decimal"/>
      <w:lvlText w:val="%3．"/>
      <w:lvlJc w:val="left"/>
      <w:pPr>
        <w:tabs>
          <w:tab w:val="left" w:pos="1201"/>
        </w:tabs>
        <w:ind w:left="1201" w:hanging="360"/>
      </w:pPr>
      <w:rPr>
        <w:rFonts w:hint="default"/>
      </w:rPr>
    </w:lvl>
    <w:lvl w:ilvl="3">
      <w:start w:val="1"/>
      <w:numFmt w:val="decimal"/>
      <w:lvlText w:val="%4."/>
      <w:lvlJc w:val="left"/>
      <w:pPr>
        <w:tabs>
          <w:tab w:val="left" w:pos="1681"/>
        </w:tabs>
        <w:ind w:left="1681" w:hanging="420"/>
      </w:pPr>
      <w:rPr>
        <w:rFonts w:hint="default"/>
      </w:rPr>
    </w:lvl>
    <w:lvl w:ilvl="4">
      <w:start w:val="1"/>
      <w:numFmt w:val="decimal"/>
      <w:lvlText w:val="%5．"/>
      <w:lvlJc w:val="left"/>
      <w:pPr>
        <w:tabs>
          <w:tab w:val="left" w:pos="2041"/>
        </w:tabs>
        <w:ind w:left="2041" w:hanging="360"/>
      </w:pPr>
      <w:rPr>
        <w:rFonts w:hint="default"/>
      </w:rPr>
    </w:lvl>
    <w:lvl w:ilvl="5">
      <w:start w:val="1"/>
      <w:numFmt w:val="decimal"/>
      <w:lvlText w:val="%6."/>
      <w:lvlJc w:val="left"/>
      <w:pPr>
        <w:tabs>
          <w:tab w:val="left" w:pos="2521"/>
        </w:tabs>
        <w:ind w:left="2521" w:hanging="420"/>
      </w:pPr>
      <w:rPr>
        <w:rFonts w:hint="default"/>
      </w:rPr>
    </w:lvl>
    <w:lvl w:ilvl="6">
      <w:start w:val="1"/>
      <w:numFmt w:val="decimal"/>
      <w:lvlText w:val="%7."/>
      <w:lvlJc w:val="left"/>
      <w:pPr>
        <w:tabs>
          <w:tab w:val="left" w:pos="2941"/>
        </w:tabs>
        <w:ind w:left="2941" w:hanging="420"/>
      </w:pPr>
    </w:lvl>
    <w:lvl w:ilvl="7">
      <w:start w:val="1"/>
      <w:numFmt w:val="lowerLetter"/>
      <w:lvlText w:val="%8)"/>
      <w:lvlJc w:val="left"/>
      <w:pPr>
        <w:tabs>
          <w:tab w:val="left" w:pos="3361"/>
        </w:tabs>
        <w:ind w:left="3361" w:hanging="420"/>
      </w:pPr>
    </w:lvl>
    <w:lvl w:ilvl="8">
      <w:start w:val="1"/>
      <w:numFmt w:val="lowerRoman"/>
      <w:lvlText w:val="%9."/>
      <w:lvlJc w:val="right"/>
      <w:pPr>
        <w:tabs>
          <w:tab w:val="left" w:pos="3781"/>
        </w:tabs>
        <w:ind w:left="3781" w:hanging="420"/>
      </w:pPr>
    </w:lvl>
  </w:abstractNum>
  <w:abstractNum w:abstractNumId="1">
    <w:nsid w:val="717E2C8B"/>
    <w:multiLevelType w:val="multilevel"/>
    <w:tmpl w:val="717E2C8B"/>
    <w:lvl w:ilvl="0">
      <w:start w:val="1"/>
      <w:numFmt w:val="chineseCountingThousand"/>
      <w:pStyle w:val="a0"/>
      <w:lvlText w:val="第%1条"/>
      <w:lvlJc w:val="left"/>
      <w:pPr>
        <w:tabs>
          <w:tab w:val="left" w:pos="1134"/>
        </w:tabs>
        <w:ind w:left="0" w:firstLine="0"/>
      </w:pPr>
      <w:rPr>
        <w:rFonts w:ascii="黑体" w:eastAsia="黑体" w:hint="default"/>
        <w:b/>
      </w:rPr>
    </w:lvl>
    <w:lvl w:ilvl="1">
      <w:start w:val="1"/>
      <w:numFmt w:val="decimal"/>
      <w:lvlText w:val="%2．"/>
      <w:lvlJc w:val="left"/>
      <w:pPr>
        <w:tabs>
          <w:tab w:val="left" w:pos="780"/>
        </w:tabs>
        <w:ind w:left="780" w:hanging="360"/>
      </w:pPr>
      <w:rPr>
        <w:rFonts w:hint="default"/>
        <w:b/>
      </w:rPr>
    </w:lvl>
    <w:lvl w:ilvl="2">
      <w:start w:val="1"/>
      <w:numFmt w:val="decimal"/>
      <w:lvlText w:val="%3."/>
      <w:lvlJc w:val="left"/>
      <w:pPr>
        <w:tabs>
          <w:tab w:val="left" w:pos="1260"/>
        </w:tabs>
        <w:ind w:left="1260" w:hanging="420"/>
      </w:pPr>
      <w:rPr>
        <w:rFonts w:hint="default"/>
      </w:rPr>
    </w:lvl>
    <w:lvl w:ilvl="3">
      <w:start w:val="1"/>
      <w:numFmt w:val="decimal"/>
      <w:lvlText w:val="%4、"/>
      <w:lvlJc w:val="left"/>
      <w:pPr>
        <w:tabs>
          <w:tab w:val="left" w:pos="2055"/>
        </w:tabs>
        <w:ind w:left="2055" w:hanging="795"/>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D6303"/>
    <w:rsid w:val="00097F53"/>
    <w:rsid w:val="001D6303"/>
    <w:rsid w:val="0053495F"/>
    <w:rsid w:val="00564B7F"/>
    <w:rsid w:val="0065283E"/>
    <w:rsid w:val="00D74993"/>
    <w:rsid w:val="00DB69D2"/>
    <w:rsid w:val="00E7055E"/>
    <w:rsid w:val="00E93187"/>
    <w:rsid w:val="00F33FF1"/>
    <w:rsid w:val="1EA405A8"/>
    <w:rsid w:val="238E75CA"/>
    <w:rsid w:val="36D81A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93187"/>
    <w:pPr>
      <w:widowControl w:val="0"/>
      <w:jc w:val="both"/>
    </w:pPr>
    <w:rPr>
      <w:rFonts w:ascii="宋体" w:hAnsi="宋体"/>
      <w:kern w:val="2"/>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Title"/>
    <w:basedOn w:val="a1"/>
    <w:next w:val="a0"/>
    <w:link w:val="Char"/>
    <w:uiPriority w:val="10"/>
    <w:qFormat/>
    <w:rsid w:val="00E93187"/>
    <w:pPr>
      <w:keepNext/>
      <w:widowControl/>
      <w:numPr>
        <w:numId w:val="1"/>
      </w:numPr>
      <w:spacing w:beforeLines="100" w:afterLines="100"/>
      <w:jc w:val="center"/>
      <w:outlineLvl w:val="0"/>
    </w:pPr>
    <w:rPr>
      <w:rFonts w:ascii="等线 Light" w:eastAsia="微软雅黑" w:hAnsi="等线 Light" w:cstheme="minorBidi"/>
      <w:bCs/>
      <w:kern w:val="28"/>
      <w:sz w:val="28"/>
      <w:szCs w:val="28"/>
    </w:rPr>
  </w:style>
  <w:style w:type="paragraph" w:customStyle="1" w:styleId="a0">
    <w:name w:val="文本条文"/>
    <w:next w:val="a1"/>
    <w:link w:val="a5"/>
    <w:qFormat/>
    <w:rsid w:val="00E93187"/>
    <w:pPr>
      <w:numPr>
        <w:numId w:val="2"/>
      </w:numPr>
      <w:spacing w:beforeLines="50" w:afterLines="50"/>
      <w:jc w:val="both"/>
      <w:outlineLvl w:val="2"/>
    </w:pPr>
    <w:rPr>
      <w:rFonts w:ascii="宋体" w:eastAsiaTheme="minorEastAsia" w:hAnsi="宋体" w:cstheme="minorBidi"/>
      <w:kern w:val="2"/>
      <w:sz w:val="24"/>
      <w:szCs w:val="24"/>
    </w:rPr>
  </w:style>
  <w:style w:type="character" w:customStyle="1" w:styleId="a5">
    <w:name w:val="文本条文 字符"/>
    <w:link w:val="a0"/>
    <w:qFormat/>
    <w:rsid w:val="00E93187"/>
    <w:rPr>
      <w:rFonts w:ascii="宋体" w:hAnsi="宋体"/>
      <w:sz w:val="24"/>
      <w:szCs w:val="24"/>
    </w:rPr>
  </w:style>
  <w:style w:type="character" w:customStyle="1" w:styleId="Char">
    <w:name w:val="标题 Char"/>
    <w:link w:val="a"/>
    <w:uiPriority w:val="10"/>
    <w:rsid w:val="00E93187"/>
    <w:rPr>
      <w:rFonts w:ascii="等线 Light" w:eastAsia="微软雅黑" w:hAnsi="等线 Light"/>
      <w:bCs/>
      <w:kern w:val="28"/>
      <w:sz w:val="28"/>
      <w:szCs w:val="28"/>
    </w:rPr>
  </w:style>
  <w:style w:type="character" w:customStyle="1" w:styleId="1">
    <w:name w:val="标题 字符1"/>
    <w:basedOn w:val="a2"/>
    <w:uiPriority w:val="10"/>
    <w:qFormat/>
    <w:rsid w:val="00E93187"/>
    <w:rPr>
      <w:rFonts w:asciiTheme="majorHAnsi" w:eastAsiaTheme="majorEastAsia" w:hAnsiTheme="majorHAnsi" w:cstheme="majorBidi"/>
      <w:b/>
      <w:bCs/>
      <w:sz w:val="32"/>
      <w:szCs w:val="32"/>
    </w:rPr>
  </w:style>
  <w:style w:type="paragraph" w:styleId="a6">
    <w:name w:val="header"/>
    <w:basedOn w:val="a1"/>
    <w:link w:val="Char0"/>
    <w:uiPriority w:val="99"/>
    <w:semiHidden/>
    <w:unhideWhenUsed/>
    <w:rsid w:val="00DB69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semiHidden/>
    <w:rsid w:val="00DB69D2"/>
    <w:rPr>
      <w:rFonts w:ascii="宋体" w:hAnsi="宋体"/>
      <w:kern w:val="2"/>
      <w:sz w:val="18"/>
      <w:szCs w:val="18"/>
    </w:rPr>
  </w:style>
  <w:style w:type="paragraph" w:styleId="a7">
    <w:name w:val="footer"/>
    <w:basedOn w:val="a1"/>
    <w:link w:val="Char1"/>
    <w:uiPriority w:val="99"/>
    <w:semiHidden/>
    <w:unhideWhenUsed/>
    <w:rsid w:val="00DB69D2"/>
    <w:pPr>
      <w:tabs>
        <w:tab w:val="center" w:pos="4153"/>
        <w:tab w:val="right" w:pos="8306"/>
      </w:tabs>
      <w:snapToGrid w:val="0"/>
      <w:jc w:val="left"/>
    </w:pPr>
    <w:rPr>
      <w:sz w:val="18"/>
      <w:szCs w:val="18"/>
    </w:rPr>
  </w:style>
  <w:style w:type="character" w:customStyle="1" w:styleId="Char1">
    <w:name w:val="页脚 Char"/>
    <w:basedOn w:val="a2"/>
    <w:link w:val="a7"/>
    <w:uiPriority w:val="99"/>
    <w:semiHidden/>
    <w:rsid w:val="00DB69D2"/>
    <w:rPr>
      <w:rFonts w:ascii="宋体" w:hAnsi="宋体"/>
      <w:kern w:val="2"/>
      <w:sz w:val="18"/>
      <w:szCs w:val="18"/>
    </w:rPr>
  </w:style>
</w:styles>
</file>

<file path=word/webSettings.xml><?xml version="1.0" encoding="utf-8"?>
<w:webSettings xmlns:r="http://schemas.openxmlformats.org/officeDocument/2006/relationships" xmlns:w="http://schemas.openxmlformats.org/wordprocessingml/2006/main">
  <w:divs>
    <w:div w:id="164169242">
      <w:bodyDiv w:val="1"/>
      <w:marLeft w:val="0"/>
      <w:marRight w:val="0"/>
      <w:marTop w:val="0"/>
      <w:marBottom w:val="0"/>
      <w:divBdr>
        <w:top w:val="none" w:sz="0" w:space="0" w:color="auto"/>
        <w:left w:val="none" w:sz="0" w:space="0" w:color="auto"/>
        <w:bottom w:val="none" w:sz="0" w:space="0" w:color="auto"/>
        <w:right w:val="none" w:sz="0" w:space="0" w:color="auto"/>
      </w:divBdr>
      <w:divsChild>
        <w:div w:id="1067455690">
          <w:marLeft w:val="0"/>
          <w:marRight w:val="0"/>
          <w:marTop w:val="0"/>
          <w:marBottom w:val="0"/>
          <w:divBdr>
            <w:top w:val="none" w:sz="0" w:space="0" w:color="auto"/>
            <w:left w:val="none" w:sz="0" w:space="0" w:color="auto"/>
            <w:bottom w:val="none" w:sz="0" w:space="0" w:color="auto"/>
            <w:right w:val="none" w:sz="0" w:space="0" w:color="auto"/>
          </w:divBdr>
        </w:div>
        <w:div w:id="647978334">
          <w:marLeft w:val="0"/>
          <w:marRight w:val="0"/>
          <w:marTop w:val="0"/>
          <w:marBottom w:val="0"/>
          <w:divBdr>
            <w:top w:val="none" w:sz="0" w:space="0" w:color="auto"/>
            <w:left w:val="none" w:sz="0" w:space="0" w:color="auto"/>
            <w:bottom w:val="none" w:sz="0" w:space="0" w:color="auto"/>
            <w:right w:val="none" w:sz="0" w:space="0" w:color="auto"/>
          </w:divBdr>
        </w:div>
        <w:div w:id="202445105">
          <w:marLeft w:val="0"/>
          <w:marRight w:val="0"/>
          <w:marTop w:val="0"/>
          <w:marBottom w:val="0"/>
          <w:divBdr>
            <w:top w:val="none" w:sz="0" w:space="0" w:color="auto"/>
            <w:left w:val="none" w:sz="0" w:space="0" w:color="auto"/>
            <w:bottom w:val="none" w:sz="0" w:space="0" w:color="auto"/>
            <w:right w:val="none" w:sz="0" w:space="0" w:color="auto"/>
          </w:divBdr>
        </w:div>
      </w:divsChild>
    </w:div>
    <w:div w:id="288435164">
      <w:bodyDiv w:val="1"/>
      <w:marLeft w:val="0"/>
      <w:marRight w:val="0"/>
      <w:marTop w:val="0"/>
      <w:marBottom w:val="0"/>
      <w:divBdr>
        <w:top w:val="none" w:sz="0" w:space="0" w:color="auto"/>
        <w:left w:val="none" w:sz="0" w:space="0" w:color="auto"/>
        <w:bottom w:val="none" w:sz="0" w:space="0" w:color="auto"/>
        <w:right w:val="none" w:sz="0" w:space="0" w:color="auto"/>
      </w:divBdr>
      <w:divsChild>
        <w:div w:id="1105685827">
          <w:marLeft w:val="0"/>
          <w:marRight w:val="0"/>
          <w:marTop w:val="0"/>
          <w:marBottom w:val="0"/>
          <w:divBdr>
            <w:top w:val="none" w:sz="0" w:space="0" w:color="auto"/>
            <w:left w:val="none" w:sz="0" w:space="0" w:color="auto"/>
            <w:bottom w:val="none" w:sz="0" w:space="0" w:color="auto"/>
            <w:right w:val="none" w:sz="0" w:space="0" w:color="auto"/>
          </w:divBdr>
        </w:div>
        <w:div w:id="1242371404">
          <w:marLeft w:val="0"/>
          <w:marRight w:val="0"/>
          <w:marTop w:val="0"/>
          <w:marBottom w:val="0"/>
          <w:divBdr>
            <w:top w:val="none" w:sz="0" w:space="0" w:color="auto"/>
            <w:left w:val="none" w:sz="0" w:space="0" w:color="auto"/>
            <w:bottom w:val="none" w:sz="0" w:space="0" w:color="auto"/>
            <w:right w:val="none" w:sz="0" w:space="0" w:color="auto"/>
          </w:divBdr>
        </w:div>
      </w:divsChild>
    </w:div>
    <w:div w:id="1251966314">
      <w:bodyDiv w:val="1"/>
      <w:marLeft w:val="0"/>
      <w:marRight w:val="0"/>
      <w:marTop w:val="0"/>
      <w:marBottom w:val="0"/>
      <w:divBdr>
        <w:top w:val="none" w:sz="0" w:space="0" w:color="auto"/>
        <w:left w:val="none" w:sz="0" w:space="0" w:color="auto"/>
        <w:bottom w:val="none" w:sz="0" w:space="0" w:color="auto"/>
        <w:right w:val="none" w:sz="0" w:space="0" w:color="auto"/>
      </w:divBdr>
      <w:divsChild>
        <w:div w:id="444233130">
          <w:marLeft w:val="0"/>
          <w:marRight w:val="0"/>
          <w:marTop w:val="0"/>
          <w:marBottom w:val="0"/>
          <w:divBdr>
            <w:top w:val="none" w:sz="0" w:space="0" w:color="auto"/>
            <w:left w:val="none" w:sz="0" w:space="0" w:color="auto"/>
            <w:bottom w:val="none" w:sz="0" w:space="0" w:color="auto"/>
            <w:right w:val="none" w:sz="0" w:space="0" w:color="auto"/>
          </w:divBdr>
        </w:div>
      </w:divsChild>
    </w:div>
    <w:div w:id="1576010895">
      <w:bodyDiv w:val="1"/>
      <w:marLeft w:val="0"/>
      <w:marRight w:val="0"/>
      <w:marTop w:val="0"/>
      <w:marBottom w:val="0"/>
      <w:divBdr>
        <w:top w:val="none" w:sz="0" w:space="0" w:color="auto"/>
        <w:left w:val="none" w:sz="0" w:space="0" w:color="auto"/>
        <w:bottom w:val="none" w:sz="0" w:space="0" w:color="auto"/>
        <w:right w:val="none" w:sz="0" w:space="0" w:color="auto"/>
      </w:divBdr>
      <w:divsChild>
        <w:div w:id="248739266">
          <w:marLeft w:val="0"/>
          <w:marRight w:val="0"/>
          <w:marTop w:val="0"/>
          <w:marBottom w:val="0"/>
          <w:divBdr>
            <w:top w:val="none" w:sz="0" w:space="0" w:color="auto"/>
            <w:left w:val="none" w:sz="0" w:space="0" w:color="auto"/>
            <w:bottom w:val="none" w:sz="0" w:space="0" w:color="auto"/>
            <w:right w:val="none" w:sz="0" w:space="0" w:color="auto"/>
          </w:divBdr>
        </w:div>
      </w:divsChild>
    </w:div>
    <w:div w:id="1608734611">
      <w:bodyDiv w:val="1"/>
      <w:marLeft w:val="0"/>
      <w:marRight w:val="0"/>
      <w:marTop w:val="0"/>
      <w:marBottom w:val="0"/>
      <w:divBdr>
        <w:top w:val="none" w:sz="0" w:space="0" w:color="auto"/>
        <w:left w:val="none" w:sz="0" w:space="0" w:color="auto"/>
        <w:bottom w:val="none" w:sz="0" w:space="0" w:color="auto"/>
        <w:right w:val="none" w:sz="0" w:space="0" w:color="auto"/>
      </w:divBdr>
      <w:divsChild>
        <w:div w:id="873033736">
          <w:marLeft w:val="0"/>
          <w:marRight w:val="0"/>
          <w:marTop w:val="0"/>
          <w:marBottom w:val="0"/>
          <w:divBdr>
            <w:top w:val="none" w:sz="0" w:space="0" w:color="auto"/>
            <w:left w:val="none" w:sz="0" w:space="0" w:color="auto"/>
            <w:bottom w:val="none" w:sz="0" w:space="0" w:color="auto"/>
            <w:right w:val="none" w:sz="0" w:space="0" w:color="auto"/>
          </w:divBdr>
        </w:div>
      </w:divsChild>
    </w:div>
    <w:div w:id="1928732621">
      <w:bodyDiv w:val="1"/>
      <w:marLeft w:val="0"/>
      <w:marRight w:val="0"/>
      <w:marTop w:val="0"/>
      <w:marBottom w:val="0"/>
      <w:divBdr>
        <w:top w:val="none" w:sz="0" w:space="0" w:color="auto"/>
        <w:left w:val="none" w:sz="0" w:space="0" w:color="auto"/>
        <w:bottom w:val="none" w:sz="0" w:space="0" w:color="auto"/>
        <w:right w:val="none" w:sz="0" w:space="0" w:color="auto"/>
      </w:divBdr>
      <w:divsChild>
        <w:div w:id="421343948">
          <w:marLeft w:val="0"/>
          <w:marRight w:val="0"/>
          <w:marTop w:val="0"/>
          <w:marBottom w:val="0"/>
          <w:divBdr>
            <w:top w:val="none" w:sz="0" w:space="0" w:color="auto"/>
            <w:left w:val="none" w:sz="0" w:space="0" w:color="auto"/>
            <w:bottom w:val="none" w:sz="0" w:space="0" w:color="auto"/>
            <w:right w:val="none" w:sz="0" w:space="0" w:color="auto"/>
          </w:divBdr>
        </w:div>
        <w:div w:id="1415587989">
          <w:marLeft w:val="0"/>
          <w:marRight w:val="0"/>
          <w:marTop w:val="0"/>
          <w:marBottom w:val="0"/>
          <w:divBdr>
            <w:top w:val="none" w:sz="0" w:space="0" w:color="auto"/>
            <w:left w:val="none" w:sz="0" w:space="0" w:color="auto"/>
            <w:bottom w:val="none" w:sz="0" w:space="0" w:color="auto"/>
            <w:right w:val="none" w:sz="0" w:space="0" w:color="auto"/>
          </w:divBdr>
        </w:div>
        <w:div w:id="20048156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2020-06-16T03:52:00Z</dcterms:created>
  <dcterms:modified xsi:type="dcterms:W3CDTF">2020-12-01T03:27:00Z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