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tabs>
          <w:tab w:val="left" w:pos="996"/>
          <w:tab w:val="left" w:pos="1494"/>
        </w:tabs>
        <w:spacing w:before="156" w:after="156"/>
        <w:jc w:val="center"/>
        <w:rPr>
          <w:rFonts w:ascii="黑体" w:eastAsia="黑体"/>
          <w:b/>
          <w:bCs/>
          <w:sz w:val="32"/>
          <w:szCs w:val="32"/>
        </w:rPr>
      </w:pPr>
      <w:bookmarkStart w:id="0" w:name="_Toc9603595"/>
      <w:bookmarkStart w:id="1" w:name="_Toc3466719"/>
      <w:bookmarkStart w:id="2" w:name="_Toc3467178"/>
      <w:bookmarkStart w:id="3" w:name="_Toc2262117"/>
      <w:r>
        <w:rPr>
          <w:rFonts w:ascii="黑体" w:eastAsia="黑体" w:hint="eastAsia"/>
          <w:b/>
          <w:bCs/>
          <w:sz w:val="32"/>
          <w:szCs w:val="32"/>
        </w:rPr>
        <w:t>《汕头市台商投资区控制性详细规划局部修编</w:t>
      </w:r>
    </w:p>
    <w:p>
      <w:pPr>
        <w:tabs>
          <w:tab w:val="left" w:pos="996"/>
          <w:tab w:val="left" w:pos="1494"/>
        </w:tabs>
        <w:spacing w:before="156" w:after="156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（LH-03401控制单元局部）》</w:t>
      </w:r>
    </w:p>
    <w:p>
      <w:pPr>
        <w:tabs>
          <w:tab w:val="left" w:pos="996"/>
          <w:tab w:val="left" w:pos="1494"/>
        </w:tabs>
        <w:spacing w:before="156" w:after="156"/>
        <w:jc w:val="center"/>
        <w:rPr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简介</w:t>
      </w:r>
    </w:p>
    <w:p>
      <w:pPr>
        <w:pStyle w:val="16"/>
        <w:tabs>
          <w:tab w:val="clear" w:pos="1134"/>
          <w:tab w:val="left" w:pos="996"/>
          <w:tab w:val="left" w:pos="1494"/>
        </w:tabs>
        <w:spacing w:beforeLines="0" w:before="156" w:afterLines="0" w:after="156"/>
        <w:rPr>
          <w:b/>
          <w:bCs/>
        </w:rPr>
      </w:pPr>
      <w:bookmarkEnd w:id="0"/>
      <w:bookmarkEnd w:id="1"/>
      <w:bookmarkEnd w:id="2"/>
      <w:bookmarkEnd w:id="3"/>
      <w:r>
        <w:rPr>
          <w:rFonts w:hint="eastAsia"/>
          <w:b/>
          <w:bCs/>
        </w:rPr>
        <w:t>规划范围</w:t>
      </w:r>
    </w:p>
    <w:p>
      <w:pPr>
        <w:tabs>
          <w:tab w:val="clear" w:pos="1134"/>
        </w:tabs>
      </w:pPr>
      <w:r>
        <w:t>本次控规修编范围为龙湖区控规全覆盖中龙湖区LH-034编制单元的01控制单元局部，具体范围为黄山路、珠业南街、珠业二街及规划区间路围合片区范围内部分用地(01601、01602、01703、01704地块),面积为4.05公顷(60.75亩)。</w:t>
      </w:r>
    </w:p>
    <w:p>
      <w:pPr>
        <w:pStyle w:val="16"/>
        <w:tabs>
          <w:tab w:val="clear" w:pos="1134"/>
          <w:tab w:val="left" w:pos="996"/>
          <w:tab w:val="left" w:pos="1494"/>
        </w:tabs>
        <w:spacing w:beforeLines="0" w:before="156" w:afterLines="0" w:after="156"/>
        <w:rPr>
          <w:b/>
          <w:bCs/>
        </w:rPr>
      </w:pPr>
      <w:bookmarkStart w:id="4" w:name="_Toc3467185"/>
      <w:bookmarkStart w:id="5" w:name="_Toc9603603"/>
      <w:bookmarkStart w:id="6" w:name="_Toc2262126"/>
      <w:bookmarkStart w:id="7" w:name="_Toc3466726"/>
      <w:bookmarkStart w:id="8" w:name="_Hlk7341402"/>
      <w:r>
        <w:rPr>
          <w:rFonts w:hint="eastAsia"/>
          <w:b/>
          <w:bCs/>
        </w:rPr>
        <w:t>功能定位</w:t>
      </w:r>
      <w:bookmarkEnd w:id="4"/>
      <w:bookmarkEnd w:id="5"/>
      <w:bookmarkEnd w:id="6"/>
      <w:bookmarkEnd w:id="7"/>
    </w:p>
    <w:p>
      <w:pPr>
        <w:pStyle w:val="16"/>
        <w:numPr>
          <w:ilvl w:val="0"/>
          <w:numId w:val="0"/>
        </w:numPr>
        <w:spacing w:beforeLines="0" w:before="156" w:afterLines="0" w:after="156" w:line="300" w:lineRule="exact"/>
        <w:ind w:left="0" w:firstLineChars="200" w:firstLine="480"/>
        <w:jc w:val="left"/>
        <w:rPr>
          <w:rFonts w:eastAsia="宋体" w:cs="Times New Roman"/>
        </w:rPr>
      </w:pPr>
      <w:r>
        <w:rPr>
          <w:rFonts w:eastAsia="宋体" w:cs="Times New Roman" w:hint="eastAsia"/>
        </w:rPr>
        <w:t xml:space="preserve">环境较好，以居住为主，兼有一定商业功能的宜居片区。 </w:t>
      </w:r>
    </w:p>
    <w:p>
      <w:pPr>
        <w:pStyle w:val="16"/>
        <w:tabs>
          <w:tab w:val="clear" w:pos="1134"/>
          <w:tab w:val="left" w:pos="996"/>
          <w:tab w:val="left" w:pos="1494"/>
        </w:tabs>
        <w:spacing w:beforeLines="0" w:before="156" w:afterLines="0" w:after="156"/>
        <w:rPr>
          <w:b/>
          <w:bCs/>
        </w:rPr>
      </w:pPr>
      <w:r>
        <w:rPr>
          <w:rFonts w:hint="eastAsia"/>
          <w:b/>
          <w:bCs/>
        </w:rPr>
        <w:t>功能布局</w:t>
      </w:r>
    </w:p>
    <w:p>
      <w:pPr>
        <w:pStyle w:val="16"/>
        <w:numPr>
          <w:ilvl w:val="0"/>
          <w:numId w:val="0"/>
        </w:numPr>
        <w:spacing w:beforeLines="0" w:before="156" w:afterLines="0" w:after="156" w:line="300" w:lineRule="exact"/>
        <w:ind w:left="0" w:firstLineChars="200" w:firstLine="480"/>
        <w:rPr>
          <w:rFonts w:eastAsia="宋体" w:cs="Times New Roman"/>
        </w:rPr>
      </w:pPr>
      <w:r>
        <w:rPr>
          <w:rFonts w:eastAsia="宋体" w:cs="Times New Roman" w:hint="eastAsia"/>
        </w:rPr>
        <w:t xml:space="preserve">以住宅用地为主，兼有一定规模商业，并按三旧配套的相关规定设置社会停车场、绿地等配套设施，营造一个宜居生活区。 </w:t>
      </w:r>
    </w:p>
    <w:p>
      <w:pPr>
        <w:pStyle w:val="16"/>
        <w:tabs>
          <w:tab w:val="clear" w:pos="1134"/>
          <w:tab w:val="left" w:pos="996"/>
          <w:tab w:val="left" w:pos="1494"/>
        </w:tabs>
        <w:spacing w:beforeLines="0" w:before="156" w:afterLines="0" w:after="156"/>
        <w:rPr>
          <w:b/>
          <w:bCs/>
        </w:rPr>
      </w:pPr>
      <w:r>
        <w:rPr>
          <w:rFonts w:hint="eastAsia"/>
          <w:b/>
          <w:bCs/>
        </w:rPr>
        <w:t>发展规模</w:t>
      </w:r>
    </w:p>
    <w:p>
      <w:pPr>
        <w:pStyle w:val="16"/>
        <w:numPr>
          <w:ilvl w:val="0"/>
          <w:numId w:val="0"/>
        </w:numPr>
        <w:spacing w:beforeLines="0" w:before="156" w:afterLines="0" w:after="156"/>
        <w:ind w:left="0" w:firstLineChars="200" w:firstLine="480"/>
        <w:rPr>
          <w:rFonts w:eastAsia="宋体" w:cs="Times New Roman"/>
        </w:rPr>
      </w:pPr>
      <w:bookmarkEnd w:id="8"/>
      <w:r>
        <w:rPr>
          <w:rFonts w:eastAsia="宋体" w:cs="Times New Roman" w:hint="eastAsia"/>
        </w:rPr>
        <w:t>规划区总用地面积 4.05公顷，均为城镇建设用地。</w:t>
      </w:r>
    </w:p>
    <w:p>
      <w:pPr>
        <w:pStyle w:val="16"/>
        <w:numPr>
          <w:ilvl w:val="0"/>
          <w:numId w:val="0"/>
        </w:numPr>
        <w:spacing w:beforeLines="0" w:before="156" w:afterLines="0" w:after="156"/>
        <w:ind w:left="0" w:firstLineChars="200" w:firstLine="480"/>
        <w:rPr>
          <w:rFonts w:eastAsia="宋体" w:cs="Times New Roman"/>
        </w:rPr>
      </w:pPr>
      <w:r>
        <w:rPr>
          <w:rFonts w:eastAsia="宋体" w:cs="Times New Roman" w:hint="eastAsia"/>
        </w:rPr>
        <w:t>规划住宅/商业用地净用地面积为2.56公顷，根据有关法规、规章、技术规范及市政府相关文件，经测算居住人口约0.23万人。</w:t>
      </w:r>
    </w:p>
    <w:p>
      <w:pPr>
        <w:spacing w:before="100" w:beforeAutospacing="1" w:after="100" w:afterAutospacing="1"/>
        <w:ind w:firstLineChars="200" w:firstLine="480"/>
        <w:rPr>
          <w:kern w:val="0"/>
          <w:szCs w:val="20"/>
          <w:lang w:val="zh-CN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等线 Light">
    <w:altName w:val="宋体"/>
    <w:panose1 w:val="00000000000000000000"/>
    <w:charset w:val="86"/>
    <w:family w:val="auto"/>
    <w:pitch w:val="variable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variable"/>
    <w:sig w:usb0="00000000" w:usb1="00000000" w:usb2="00000016" w:usb3="00000000" w:csb0="0004000F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8BA27CED"/>
    <w:multiLevelType w:val="multilevel"/>
    <w:tmpl w:val="69047F5A"/>
    <w:lvl w:ilvl="0">
      <w:start w:val="1"/>
      <w:numFmt w:val="japaneseCounting"/>
      <w:lvlRestart w:val="0"/>
      <w:pStyle w:val="15"/>
      <w:lvlText w:val="第%1章"/>
      <w:lvlJc w:val="left"/>
      <w:pPr>
        <w:tabs>
          <w:tab w:val="num" w:pos="0"/>
        </w:tabs>
        <w:ind w:left="1401" w:hanging="14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1" w:hanging="420"/>
      </w:pPr>
      <w:rPr>
        <w:rFonts w:hint="default"/>
      </w:rPr>
    </w:lvl>
    <w:lvl w:ilvl="2">
      <w:start w:val="1"/>
      <w:numFmt w:val="decimal"/>
      <w:lvlText w:val="%3．"/>
      <w:lvlJc w:val="left"/>
      <w:pPr>
        <w:tabs>
          <w:tab w:val="num" w:pos="0"/>
        </w:tabs>
        <w:ind w:left="120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681" w:hanging="420"/>
      </w:pPr>
      <w:rPr>
        <w:rFonts w:hint="default"/>
      </w:rPr>
    </w:lvl>
    <w:lvl w:ilvl="4">
      <w:start w:val="1"/>
      <w:numFmt w:val="decimal"/>
      <w:lvlText w:val="%5．"/>
      <w:lvlJc w:val="left"/>
      <w:pPr>
        <w:tabs>
          <w:tab w:val="num" w:pos="0"/>
        </w:tabs>
        <w:ind w:left="2041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1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941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1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1" w:hanging="420"/>
      </w:pPr>
    </w:lvl>
  </w:abstractNum>
  <w:abstractNum w:abstractNumId="1">
    <w:nsid w:val="141EA22F"/>
    <w:multiLevelType w:val="multilevel"/>
    <w:tmpl w:val="717E2C8B"/>
    <w:lvl w:ilvl="0">
      <w:start w:val="1"/>
      <w:numFmt w:val="chineseCountingThousand"/>
      <w:lvlRestart w:val="0"/>
      <w:pStyle w:val="16"/>
      <w:lvlText w:val="第%1条"/>
      <w:lvlJc w:val="left"/>
      <w:pPr>
        <w:tabs>
          <w:tab w:val="num" w:pos="0"/>
        </w:tabs>
        <w:ind w:left="0" w:hanging="0"/>
      </w:pPr>
      <w:rPr>
        <w:rFonts w:ascii="黑体" w:hAnsi="黑体" w:eastAsia="黑体" w:hint="default"/>
        <w:b/>
      </w:rPr>
    </w:lvl>
    <w:lvl w:ilvl="1">
      <w:start w:val="1"/>
      <w:numFmt w:val="decimal"/>
      <w:lvlText w:val="%2．"/>
      <w:lvlJc w:val="left"/>
      <w:pPr>
        <w:tabs>
          <w:tab w:val="num" w:pos="0"/>
        </w:tabs>
        <w:ind w:left="78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60" w:hanging="420"/>
      </w:pPr>
      <w:rPr>
        <w:rFonts w:hint="default"/>
      </w:rPr>
    </w:lvl>
    <w:lvl w:ilvl="3">
      <w:start w:val="1"/>
      <w:numFmt w:val="decimal"/>
      <w:lvlText w:val="%4、"/>
      <w:lvlJc w:val="left"/>
      <w:pPr>
        <w:tabs>
          <w:tab w:val="num" w:pos="0"/>
        </w:tabs>
        <w:ind w:left="2055" w:hanging="795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20"/>
  <w:drawingGridVerticalSpacing w:val="156"/>
  <w:displayHorizontalDrawingGridEvery w:val="0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宋体" w:eastAsia="宋体" w:cs="Times New Roman"/>
      <w:kern w:val="2"/>
      <w:sz w:val="24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itle"/>
    <w:basedOn w:val="0"/>
    <w:next w:val="16"/>
    <w:pPr>
      <w:keepNext/>
      <w:widowControl/>
      <w:numPr>
        <w:ilvl w:val="0"/>
        <w:numId w:val="1"/>
      </w:numPr>
      <w:spacing w:beforeLines="100" w:before="100" w:afterLines="100" w:after="100"/>
      <w:jc w:val="center"/>
      <w:outlineLvl w:val="0"/>
    </w:pPr>
    <w:rPr>
      <w:rFonts w:ascii="等线 Light" w:eastAsia="微软雅黑" w:cs="Arial" w:hAnsi="等线 Light"/>
      <w:bCs/>
      <w:kern w:val="28"/>
      <w:sz w:val="28"/>
      <w:szCs w:val="28"/>
    </w:rPr>
  </w:style>
  <w:style w:type="paragraph" w:customStyle="1" w:styleId="16">
    <w:name w:val="文本条文"/>
    <w:next w:val="0"/>
    <w:pPr>
      <w:numPr>
        <w:ilvl w:val="0"/>
        <w:numId w:val="2"/>
      </w:numPr>
      <w:spacing w:beforeLines="50" w:before="50" w:afterLines="50" w:after="50"/>
      <w:jc w:val="both"/>
      <w:outlineLvl w:val="2"/>
    </w:pPr>
    <w:rPr>
      <w:rFonts w:ascii="宋体" w:eastAsia="等线" w:cs="Arial" w:hAnsi="宋体"/>
      <w:kern w:val="2"/>
      <w:sz w:val="24"/>
      <w:szCs w:val="24"/>
      <w:lang w:val="en-US" w:eastAsia="zh-CN" w:bidi="ar-SA"/>
    </w:rPr>
  </w:style>
  <w:style w:type="character" w:customStyle="1" w:styleId="17">
    <w:name w:val="标题 字符1"/>
    <w:basedOn w:val="10"/>
    <w:rPr>
      <w:rFonts w:ascii="等线 Light" w:eastAsia="等线 Light" w:cs="Times New Roman"/>
      <w:b/>
      <w:bCs/>
      <w:sz w:val="32"/>
      <w:szCs w:val="32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32</TotalTime>
  <Application>Yozo_Office27021597764231179</Application>
  <Pages>1</Pages>
  <Words>90</Words>
  <Characters>122</Characters>
  <Lines>3</Lines>
  <Paragraphs>1</Paragraphs>
  <CharactersWithSpaces>122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admin</cp:lastModifiedBy>
  <cp:revision>7</cp:revision>
  <dcterms:created xsi:type="dcterms:W3CDTF">2020-06-16T03:52:00Z</dcterms:created>
  <dcterms:modified xsi:type="dcterms:W3CDTF">2020-12-04T03:24:36Z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2052-11.1.0.9912</vt:lpwstr>
  </property>
</Properties>
</file>