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lang w:eastAsia="zh-CN"/>
        </w:rPr>
      </w:pPr>
      <w:bookmarkStart w:id="0" w:name="_Toc16880"/>
      <w:bookmarkStart w:id="1" w:name="_Toc24084"/>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汕头经济特区优化营商环境条例</w:t>
      </w:r>
      <w:bookmarkEnd w:id="0"/>
      <w:bookmarkEnd w:id="1"/>
    </w:p>
    <w:p>
      <w:pPr>
        <w:jc w:val="center"/>
        <w:rPr>
          <w:rFonts w:hint="eastAsia" w:ascii="黑体" w:hAnsi="黑体" w:eastAsia="黑体" w:cs="黑体"/>
          <w:b w:val="0"/>
          <w:bCs/>
          <w:sz w:val="32"/>
          <w:szCs w:val="32"/>
        </w:rPr>
      </w:pPr>
      <w:bookmarkStart w:id="2" w:name="_Toc22831"/>
      <w:bookmarkStart w:id="3" w:name="_Toc2981"/>
      <w:r>
        <w:rPr>
          <w:rFonts w:hint="eastAsia" w:ascii="楷体" w:hAnsi="楷体" w:eastAsia="楷体" w:cs="楷体"/>
          <w:sz w:val="32"/>
          <w:szCs w:val="32"/>
        </w:rPr>
        <w:t>（</w:t>
      </w:r>
      <w:r>
        <w:rPr>
          <w:rFonts w:hint="eastAsia" w:ascii="楷体" w:hAnsi="楷体" w:eastAsia="楷体" w:cs="楷体"/>
          <w:sz w:val="32"/>
          <w:szCs w:val="32"/>
          <w:lang w:eastAsia="zh-CN"/>
        </w:rPr>
        <w:t>草案</w:t>
      </w:r>
      <w:r>
        <w:rPr>
          <w:rFonts w:hint="eastAsia" w:ascii="楷体" w:hAnsi="楷体" w:eastAsia="楷体" w:cs="楷体"/>
          <w:sz w:val="32"/>
          <w:szCs w:val="32"/>
        </w:rPr>
        <w:t>征求意见稿）</w:t>
      </w:r>
      <w:bookmarkEnd w:id="2"/>
      <w:bookmarkEnd w:id="3"/>
    </w:p>
    <w:p>
      <w:pPr>
        <w:spacing w:before="0" w:beforeLines="0" w:after="0" w:afterLines="0" w:line="240" w:lineRule="auto"/>
        <w:ind w:left="0" w:leftChars="0" w:right="0" w:rightChars="0" w:firstLine="0" w:firstLineChars="0"/>
        <w:jc w:val="left"/>
      </w:pPr>
      <w:bookmarkStart w:id="4" w:name="_Toc19377"/>
    </w:p>
    <w:p>
      <w:pPr>
        <w:pStyle w:val="2"/>
        <w:keepNext/>
        <w:keepLines/>
        <w:pageBreakBefore w:val="0"/>
        <w:widowControl w:val="0"/>
        <w:tabs>
          <w:tab w:val="left" w:pos="7264"/>
        </w:tabs>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lang w:eastAsia="zh-CN"/>
        </w:rPr>
      </w:pPr>
      <w:bookmarkStart w:id="510" w:name="_GoBack"/>
      <w:bookmarkEnd w:id="510"/>
      <w:r>
        <w:rPr>
          <w:rFonts w:hint="eastAsia" w:ascii="仿宋" w:hAnsi="仿宋" w:eastAsia="仿宋" w:cs="仿宋"/>
          <w:b w:val="0"/>
          <w:bCs/>
          <w:sz w:val="32"/>
          <w:szCs w:val="32"/>
        </w:rPr>
        <w:t>第一章 总则</w:t>
      </w:r>
      <w:r>
        <w:rPr>
          <w:rFonts w:hint="eastAsia" w:ascii="仿宋" w:hAnsi="仿宋" w:eastAsia="仿宋" w:cs="仿宋"/>
          <w:b w:val="0"/>
          <w:bCs/>
          <w:sz w:val="32"/>
          <w:szCs w:val="32"/>
          <w:lang w:eastAsia="zh-CN"/>
        </w:rPr>
        <w:tab/>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第二章 市场和要素环境</w:t>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第三章 政务服务</w:t>
      </w:r>
      <w:r>
        <w:rPr>
          <w:rFonts w:hint="eastAsia" w:ascii="仿宋" w:hAnsi="仿宋" w:eastAsia="仿宋" w:cs="仿宋"/>
          <w:b w:val="0"/>
          <w:bCs/>
          <w:sz w:val="32"/>
          <w:szCs w:val="32"/>
        </w:rPr>
        <w:tab/>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第四章 公共服务</w:t>
      </w:r>
      <w:r>
        <w:rPr>
          <w:rFonts w:hint="eastAsia" w:ascii="仿宋" w:hAnsi="仿宋" w:eastAsia="仿宋" w:cs="仿宋"/>
          <w:b w:val="0"/>
          <w:bCs/>
          <w:sz w:val="32"/>
          <w:szCs w:val="32"/>
        </w:rPr>
        <w:tab/>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第五章 监管执法</w:t>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第六章 法治保障</w:t>
      </w:r>
      <w:r>
        <w:rPr>
          <w:rFonts w:hint="eastAsia" w:ascii="仿宋" w:hAnsi="仿宋" w:eastAsia="仿宋" w:cs="仿宋"/>
          <w:b w:val="0"/>
          <w:bCs/>
          <w:sz w:val="32"/>
          <w:szCs w:val="32"/>
        </w:rPr>
        <w:tab/>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第七章 法律责任</w:t>
      </w:r>
      <w:r>
        <w:rPr>
          <w:rFonts w:hint="eastAsia" w:ascii="仿宋" w:hAnsi="仿宋" w:eastAsia="仿宋" w:cs="仿宋"/>
          <w:b w:val="0"/>
          <w:bCs/>
          <w:sz w:val="32"/>
          <w:szCs w:val="32"/>
        </w:rPr>
        <w:tab/>
      </w:r>
    </w:p>
    <w:p>
      <w:pPr>
        <w:pStyle w:val="2"/>
        <w:keepNext/>
        <w:keepLines/>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第八章 附则</w:t>
      </w:r>
    </w:p>
    <w:p>
      <w:pPr>
        <w:spacing w:before="0" w:beforeLines="0" w:after="0" w:afterLines="0" w:line="240" w:lineRule="auto"/>
        <w:ind w:left="0" w:leftChars="0" w:right="0" w:rightChars="0" w:firstLine="0" w:firstLineChars="0"/>
        <w:jc w:val="center"/>
      </w:pPr>
    </w:p>
    <w:p>
      <w:pPr>
        <w:pStyle w:val="2"/>
        <w:jc w:val="center"/>
        <w:rPr>
          <w:rFonts w:hint="eastAsia" w:ascii="黑体" w:hAnsi="黑体" w:eastAsia="黑体" w:cs="黑体"/>
          <w:b w:val="0"/>
          <w:bCs/>
          <w:sz w:val="32"/>
          <w:szCs w:val="32"/>
        </w:rPr>
      </w:pPr>
      <w:bookmarkStart w:id="5" w:name="_Toc15592"/>
      <w:r>
        <w:rPr>
          <w:rFonts w:hint="eastAsia" w:ascii="黑体" w:hAnsi="黑体" w:eastAsia="黑体" w:cs="黑体"/>
          <w:b w:val="0"/>
          <w:bCs/>
          <w:sz w:val="32"/>
          <w:szCs w:val="32"/>
        </w:rPr>
        <w:t>第一章  总则</w:t>
      </w:r>
      <w:bookmarkEnd w:id="4"/>
      <w:bookmarkEnd w:id="5"/>
    </w:p>
    <w:p/>
    <w:p>
      <w:pPr>
        <w:spacing w:line="360" w:lineRule="exact"/>
        <w:ind w:firstLine="562" w:firstLineChars="200"/>
        <w:outlineLvl w:val="1"/>
        <w:rPr>
          <w:b/>
          <w:bCs/>
          <w:sz w:val="28"/>
          <w:szCs w:val="28"/>
        </w:rPr>
      </w:pPr>
      <w:bookmarkStart w:id="6" w:name="_Toc10614"/>
      <w:bookmarkStart w:id="7" w:name="_Toc13355"/>
      <w:bookmarkStart w:id="8" w:name="_Toc22969"/>
      <w:bookmarkStart w:id="9" w:name="_Toc6098"/>
      <w:bookmarkStart w:id="10" w:name="_Toc5706"/>
      <w:r>
        <w:rPr>
          <w:rStyle w:val="15"/>
          <w:rFonts w:hint="eastAsia" w:asciiTheme="minorEastAsia" w:hAnsiTheme="minorEastAsia" w:eastAsiaTheme="minorEastAsia" w:cstheme="minorEastAsia"/>
          <w:sz w:val="28"/>
          <w:szCs w:val="28"/>
        </w:rPr>
        <w:t>第一条【目的和依据】</w:t>
      </w:r>
      <w:bookmarkEnd w:id="6"/>
      <w:bookmarkEnd w:id="7"/>
      <w:bookmarkEnd w:id="8"/>
      <w:bookmarkEnd w:id="9"/>
      <w:bookmarkEnd w:id="10"/>
      <w:r>
        <w:rPr>
          <w:rFonts w:hint="eastAsia"/>
          <w:b/>
          <w:bCs/>
          <w:sz w:val="28"/>
          <w:szCs w:val="28"/>
        </w:rPr>
        <w:tab/>
      </w:r>
    </w:p>
    <w:p>
      <w:pPr>
        <w:spacing w:line="360" w:lineRule="exact"/>
        <w:ind w:firstLine="560" w:firstLineChars="200"/>
        <w:rPr>
          <w:sz w:val="28"/>
          <w:szCs w:val="28"/>
        </w:rPr>
      </w:pPr>
      <w:r>
        <w:rPr>
          <w:rFonts w:hint="eastAsia"/>
          <w:sz w:val="28"/>
          <w:szCs w:val="28"/>
        </w:rPr>
        <w:t>为持续优化营商环境，激发市场主体活力，促进经济高质量发展，加快建设现代化沿海经济带重要发展极、省域副中心城市，根据相关法律、行政法规（国务院《优化营商环境条例》）的基本原则，结合汕头经济特区实际，制定本条例。</w:t>
      </w:r>
    </w:p>
    <w:p>
      <w:pPr>
        <w:spacing w:line="360" w:lineRule="exact"/>
        <w:ind w:firstLine="562" w:firstLineChars="200"/>
        <w:outlineLvl w:val="1"/>
        <w:rPr>
          <w:rStyle w:val="15"/>
          <w:rFonts w:asciiTheme="minorEastAsia" w:hAnsiTheme="minorEastAsia" w:eastAsiaTheme="minorEastAsia" w:cstheme="minorEastAsia"/>
          <w:sz w:val="28"/>
          <w:szCs w:val="28"/>
        </w:rPr>
      </w:pPr>
      <w:bookmarkStart w:id="11" w:name="_Toc24281"/>
      <w:bookmarkStart w:id="12" w:name="_Toc28339"/>
      <w:bookmarkStart w:id="13" w:name="_Toc5066"/>
      <w:bookmarkStart w:id="14" w:name="_Toc29920"/>
      <w:bookmarkStart w:id="15" w:name="_Toc17596"/>
      <w:r>
        <w:rPr>
          <w:rStyle w:val="15"/>
          <w:rFonts w:hint="eastAsia" w:asciiTheme="minorEastAsia" w:hAnsiTheme="minorEastAsia" w:eastAsiaTheme="minorEastAsia" w:cstheme="minorEastAsia"/>
          <w:sz w:val="28"/>
          <w:szCs w:val="28"/>
        </w:rPr>
        <w:t>第二条【适用范围】</w:t>
      </w:r>
      <w:bookmarkEnd w:id="11"/>
      <w:bookmarkEnd w:id="12"/>
      <w:bookmarkEnd w:id="13"/>
      <w:bookmarkEnd w:id="14"/>
      <w:bookmarkEnd w:id="15"/>
    </w:p>
    <w:p>
      <w:pPr>
        <w:spacing w:line="360" w:lineRule="exact"/>
        <w:ind w:firstLine="560" w:firstLineChars="200"/>
        <w:rPr>
          <w:sz w:val="28"/>
          <w:szCs w:val="28"/>
        </w:rPr>
      </w:pPr>
      <w:r>
        <w:rPr>
          <w:rFonts w:hint="eastAsia"/>
          <w:sz w:val="28"/>
          <w:szCs w:val="28"/>
        </w:rPr>
        <w:t>本市行政区域内优化营商环境工作，适用本条例。</w:t>
      </w:r>
    </w:p>
    <w:p>
      <w:pPr>
        <w:spacing w:line="360" w:lineRule="exact"/>
        <w:ind w:firstLine="562" w:firstLineChars="200"/>
        <w:outlineLvl w:val="1"/>
        <w:rPr>
          <w:rStyle w:val="15"/>
          <w:b w:val="0"/>
          <w:bCs/>
          <w:szCs w:val="22"/>
        </w:rPr>
      </w:pPr>
      <w:bookmarkStart w:id="16" w:name="_Toc16373"/>
      <w:bookmarkStart w:id="17" w:name="_Toc22715"/>
      <w:bookmarkStart w:id="18" w:name="_Toc10697"/>
      <w:bookmarkStart w:id="19" w:name="_Toc3840"/>
      <w:bookmarkStart w:id="20" w:name="_Toc17199"/>
      <w:r>
        <w:rPr>
          <w:rStyle w:val="15"/>
          <w:rFonts w:hint="eastAsia" w:asciiTheme="minorEastAsia" w:hAnsiTheme="minorEastAsia" w:eastAsiaTheme="minorEastAsia" w:cstheme="minorEastAsia"/>
          <w:sz w:val="28"/>
          <w:szCs w:val="28"/>
        </w:rPr>
        <w:t>第三条【基本原则】</w:t>
      </w:r>
      <w:bookmarkEnd w:id="16"/>
      <w:bookmarkEnd w:id="17"/>
      <w:bookmarkEnd w:id="18"/>
      <w:bookmarkEnd w:id="19"/>
      <w:bookmarkEnd w:id="20"/>
      <w:r>
        <w:rPr>
          <w:rStyle w:val="15"/>
          <w:rFonts w:hint="eastAsia"/>
          <w:b w:val="0"/>
          <w:bCs/>
          <w:szCs w:val="22"/>
        </w:rPr>
        <w:tab/>
      </w:r>
    </w:p>
    <w:p>
      <w:pPr>
        <w:spacing w:line="360" w:lineRule="exact"/>
        <w:rPr>
          <w:sz w:val="28"/>
          <w:szCs w:val="28"/>
        </w:rPr>
      </w:pPr>
      <w:r>
        <w:rPr>
          <w:rFonts w:hint="eastAsia"/>
          <w:sz w:val="28"/>
          <w:szCs w:val="28"/>
        </w:rPr>
        <w:t xml:space="preserve">    优化营商环境应当坚持市场化、法治化、国际化、便利化原则，以市场主体需求为导向，以政府职能转变为核心，充分发挥市场在资源配置中的决定性作用，为各类市场主体营造稳定、公平、透明、可预期的发展环境，建立健全统一开放、</w:t>
      </w:r>
      <w:r>
        <w:rPr>
          <w:rFonts w:hint="eastAsia"/>
          <w:sz w:val="28"/>
          <w:szCs w:val="28"/>
          <w:highlight w:val="none"/>
          <w:lang w:eastAsia="zh-CN"/>
        </w:rPr>
        <w:t>竞争</w:t>
      </w:r>
      <w:r>
        <w:rPr>
          <w:rFonts w:hint="eastAsia"/>
          <w:sz w:val="28"/>
          <w:szCs w:val="28"/>
        </w:rPr>
        <w:t>有序的现代市场体系，更大激发市场活力和社会创造力，增强发展动力。</w:t>
      </w:r>
    </w:p>
    <w:p>
      <w:pPr>
        <w:spacing w:line="360" w:lineRule="exact"/>
        <w:ind w:firstLine="562" w:firstLineChars="200"/>
        <w:outlineLvl w:val="1"/>
        <w:rPr>
          <w:sz w:val="28"/>
          <w:szCs w:val="28"/>
        </w:rPr>
      </w:pPr>
      <w:bookmarkStart w:id="21" w:name="_Toc22929"/>
      <w:bookmarkStart w:id="22" w:name="_Toc13230"/>
      <w:bookmarkStart w:id="23" w:name="_Toc4435"/>
      <w:bookmarkStart w:id="24" w:name="_Toc12075"/>
      <w:bookmarkStart w:id="25" w:name="_Toc27836"/>
      <w:r>
        <w:rPr>
          <w:rStyle w:val="15"/>
          <w:rFonts w:hint="eastAsia" w:asciiTheme="minorEastAsia" w:hAnsiTheme="minorEastAsia" w:eastAsiaTheme="minorEastAsia" w:cstheme="minorEastAsia"/>
          <w:sz w:val="28"/>
          <w:szCs w:val="28"/>
        </w:rPr>
        <w:t>第四条【市场主体权利义务】</w:t>
      </w:r>
      <w:bookmarkEnd w:id="21"/>
      <w:bookmarkEnd w:id="22"/>
      <w:bookmarkEnd w:id="23"/>
      <w:bookmarkEnd w:id="24"/>
      <w:bookmarkEnd w:id="25"/>
      <w:r>
        <w:rPr>
          <w:rFonts w:hint="eastAsia"/>
          <w:b/>
          <w:bCs/>
          <w:sz w:val="28"/>
          <w:szCs w:val="28"/>
        </w:rPr>
        <w:tab/>
      </w:r>
    </w:p>
    <w:p>
      <w:pPr>
        <w:spacing w:line="360" w:lineRule="exact"/>
        <w:ind w:firstLine="560" w:firstLineChars="200"/>
        <w:rPr>
          <w:sz w:val="28"/>
          <w:szCs w:val="28"/>
        </w:rPr>
      </w:pPr>
      <w:r>
        <w:rPr>
          <w:rFonts w:hint="eastAsia"/>
          <w:sz w:val="28"/>
          <w:szCs w:val="28"/>
        </w:rPr>
        <w:t>市场主体在市场经济活动中的权利平等、机会平等、规则平等，依法享有自主决定经营业态、模式的权利，人身和财产权益受到保护的权利，知悉法律、政策和监管、服务等情况的权利，自主加入或者退出社会组织的权利，对营商环境工作进行监督的权利。</w:t>
      </w:r>
    </w:p>
    <w:p>
      <w:pPr>
        <w:spacing w:line="360" w:lineRule="exact"/>
        <w:ind w:firstLine="560" w:firstLineChars="200"/>
        <w:rPr>
          <w:sz w:val="28"/>
          <w:szCs w:val="28"/>
        </w:rPr>
      </w:pPr>
      <w:r>
        <w:rPr>
          <w:rFonts w:hint="eastAsia"/>
          <w:sz w:val="28"/>
          <w:szCs w:val="28"/>
        </w:rPr>
        <w:t>市场主体应当遵守法律法规，恪守社会公德和商业道德，诚实守信、公平竞争、合规经营，维护市场秩序，积极履行法定义务，共同营造更加健康有序的营商环境。在国际经济贸易活动中遵守当地法律，遵循国际通行规则。</w:t>
      </w:r>
    </w:p>
    <w:p>
      <w:pPr>
        <w:spacing w:line="360" w:lineRule="exact"/>
        <w:ind w:firstLine="562" w:firstLineChars="200"/>
        <w:outlineLvl w:val="1"/>
        <w:rPr>
          <w:rStyle w:val="15"/>
          <w:b w:val="0"/>
          <w:bCs/>
          <w:szCs w:val="22"/>
        </w:rPr>
      </w:pPr>
      <w:bookmarkStart w:id="26" w:name="_Toc4726"/>
      <w:bookmarkStart w:id="27" w:name="_Toc28349"/>
      <w:bookmarkStart w:id="28" w:name="_Toc711"/>
      <w:bookmarkStart w:id="29" w:name="_Toc27272"/>
      <w:bookmarkStart w:id="30" w:name="_Toc15705"/>
      <w:r>
        <w:rPr>
          <w:rStyle w:val="15"/>
          <w:rFonts w:hint="eastAsia" w:asciiTheme="minorEastAsia" w:hAnsiTheme="minorEastAsia" w:eastAsiaTheme="minorEastAsia" w:cstheme="minorEastAsia"/>
          <w:sz w:val="28"/>
          <w:szCs w:val="28"/>
        </w:rPr>
        <w:t>第五条【政府部门工作职责】</w:t>
      </w:r>
      <w:bookmarkEnd w:id="26"/>
      <w:bookmarkEnd w:id="27"/>
      <w:bookmarkEnd w:id="28"/>
      <w:bookmarkEnd w:id="29"/>
      <w:bookmarkEnd w:id="30"/>
      <w:r>
        <w:rPr>
          <w:rStyle w:val="15"/>
          <w:rFonts w:hint="eastAsia"/>
          <w:b w:val="0"/>
          <w:bCs/>
          <w:szCs w:val="22"/>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应当加强本行政区域优化营商环境工作的组织领导，统筹深化简政放权、放管结合、优化服务改革，对标国内国际先进水平，坚持目标可量化、实效可视化，完善优化营商环境的政策措施，建立健全优化营商环境工作协调机制，强化协同联动，主动积极协调、解决营商环境中存在的重大问题。政府主要负责人是优化营商环境的第一责任人。</w:t>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发展改革部门是本行政区域内优化营商环境工作的主管部门，负责统筹、指导、协调、推进优化营商环境日常工作，组织开展营商环境评价，组织实施本条例。</w:t>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营商环境建设监督局负责监督营商环境改革措施落实情况，组织开展日常督导、专项督察和集中整治工作。</w:t>
      </w:r>
    </w:p>
    <w:p>
      <w:pPr>
        <w:spacing w:line="360" w:lineRule="exact"/>
        <w:ind w:firstLine="560" w:firstLineChars="200"/>
        <w:rPr>
          <w:sz w:val="28"/>
          <w:szCs w:val="28"/>
        </w:rPr>
      </w:pPr>
      <w:r>
        <w:rPr>
          <w:rFonts w:hint="eastAsia"/>
          <w:sz w:val="28"/>
          <w:szCs w:val="28"/>
          <w:highlight w:val="none"/>
        </w:rPr>
        <w:t>市</w:t>
      </w:r>
      <w:r>
        <w:rPr>
          <w:rFonts w:hint="eastAsia"/>
          <w:sz w:val="28"/>
          <w:szCs w:val="28"/>
        </w:rPr>
        <w:t>工业和信息化、人力资源和社会保障、自然资源、住房和城乡建设、生态环境、商务、政务服务、市场监管、金融、税务、海关、司法等部门应当按照各自职责，做好优化营商环境相关工作。</w:t>
      </w:r>
    </w:p>
    <w:p>
      <w:pPr>
        <w:spacing w:line="360" w:lineRule="exact"/>
        <w:ind w:firstLine="562" w:firstLineChars="200"/>
        <w:outlineLvl w:val="1"/>
        <w:rPr>
          <w:rStyle w:val="15"/>
          <w:b w:val="0"/>
          <w:bCs/>
          <w:szCs w:val="22"/>
        </w:rPr>
      </w:pPr>
      <w:bookmarkStart w:id="31" w:name="_Toc13798"/>
      <w:bookmarkStart w:id="32" w:name="_Toc18278"/>
      <w:bookmarkStart w:id="33" w:name="_Toc29093"/>
      <w:bookmarkStart w:id="34" w:name="_Toc21016"/>
      <w:bookmarkStart w:id="35" w:name="_Toc23321"/>
      <w:r>
        <w:rPr>
          <w:rStyle w:val="15"/>
          <w:rFonts w:hint="eastAsia" w:asciiTheme="minorEastAsia" w:hAnsiTheme="minorEastAsia" w:eastAsiaTheme="minorEastAsia" w:cstheme="minorEastAsia"/>
          <w:sz w:val="28"/>
          <w:szCs w:val="28"/>
        </w:rPr>
        <w:t>第六条【营商环境评价】</w:t>
      </w:r>
      <w:bookmarkEnd w:id="31"/>
      <w:bookmarkEnd w:id="32"/>
      <w:bookmarkEnd w:id="33"/>
      <w:bookmarkEnd w:id="34"/>
      <w:bookmarkEnd w:id="35"/>
      <w:r>
        <w:rPr>
          <w:rStyle w:val="15"/>
          <w:rFonts w:hint="eastAsia"/>
          <w:b w:val="0"/>
          <w:bCs/>
          <w:szCs w:val="22"/>
        </w:rPr>
        <w:tab/>
      </w:r>
    </w:p>
    <w:p>
      <w:pPr>
        <w:spacing w:line="360" w:lineRule="exact"/>
        <w:ind w:firstLine="560" w:firstLineChars="200"/>
        <w:rPr>
          <w:sz w:val="28"/>
          <w:szCs w:val="28"/>
        </w:rPr>
      </w:pPr>
      <w:r>
        <w:rPr>
          <w:rFonts w:hint="eastAsia"/>
          <w:sz w:val="28"/>
          <w:szCs w:val="28"/>
        </w:rPr>
        <w:t>本市对标世界银行评价体系，按照国家和省营商环境评价体系要求，以市场主体和社会公众满意度为导向，建设数字化、信息化、智能化的汕头市营商环境大数据平台，组织开展营商环境评价，发挥营商环境评价体系对优化营商环境的引领和督促作用，及时调整完善优化营商环境的政策措施，推动改革举措落实。</w:t>
      </w:r>
    </w:p>
    <w:p>
      <w:pPr>
        <w:spacing w:line="360" w:lineRule="exact"/>
        <w:ind w:firstLine="560" w:firstLineChars="200"/>
        <w:rPr>
          <w:sz w:val="28"/>
          <w:szCs w:val="28"/>
        </w:rPr>
      </w:pPr>
      <w:r>
        <w:rPr>
          <w:rFonts w:hint="eastAsia"/>
          <w:sz w:val="28"/>
          <w:szCs w:val="28"/>
        </w:rPr>
        <w:t>各区</w:t>
      </w:r>
      <w:r>
        <w:rPr>
          <w:rFonts w:hint="eastAsia"/>
          <w:sz w:val="28"/>
          <w:szCs w:val="28"/>
          <w:lang w:eastAsia="zh-CN"/>
        </w:rPr>
        <w:t>（</w:t>
      </w:r>
      <w:r>
        <w:rPr>
          <w:rFonts w:hint="eastAsia"/>
          <w:sz w:val="28"/>
          <w:szCs w:val="28"/>
        </w:rPr>
        <w:t>县</w:t>
      </w:r>
      <w:r>
        <w:rPr>
          <w:rFonts w:hint="eastAsia"/>
          <w:sz w:val="28"/>
          <w:szCs w:val="28"/>
          <w:lang w:eastAsia="zh-CN"/>
        </w:rPr>
        <w:t>）</w:t>
      </w:r>
      <w:r>
        <w:rPr>
          <w:rFonts w:hint="eastAsia"/>
          <w:sz w:val="28"/>
          <w:szCs w:val="28"/>
        </w:rPr>
        <w:t>、各部门应当积极配合开展营商环境评价，准确、及时报送营商环境评价数据及改革政策落实情况，协助开展市场主体问卷调查，并接受优化营商环境工作专项</w:t>
      </w:r>
      <w:r>
        <w:rPr>
          <w:rFonts w:hint="eastAsia"/>
          <w:sz w:val="28"/>
          <w:szCs w:val="28"/>
          <w:highlight w:val="none"/>
          <w:lang w:eastAsia="zh-CN"/>
        </w:rPr>
        <w:t>督查</w:t>
      </w:r>
      <w:r>
        <w:rPr>
          <w:rFonts w:hint="eastAsia"/>
          <w:sz w:val="28"/>
          <w:szCs w:val="28"/>
        </w:rPr>
        <w:t>、督导及社会公众监督。</w:t>
      </w:r>
    </w:p>
    <w:p>
      <w:pPr>
        <w:spacing w:line="360" w:lineRule="exact"/>
        <w:ind w:firstLine="560" w:firstLineChars="200"/>
        <w:rPr>
          <w:sz w:val="28"/>
          <w:szCs w:val="28"/>
        </w:rPr>
      </w:pPr>
      <w:r>
        <w:rPr>
          <w:rFonts w:hint="eastAsia"/>
          <w:sz w:val="28"/>
          <w:szCs w:val="28"/>
        </w:rPr>
        <w:t>鼓励建立优化营商环境第三方评价机制，由独立第三方社会机构对市、</w:t>
      </w:r>
      <w:r>
        <w:rPr>
          <w:rFonts w:hint="eastAsia"/>
          <w:sz w:val="28"/>
          <w:szCs w:val="28"/>
          <w:lang w:eastAsia="zh-CN"/>
        </w:rPr>
        <w:t>区（县）</w:t>
      </w:r>
      <w:r>
        <w:rPr>
          <w:rFonts w:hint="eastAsia"/>
          <w:sz w:val="28"/>
          <w:szCs w:val="28"/>
        </w:rPr>
        <w:t>人民政府及其部门的优化营商环境工作进行满意度测评，并将结果向社会公开。</w:t>
      </w:r>
    </w:p>
    <w:p>
      <w:pPr>
        <w:spacing w:line="360" w:lineRule="exact"/>
        <w:ind w:firstLine="562" w:firstLineChars="200"/>
        <w:outlineLvl w:val="1"/>
        <w:rPr>
          <w:rStyle w:val="15"/>
          <w:b w:val="0"/>
          <w:bCs/>
          <w:szCs w:val="22"/>
        </w:rPr>
      </w:pPr>
      <w:bookmarkStart w:id="36" w:name="_Toc16815"/>
      <w:bookmarkStart w:id="37" w:name="_Toc31637"/>
      <w:bookmarkStart w:id="38" w:name="_Toc29693"/>
      <w:bookmarkStart w:id="39" w:name="_Toc22144"/>
      <w:bookmarkStart w:id="40" w:name="_Toc28537"/>
      <w:r>
        <w:rPr>
          <w:rStyle w:val="15"/>
          <w:rFonts w:hint="eastAsia" w:asciiTheme="minorEastAsia" w:hAnsiTheme="minorEastAsia" w:eastAsiaTheme="minorEastAsia" w:cstheme="minorEastAsia"/>
          <w:sz w:val="28"/>
          <w:szCs w:val="28"/>
        </w:rPr>
        <w:t>第七条【鼓励改革创新】</w:t>
      </w:r>
      <w:bookmarkEnd w:id="36"/>
      <w:bookmarkEnd w:id="37"/>
      <w:bookmarkEnd w:id="38"/>
      <w:bookmarkEnd w:id="39"/>
      <w:bookmarkEnd w:id="40"/>
      <w:r>
        <w:rPr>
          <w:rStyle w:val="15"/>
          <w:rFonts w:hint="eastAsia"/>
          <w:b w:val="0"/>
          <w:bCs/>
          <w:szCs w:val="22"/>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及其有关部门应当结合实际，充分运用现行法律制度及国家政策资源，在市场主体待遇、规则、标准等方面做到与国内其他城市的最先进做法主动趋同，探索具体可行的优化营商环境新经验、新做法，复制推广</w:t>
      </w:r>
      <w:r>
        <w:rPr>
          <w:rFonts w:hint="eastAsia"/>
          <w:sz w:val="28"/>
          <w:szCs w:val="28"/>
          <w:highlight w:val="none"/>
        </w:rPr>
        <w:t>行之有效的优化</w:t>
      </w:r>
      <w:r>
        <w:rPr>
          <w:rFonts w:hint="eastAsia"/>
          <w:sz w:val="28"/>
          <w:szCs w:val="28"/>
        </w:rPr>
        <w:t>营商环境改革措施。</w:t>
      </w:r>
    </w:p>
    <w:p>
      <w:pPr>
        <w:spacing w:line="360" w:lineRule="exact"/>
        <w:ind w:firstLine="560" w:firstLineChars="200"/>
        <w:rPr>
          <w:sz w:val="28"/>
          <w:szCs w:val="28"/>
        </w:rPr>
      </w:pPr>
      <w:r>
        <w:rPr>
          <w:rFonts w:hint="eastAsia"/>
          <w:sz w:val="28"/>
          <w:szCs w:val="28"/>
        </w:rPr>
        <w:t>汕头综合保税区、汕头高新技术产业开发区、华侨经济文化合作试验区等区域应当在优化营商环境方面发挥引领示范作用，先行先试有利于优化营商环境的各项改革措施。</w:t>
      </w:r>
    </w:p>
    <w:p>
      <w:pPr>
        <w:spacing w:line="360" w:lineRule="exact"/>
        <w:ind w:firstLine="562" w:firstLineChars="200"/>
        <w:outlineLvl w:val="1"/>
        <w:rPr>
          <w:b/>
          <w:bCs/>
          <w:sz w:val="28"/>
          <w:szCs w:val="28"/>
        </w:rPr>
      </w:pPr>
      <w:bookmarkStart w:id="41" w:name="_Toc11190"/>
      <w:bookmarkStart w:id="42" w:name="_Toc14063"/>
      <w:bookmarkStart w:id="43" w:name="_Toc24380"/>
      <w:bookmarkStart w:id="44" w:name="_Toc16548"/>
      <w:bookmarkStart w:id="45" w:name="_Toc13340"/>
      <w:r>
        <w:rPr>
          <w:rStyle w:val="15"/>
          <w:rFonts w:hint="eastAsia" w:asciiTheme="minorEastAsia" w:hAnsiTheme="minorEastAsia" w:eastAsiaTheme="minorEastAsia" w:cstheme="minorEastAsia"/>
          <w:sz w:val="28"/>
          <w:szCs w:val="28"/>
        </w:rPr>
        <w:t>第八条【激励和容错机制】</w:t>
      </w:r>
      <w:bookmarkEnd w:id="41"/>
      <w:bookmarkEnd w:id="42"/>
      <w:bookmarkEnd w:id="43"/>
      <w:bookmarkEnd w:id="44"/>
      <w:bookmarkEnd w:id="45"/>
      <w:r>
        <w:rPr>
          <w:rFonts w:hint="eastAsia"/>
          <w:b/>
          <w:bCs/>
          <w:sz w:val="28"/>
          <w:szCs w:val="28"/>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人民政府应当建立优化营商环境工作激励机制，对在优化营商环境工作中</w:t>
      </w:r>
      <w:r>
        <w:rPr>
          <w:rFonts w:hint="eastAsia"/>
          <w:sz w:val="28"/>
          <w:szCs w:val="28"/>
          <w:highlight w:val="none"/>
          <w:lang w:eastAsia="zh-CN"/>
        </w:rPr>
        <w:t>做出</w:t>
      </w:r>
      <w:r>
        <w:rPr>
          <w:rFonts w:hint="eastAsia"/>
          <w:sz w:val="28"/>
          <w:szCs w:val="28"/>
        </w:rPr>
        <w:t>显著成绩的单位和个人，按照有关规定给予表彰和奖励。对不作为、乱作为延误工作的部门和单位予以问责。</w:t>
      </w:r>
    </w:p>
    <w:p>
      <w:pPr>
        <w:spacing w:line="360" w:lineRule="exact"/>
        <w:ind w:firstLine="560" w:firstLineChars="200"/>
        <w:rPr>
          <w:sz w:val="28"/>
          <w:szCs w:val="28"/>
        </w:rPr>
      </w:pPr>
      <w:r>
        <w:rPr>
          <w:rFonts w:hint="eastAsia"/>
          <w:sz w:val="28"/>
          <w:szCs w:val="28"/>
        </w:rPr>
        <w:t>建立容错机制，有关单位和个人在营商环境推进改革工作进行的改革创新、先行先试工作中出现失误或者偏差，未达到预期效果，但有关单位和个人依照国家和本市有关规定决策、实施，且勤勉尽责、未</w:t>
      </w:r>
      <w:r>
        <w:rPr>
          <w:rFonts w:hint="eastAsia"/>
          <w:sz w:val="28"/>
          <w:szCs w:val="28"/>
          <w:highlight w:val="none"/>
          <w:lang w:eastAsia="zh-CN"/>
        </w:rPr>
        <w:t>谋取私利</w:t>
      </w:r>
      <w:r>
        <w:rPr>
          <w:rFonts w:hint="eastAsia"/>
          <w:sz w:val="28"/>
          <w:szCs w:val="28"/>
        </w:rPr>
        <w:t>的，同时符合以下条件的，不作负面评价，并免于追究或者减轻有关人员的责任：</w:t>
      </w:r>
    </w:p>
    <w:p>
      <w:pPr>
        <w:spacing w:line="360" w:lineRule="exact"/>
        <w:ind w:firstLine="560" w:firstLineChars="200"/>
        <w:rPr>
          <w:sz w:val="28"/>
          <w:szCs w:val="28"/>
        </w:rPr>
      </w:pPr>
      <w:r>
        <w:rPr>
          <w:rFonts w:hint="eastAsia"/>
          <w:sz w:val="28"/>
          <w:szCs w:val="28"/>
        </w:rPr>
        <w:t>（一）决策和实施程序未违反法律法规的强制性规定；</w:t>
      </w:r>
    </w:p>
    <w:p>
      <w:pPr>
        <w:spacing w:line="360" w:lineRule="exact"/>
        <w:ind w:firstLine="560" w:firstLineChars="200"/>
        <w:rPr>
          <w:sz w:val="28"/>
          <w:szCs w:val="28"/>
        </w:rPr>
      </w:pPr>
      <w:r>
        <w:rPr>
          <w:rFonts w:hint="eastAsia"/>
          <w:sz w:val="28"/>
          <w:szCs w:val="28"/>
        </w:rPr>
        <w:t>（二）未造成重大损失和社会负面影响的；</w:t>
      </w:r>
    </w:p>
    <w:p>
      <w:pPr>
        <w:spacing w:line="360" w:lineRule="exact"/>
        <w:ind w:firstLine="560" w:firstLineChars="200"/>
        <w:rPr>
          <w:sz w:val="28"/>
          <w:szCs w:val="28"/>
        </w:rPr>
      </w:pPr>
      <w:r>
        <w:rPr>
          <w:rFonts w:hint="eastAsia"/>
          <w:sz w:val="28"/>
          <w:szCs w:val="28"/>
        </w:rPr>
        <w:t>（三）相关人员履行了勤勉尽责义务且未谋取非法利益的；</w:t>
      </w:r>
    </w:p>
    <w:p>
      <w:pPr>
        <w:spacing w:line="360" w:lineRule="exact"/>
        <w:ind w:firstLine="560" w:firstLineChars="200"/>
        <w:rPr>
          <w:sz w:val="28"/>
          <w:szCs w:val="28"/>
        </w:rPr>
      </w:pPr>
      <w:r>
        <w:rPr>
          <w:rFonts w:hint="eastAsia"/>
          <w:sz w:val="28"/>
          <w:szCs w:val="28"/>
        </w:rPr>
        <w:t>（四）未恶意串通损害公共利益和他人合法权益。</w:t>
      </w:r>
    </w:p>
    <w:p>
      <w:pPr>
        <w:spacing w:line="360" w:lineRule="exact"/>
        <w:ind w:firstLine="560" w:firstLineChars="200"/>
        <w:rPr>
          <w:sz w:val="28"/>
          <w:szCs w:val="28"/>
        </w:rPr>
      </w:pPr>
      <w:r>
        <w:rPr>
          <w:rFonts w:hint="eastAsia"/>
          <w:sz w:val="28"/>
          <w:szCs w:val="28"/>
        </w:rPr>
        <w:t>法律、行政法规另有规定的，从其规定。</w:t>
      </w:r>
    </w:p>
    <w:p>
      <w:pPr>
        <w:spacing w:line="360" w:lineRule="exact"/>
        <w:ind w:firstLine="562" w:firstLineChars="200"/>
        <w:outlineLvl w:val="1"/>
        <w:rPr>
          <w:rStyle w:val="15"/>
          <w:rFonts w:asciiTheme="minorEastAsia" w:hAnsiTheme="minorEastAsia" w:eastAsiaTheme="minorEastAsia" w:cstheme="minorEastAsia"/>
          <w:sz w:val="28"/>
          <w:szCs w:val="28"/>
        </w:rPr>
      </w:pPr>
      <w:bookmarkStart w:id="46" w:name="_Toc19075"/>
      <w:bookmarkStart w:id="47" w:name="_Toc2063"/>
      <w:bookmarkStart w:id="48" w:name="_Toc633"/>
      <w:bookmarkStart w:id="49" w:name="_Toc28273"/>
      <w:bookmarkStart w:id="50" w:name="_Toc1423"/>
      <w:r>
        <w:rPr>
          <w:rStyle w:val="15"/>
          <w:rFonts w:hint="eastAsia" w:asciiTheme="minorEastAsia" w:hAnsiTheme="minorEastAsia" w:eastAsiaTheme="minorEastAsia" w:cstheme="minorEastAsia"/>
          <w:sz w:val="28"/>
          <w:szCs w:val="28"/>
        </w:rPr>
        <w:t>第九条【区域协同发展】</w:t>
      </w:r>
      <w:bookmarkEnd w:id="46"/>
      <w:bookmarkEnd w:id="47"/>
      <w:bookmarkEnd w:id="48"/>
      <w:bookmarkEnd w:id="49"/>
      <w:bookmarkEnd w:id="50"/>
      <w:r>
        <w:rPr>
          <w:rStyle w:val="15"/>
          <w:rFonts w:hint="eastAsia" w:asciiTheme="minorEastAsia" w:hAnsiTheme="minorEastAsia" w:eastAsiaTheme="minorEastAsia" w:cstheme="minorEastAsia"/>
          <w:sz w:val="28"/>
          <w:szCs w:val="28"/>
        </w:rPr>
        <w:tab/>
      </w:r>
    </w:p>
    <w:p>
      <w:pPr>
        <w:spacing w:line="360" w:lineRule="exact"/>
        <w:ind w:firstLine="560" w:firstLineChars="200"/>
        <w:rPr>
          <w:b/>
          <w:bCs/>
          <w:sz w:val="28"/>
          <w:szCs w:val="28"/>
        </w:rPr>
      </w:pPr>
      <w:r>
        <w:rPr>
          <w:rFonts w:hint="eastAsia"/>
          <w:sz w:val="28"/>
          <w:szCs w:val="28"/>
        </w:rPr>
        <w:t>本市立足于“一枢纽”“四高地”“两中心”的定位，推动省域副中心城市服务功能全面提升，积极参与对接粤港澳大湾区及粤东相关城市的协同驱动，推动市场规则衔接和政务服务体系协作，着力形成要素自由流动的统一开放市场，打造具有国际竞争力的粤东区域一体化营商环境。</w:t>
      </w:r>
    </w:p>
    <w:p>
      <w:pPr>
        <w:spacing w:line="360" w:lineRule="exact"/>
        <w:ind w:firstLine="562" w:firstLineChars="200"/>
        <w:outlineLvl w:val="1"/>
        <w:rPr>
          <w:b/>
          <w:bCs/>
          <w:sz w:val="28"/>
          <w:szCs w:val="28"/>
        </w:rPr>
      </w:pPr>
      <w:bookmarkStart w:id="51" w:name="_Toc2268"/>
      <w:bookmarkStart w:id="52" w:name="_Toc18865"/>
      <w:bookmarkStart w:id="53" w:name="_Toc7275"/>
      <w:bookmarkStart w:id="54" w:name="_Toc12674"/>
      <w:bookmarkStart w:id="55" w:name="_Toc30573"/>
      <w:r>
        <w:rPr>
          <w:rStyle w:val="15"/>
          <w:rFonts w:hint="eastAsia" w:asciiTheme="minorEastAsia" w:hAnsiTheme="minorEastAsia" w:eastAsiaTheme="minorEastAsia" w:cstheme="minorEastAsia"/>
          <w:sz w:val="28"/>
          <w:szCs w:val="28"/>
        </w:rPr>
        <w:t>第十条【舆论宣传】</w:t>
      </w:r>
      <w:bookmarkEnd w:id="51"/>
      <w:bookmarkEnd w:id="52"/>
      <w:bookmarkEnd w:id="53"/>
      <w:bookmarkEnd w:id="54"/>
      <w:bookmarkEnd w:id="55"/>
      <w:r>
        <w:rPr>
          <w:rFonts w:hint="eastAsia"/>
          <w:b/>
          <w:bCs/>
          <w:sz w:val="28"/>
          <w:szCs w:val="28"/>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人民政府及其有关部门应当加强优化营商环境的法律、法规、规章和政策措施的宣传，完善法治宣传教育考核体系，支持新闻媒体客观、公正地对营商环境进行舆论监督，建立舆情收集和回应机制。</w:t>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人民政府及其有关部门应当落实“谁执法谁普法”的普法责任制，引导市场主体合法经营、依法维护自身合法权益，不断增强全社会的法治意识，为营造法治化营商环境提供基础性支撑。</w:t>
      </w:r>
    </w:p>
    <w:p>
      <w:pPr>
        <w:spacing w:line="360" w:lineRule="exact"/>
        <w:ind w:firstLine="560" w:firstLineChars="200"/>
        <w:rPr>
          <w:sz w:val="28"/>
          <w:szCs w:val="28"/>
        </w:rPr>
      </w:pPr>
      <w:r>
        <w:rPr>
          <w:rFonts w:hint="eastAsia"/>
          <w:sz w:val="28"/>
          <w:szCs w:val="28"/>
        </w:rPr>
        <w:t>每年X月X日为“汕头营商环境暨企业家日”，市人民政府应当通过系列宣传、对话、招商、表彰、服务等活动，营造良好营商环境，依法保护市场主体合法权益。</w:t>
      </w:r>
    </w:p>
    <w:p>
      <w:pPr>
        <w:spacing w:line="360" w:lineRule="exact"/>
        <w:ind w:firstLine="562" w:firstLineChars="200"/>
        <w:outlineLvl w:val="1"/>
        <w:rPr>
          <w:rStyle w:val="15"/>
          <w:rFonts w:asciiTheme="minorEastAsia" w:hAnsiTheme="minorEastAsia" w:eastAsiaTheme="minorEastAsia" w:cstheme="minorEastAsia"/>
          <w:sz w:val="28"/>
          <w:szCs w:val="28"/>
        </w:rPr>
      </w:pPr>
      <w:bookmarkStart w:id="56" w:name="_Toc608"/>
      <w:bookmarkStart w:id="57" w:name="_Toc9976"/>
      <w:bookmarkStart w:id="58" w:name="_Toc27180"/>
      <w:bookmarkStart w:id="59" w:name="_Toc13393"/>
      <w:bookmarkStart w:id="60" w:name="_Toc10595"/>
      <w:r>
        <w:rPr>
          <w:rStyle w:val="15"/>
          <w:rFonts w:hint="eastAsia" w:asciiTheme="minorEastAsia" w:hAnsiTheme="minorEastAsia" w:eastAsiaTheme="minorEastAsia" w:cstheme="minorEastAsia"/>
          <w:sz w:val="28"/>
          <w:szCs w:val="28"/>
        </w:rPr>
        <w:t>第十一条【监督保障】</w:t>
      </w:r>
      <w:bookmarkEnd w:id="56"/>
      <w:bookmarkEnd w:id="57"/>
      <w:bookmarkEnd w:id="58"/>
      <w:bookmarkEnd w:id="59"/>
      <w:bookmarkEnd w:id="60"/>
    </w:p>
    <w:p>
      <w:pPr>
        <w:spacing w:line="360" w:lineRule="exact"/>
        <w:ind w:firstLine="560" w:firstLineChars="200"/>
        <w:rPr>
          <w:sz w:val="28"/>
          <w:szCs w:val="28"/>
        </w:rPr>
      </w:pPr>
      <w:r>
        <w:rPr>
          <w:rFonts w:hint="eastAsia"/>
          <w:sz w:val="28"/>
          <w:szCs w:val="28"/>
        </w:rPr>
        <w:t>【人大监督】</w:t>
      </w:r>
      <w:r>
        <w:rPr>
          <w:rFonts w:hint="eastAsia"/>
          <w:sz w:val="28"/>
          <w:szCs w:val="28"/>
          <w:lang w:eastAsia="zh-CN"/>
        </w:rPr>
        <w:t>市、区（县）</w:t>
      </w:r>
      <w:r>
        <w:rPr>
          <w:rFonts w:hint="eastAsia"/>
          <w:sz w:val="28"/>
          <w:szCs w:val="28"/>
        </w:rPr>
        <w:t>人民政府应当结合政府工作报告或者专项工作报告，向同级人民代表大会及其常务委员会报告优化营商环境工作。</w:t>
      </w:r>
      <w:r>
        <w:rPr>
          <w:rFonts w:hint="eastAsia"/>
          <w:sz w:val="28"/>
          <w:szCs w:val="28"/>
          <w:lang w:eastAsia="zh-CN"/>
        </w:rPr>
        <w:t>市、区（县）</w:t>
      </w:r>
      <w:r>
        <w:rPr>
          <w:rFonts w:hint="eastAsia"/>
          <w:sz w:val="28"/>
          <w:szCs w:val="28"/>
        </w:rPr>
        <w:t>人民代表大会及其常务委员会应当加强对本行政区域优化营商环境工作的监督。</w:t>
      </w:r>
    </w:p>
    <w:p>
      <w:pPr>
        <w:spacing w:line="360" w:lineRule="exact"/>
        <w:ind w:firstLine="560" w:firstLineChars="200"/>
        <w:rPr>
          <w:sz w:val="28"/>
          <w:szCs w:val="28"/>
        </w:rPr>
      </w:pPr>
      <w:r>
        <w:rPr>
          <w:rFonts w:hint="eastAsia"/>
          <w:sz w:val="28"/>
          <w:szCs w:val="28"/>
        </w:rPr>
        <w:t>【市场主体监督】市场主体可以通过各级人民政府及其有关部门设立的电话、网站、政务新媒体等渠道对损害营商环境的行为投诉举报。本市依托12345政府服务热线等渠道建立全市统一的政务服务咨询和投诉受理平台，实行统一接听、按责转办、限时办结、统一监督、统一考核。</w:t>
      </w:r>
    </w:p>
    <w:p>
      <w:pPr>
        <w:spacing w:line="360" w:lineRule="exact"/>
        <w:ind w:firstLine="560" w:firstLineChars="200"/>
        <w:rPr>
          <w:sz w:val="28"/>
          <w:szCs w:val="28"/>
        </w:rPr>
      </w:pPr>
      <w:r>
        <w:rPr>
          <w:rFonts w:hint="eastAsia"/>
          <w:sz w:val="28"/>
          <w:szCs w:val="28"/>
        </w:rPr>
        <w:t>本市推进在关系重大民生和公共利益的特定行业、领域建立内部举报人保护制度。内部人员举报严重违法违规行为和重大风险隐患经查证属实的，相关部门应当严格保护并依法予以奖励。</w:t>
      </w:r>
    </w:p>
    <w:p>
      <w:pPr>
        <w:spacing w:line="360" w:lineRule="exact"/>
        <w:ind w:firstLine="560" w:firstLineChars="200"/>
        <w:rPr>
          <w:sz w:val="28"/>
          <w:szCs w:val="28"/>
        </w:rPr>
      </w:pPr>
      <w:r>
        <w:rPr>
          <w:rFonts w:hint="eastAsia"/>
          <w:sz w:val="28"/>
          <w:szCs w:val="28"/>
        </w:rPr>
        <w:t>【社会监督员】各级人民政府及其有关部门应当接受市场主体对政务服务的监督，建立营商环境政务服务评价制度，聘请人大代表、政协委员、专家学者、民主党派成员、企业代表、执业律师、媒体记者、行业协会负责人、商会负责人和群众代表等担任社会监督员，及时对营商环境问题提出意见和建议。</w:t>
      </w:r>
    </w:p>
    <w:p>
      <w:pPr>
        <w:spacing w:line="360" w:lineRule="exact"/>
        <w:ind w:firstLine="560" w:firstLineChars="200"/>
        <w:rPr>
          <w:sz w:val="28"/>
          <w:szCs w:val="28"/>
        </w:rPr>
      </w:pPr>
      <w:r>
        <w:rPr>
          <w:rFonts w:hint="eastAsia"/>
          <w:sz w:val="28"/>
          <w:szCs w:val="28"/>
        </w:rPr>
        <w:t>各级人民政府及其有关部门应当接受社会监督员的监督，及时整改查实的问题。</w:t>
      </w:r>
    </w:p>
    <w:p>
      <w:pPr>
        <w:spacing w:line="360" w:lineRule="exact"/>
        <w:ind w:firstLine="560" w:firstLineChars="200"/>
        <w:rPr>
          <w:sz w:val="28"/>
          <w:szCs w:val="28"/>
        </w:rPr>
      </w:pPr>
      <w:r>
        <w:rPr>
          <w:rFonts w:hint="eastAsia"/>
          <w:sz w:val="28"/>
          <w:szCs w:val="28"/>
        </w:rPr>
        <w:t>【舆论监督】鼓励、支持和引导各类媒体对营商环境进行客观、公正的舆论监督。</w:t>
      </w:r>
    </w:p>
    <w:p>
      <w:pPr>
        <w:spacing w:line="360" w:lineRule="exact"/>
        <w:ind w:firstLine="560" w:firstLineChars="200"/>
        <w:rPr>
          <w:sz w:val="28"/>
          <w:szCs w:val="28"/>
        </w:rPr>
      </w:pPr>
      <w:r>
        <w:rPr>
          <w:rFonts w:hint="eastAsia"/>
          <w:sz w:val="28"/>
          <w:szCs w:val="28"/>
        </w:rPr>
        <w:t>县级以上人民政府及其有关部门应当做好舆情收集和回应工作，根据“谁主管谁负责”的原则，及时对重大政策误解误读、涉及重大公共利益、有关突发事件处置等的重点信息进行回应，对造谣传谣情况及时进行回应并移交有关部门进行查处。特别重大和重大舆情应当在24小时内进行回应，其他重点舆情应当在48小时内回应。</w:t>
      </w:r>
    </w:p>
    <w:p>
      <w:pPr>
        <w:spacing w:line="360" w:lineRule="exact"/>
        <w:ind w:firstLine="560" w:firstLineChars="200"/>
        <w:rPr>
          <w:rFonts w:ascii="黑体" w:hAnsi="黑体" w:eastAsia="黑体" w:cs="黑体"/>
          <w:sz w:val="32"/>
          <w:szCs w:val="32"/>
        </w:rPr>
      </w:pPr>
      <w:r>
        <w:rPr>
          <w:rFonts w:hint="eastAsia"/>
          <w:sz w:val="28"/>
          <w:szCs w:val="28"/>
        </w:rPr>
        <w:t>对于在舆情中暴露的损害营商环境的行为，有关部门应当及时调查处理，并向社会公开调查处理结果。</w:t>
      </w:r>
    </w:p>
    <w:p>
      <w:pPr>
        <w:pStyle w:val="2"/>
        <w:jc w:val="center"/>
        <w:rPr>
          <w:rFonts w:ascii="黑体" w:hAnsi="黑体" w:eastAsia="黑体" w:cs="黑体"/>
          <w:b w:val="0"/>
          <w:bCs/>
          <w:sz w:val="32"/>
          <w:szCs w:val="32"/>
        </w:rPr>
      </w:pPr>
      <w:bookmarkStart w:id="61" w:name="_Toc14875"/>
      <w:bookmarkStart w:id="62" w:name="_Toc9931"/>
      <w:bookmarkStart w:id="63" w:name="_Toc3092"/>
      <w:bookmarkStart w:id="64" w:name="_Toc4733"/>
      <w:bookmarkStart w:id="65" w:name="_Toc19338"/>
      <w:r>
        <w:rPr>
          <w:rFonts w:hint="eastAsia" w:ascii="黑体" w:hAnsi="黑体" w:eastAsia="黑体" w:cs="黑体"/>
          <w:b w:val="0"/>
          <w:bCs/>
          <w:sz w:val="32"/>
          <w:szCs w:val="32"/>
        </w:rPr>
        <w:t>第二章  市场和要素环境</w:t>
      </w:r>
      <w:bookmarkEnd w:id="61"/>
      <w:bookmarkEnd w:id="62"/>
      <w:bookmarkEnd w:id="63"/>
      <w:r>
        <w:rPr>
          <w:rFonts w:hint="eastAsia" w:ascii="黑体" w:hAnsi="黑体" w:eastAsia="黑体" w:cs="黑体"/>
          <w:b w:val="0"/>
          <w:bCs/>
          <w:sz w:val="32"/>
          <w:szCs w:val="32"/>
        </w:rPr>
        <w:t xml:space="preserve"> </w:t>
      </w:r>
      <w:bookmarkEnd w:id="64"/>
      <w:bookmarkEnd w:id="65"/>
    </w:p>
    <w:p>
      <w:pPr>
        <w:spacing w:line="360" w:lineRule="exact"/>
        <w:ind w:firstLine="562" w:firstLineChars="200"/>
        <w:outlineLvl w:val="1"/>
        <w:rPr>
          <w:b/>
          <w:bCs/>
          <w:sz w:val="28"/>
          <w:szCs w:val="28"/>
        </w:rPr>
      </w:pPr>
      <w:bookmarkStart w:id="66" w:name="_Toc25789"/>
      <w:bookmarkStart w:id="67" w:name="_Toc10039"/>
      <w:bookmarkStart w:id="68" w:name="_Toc17969"/>
      <w:bookmarkStart w:id="69" w:name="_Toc22394"/>
      <w:bookmarkStart w:id="70" w:name="_Toc31881"/>
      <w:r>
        <w:rPr>
          <w:rStyle w:val="15"/>
          <w:rFonts w:hint="eastAsia" w:ascii="宋体" w:hAnsi="宋体" w:eastAsia="宋体" w:cs="宋体"/>
          <w:sz w:val="28"/>
          <w:szCs w:val="28"/>
        </w:rPr>
        <w:t>第十二条 【市场准入】</w:t>
      </w:r>
      <w:bookmarkEnd w:id="66"/>
      <w:bookmarkEnd w:id="67"/>
      <w:bookmarkEnd w:id="68"/>
      <w:bookmarkEnd w:id="69"/>
      <w:bookmarkEnd w:id="70"/>
      <w:r>
        <w:rPr>
          <w:rFonts w:hint="eastAsia"/>
          <w:b/>
          <w:bCs/>
          <w:sz w:val="28"/>
          <w:szCs w:val="28"/>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及其有关部门应当按照国家规定实行统一的市场准入负面清单制度。市场准入负面清单以外的领域，各类市场主体均可以依法平等进入。本市建立市场准入评估制度，定期评估、排查、清理各类显性和隐性壁垒，推动“非禁即入”普遍落实。</w:t>
      </w:r>
    </w:p>
    <w:p>
      <w:pPr>
        <w:spacing w:line="360" w:lineRule="exact"/>
        <w:ind w:firstLine="560" w:firstLineChars="200"/>
        <w:rPr>
          <w:sz w:val="28"/>
          <w:szCs w:val="28"/>
        </w:rPr>
      </w:pPr>
      <w:r>
        <w:rPr>
          <w:rFonts w:hint="eastAsia"/>
          <w:sz w:val="28"/>
          <w:szCs w:val="28"/>
        </w:rPr>
        <w:t>外商投资实施准入前国民待遇加负面清单管理制度。外商投资准入负面清单以外的领域，按照内外资一致的原则实施管理。</w:t>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人民政府按照城市功能定位、发展规划以及环保安全等相关规定，制定产业引导政策并向社会公开。</w:t>
      </w:r>
    </w:p>
    <w:p>
      <w:pPr>
        <w:spacing w:line="360" w:lineRule="exact"/>
        <w:ind w:firstLine="562" w:firstLineChars="200"/>
        <w:outlineLvl w:val="1"/>
        <w:rPr>
          <w:rStyle w:val="15"/>
          <w:rFonts w:ascii="宋体" w:hAnsi="宋体" w:eastAsia="宋体" w:cs="宋体"/>
          <w:sz w:val="28"/>
          <w:szCs w:val="28"/>
        </w:rPr>
      </w:pPr>
      <w:bookmarkStart w:id="71" w:name="_Toc31095"/>
      <w:bookmarkStart w:id="72" w:name="_Toc4253"/>
      <w:bookmarkStart w:id="73" w:name="_Toc1132"/>
      <w:bookmarkStart w:id="74" w:name="_Toc20999"/>
      <w:bookmarkStart w:id="75" w:name="_Toc28056"/>
      <w:r>
        <w:rPr>
          <w:rStyle w:val="15"/>
          <w:rFonts w:hint="eastAsia" w:ascii="宋体" w:hAnsi="宋体" w:eastAsia="宋体" w:cs="宋体"/>
          <w:sz w:val="28"/>
          <w:szCs w:val="28"/>
        </w:rPr>
        <w:t>第十三条 【商事登记】</w:t>
      </w:r>
      <w:bookmarkEnd w:id="71"/>
      <w:bookmarkEnd w:id="72"/>
      <w:bookmarkEnd w:id="73"/>
      <w:bookmarkEnd w:id="74"/>
      <w:bookmarkEnd w:id="75"/>
      <w:r>
        <w:rPr>
          <w:rStyle w:val="15"/>
          <w:rFonts w:hint="eastAsia" w:ascii="宋体" w:hAnsi="宋体" w:eastAsia="宋体" w:cs="宋体"/>
          <w:sz w:val="28"/>
          <w:szCs w:val="28"/>
        </w:rPr>
        <w:tab/>
      </w:r>
    </w:p>
    <w:p>
      <w:pPr>
        <w:spacing w:line="360" w:lineRule="exact"/>
        <w:ind w:firstLine="560" w:firstLineChars="200"/>
        <w:rPr>
          <w:sz w:val="28"/>
          <w:szCs w:val="28"/>
        </w:rPr>
      </w:pPr>
      <w:r>
        <w:rPr>
          <w:rFonts w:hint="eastAsia"/>
          <w:sz w:val="28"/>
          <w:szCs w:val="28"/>
        </w:rPr>
        <w:t>市人民政府应当深化商事登记制度改革，探索推行商事登记行政确认制，优化服务流程，创新服务方式。将涉企经营许可事项全部纳入“证照分离”改革事项清单，通过直接取消审批、审批改为备案、实行告知承诺、优化审批服务等方式，分类推进改革。</w:t>
      </w:r>
    </w:p>
    <w:p>
      <w:pPr>
        <w:spacing w:line="360" w:lineRule="exact"/>
        <w:ind w:firstLine="560" w:firstLineChars="200"/>
        <w:rPr>
          <w:sz w:val="28"/>
          <w:szCs w:val="28"/>
        </w:rPr>
      </w:pPr>
      <w:r>
        <w:rPr>
          <w:rFonts w:hint="eastAsia"/>
          <w:sz w:val="28"/>
          <w:szCs w:val="28"/>
        </w:rPr>
        <w:t>企业登记机关应当根据企业自主申报的经营范围，明确告知企业需要办理的许可事项，同时将需要申请许可的企业信息告知相关主管部门。相关主管部门应当依企业申请及时办理涉企经营许可事项，并将办理结果</w:t>
      </w:r>
      <w:r>
        <w:rPr>
          <w:rFonts w:hint="eastAsia"/>
          <w:sz w:val="28"/>
          <w:szCs w:val="28"/>
          <w:highlight w:val="none"/>
        </w:rPr>
        <w:t>即时</w:t>
      </w:r>
      <w:r>
        <w:rPr>
          <w:rFonts w:hint="eastAsia"/>
          <w:sz w:val="28"/>
          <w:szCs w:val="28"/>
        </w:rPr>
        <w:t>反馈企业登记机关。</w:t>
      </w:r>
    </w:p>
    <w:p>
      <w:pPr>
        <w:spacing w:line="360" w:lineRule="exact"/>
        <w:ind w:firstLine="560" w:firstLineChars="200"/>
        <w:rPr>
          <w:sz w:val="28"/>
          <w:szCs w:val="28"/>
        </w:rPr>
      </w:pPr>
      <w:r>
        <w:rPr>
          <w:rFonts w:hint="eastAsia"/>
          <w:sz w:val="28"/>
          <w:szCs w:val="28"/>
        </w:rPr>
        <w:t xml:space="preserve">除法律、行政法规规定的特定领域外，涉企经营许可事项不得作为企业登记的前置条件。 </w:t>
      </w:r>
    </w:p>
    <w:p>
      <w:pPr>
        <w:spacing w:line="360" w:lineRule="exact"/>
        <w:ind w:firstLine="562" w:firstLineChars="200"/>
        <w:outlineLvl w:val="1"/>
        <w:rPr>
          <w:rStyle w:val="15"/>
          <w:rFonts w:ascii="宋体" w:hAnsi="宋体" w:eastAsia="宋体" w:cs="宋体"/>
          <w:sz w:val="28"/>
          <w:szCs w:val="28"/>
        </w:rPr>
      </w:pPr>
      <w:bookmarkStart w:id="76" w:name="_Toc31510"/>
      <w:bookmarkStart w:id="77" w:name="_Toc24537"/>
      <w:bookmarkStart w:id="78" w:name="_Toc11788"/>
      <w:bookmarkStart w:id="79" w:name="_Toc22247"/>
      <w:bookmarkStart w:id="80" w:name="_Toc12602"/>
      <w:r>
        <w:rPr>
          <w:rStyle w:val="15"/>
          <w:rFonts w:hint="eastAsia" w:ascii="宋体" w:hAnsi="宋体" w:eastAsia="宋体" w:cs="宋体"/>
          <w:sz w:val="28"/>
          <w:szCs w:val="28"/>
        </w:rPr>
        <w:t>第十四条 【鼓励非公企业发展】</w:t>
      </w:r>
      <w:bookmarkEnd w:id="76"/>
      <w:bookmarkEnd w:id="77"/>
      <w:bookmarkEnd w:id="78"/>
      <w:bookmarkEnd w:id="79"/>
      <w:bookmarkEnd w:id="80"/>
    </w:p>
    <w:p>
      <w:pPr>
        <w:spacing w:line="360" w:lineRule="exact"/>
        <w:ind w:firstLine="560" w:firstLineChars="200"/>
        <w:rPr>
          <w:b/>
          <w:bCs/>
          <w:sz w:val="28"/>
          <w:szCs w:val="28"/>
        </w:rPr>
      </w:pPr>
      <w:r>
        <w:rPr>
          <w:rFonts w:hint="eastAsia"/>
          <w:sz w:val="28"/>
          <w:szCs w:val="28"/>
        </w:rPr>
        <w:t>鼓励民营企业加强与国有大型总承包企业合作，通过联合体方式参与本市重大项目建设。</w:t>
      </w:r>
    </w:p>
    <w:p>
      <w:pPr>
        <w:spacing w:line="360" w:lineRule="exact"/>
        <w:ind w:firstLine="562" w:firstLineChars="200"/>
        <w:outlineLvl w:val="1"/>
        <w:rPr>
          <w:b/>
          <w:bCs/>
          <w:sz w:val="28"/>
          <w:szCs w:val="28"/>
        </w:rPr>
      </w:pPr>
      <w:bookmarkStart w:id="81" w:name="_Toc32341"/>
      <w:bookmarkStart w:id="82" w:name="_Toc8961"/>
      <w:bookmarkStart w:id="83" w:name="_Toc26917"/>
      <w:bookmarkStart w:id="84" w:name="_Toc8787"/>
      <w:bookmarkStart w:id="85" w:name="_Toc29990"/>
      <w:r>
        <w:rPr>
          <w:rStyle w:val="15"/>
          <w:rFonts w:hint="eastAsia" w:ascii="宋体" w:hAnsi="宋体" w:eastAsia="宋体" w:cs="宋体"/>
          <w:sz w:val="28"/>
          <w:szCs w:val="28"/>
        </w:rPr>
        <w:t>第十五条</w:t>
      </w:r>
      <w:r>
        <w:rPr>
          <w:rStyle w:val="15"/>
          <w:rFonts w:hint="eastAsia" w:ascii="宋体" w:hAnsi="宋体" w:eastAsia="宋体" w:cs="宋体"/>
          <w:sz w:val="28"/>
          <w:szCs w:val="28"/>
          <w:lang w:val="en-US" w:eastAsia="zh-CN"/>
        </w:rPr>
        <w:t xml:space="preserve"> </w:t>
      </w:r>
      <w:r>
        <w:rPr>
          <w:rStyle w:val="15"/>
          <w:rFonts w:hint="eastAsia" w:ascii="宋体" w:hAnsi="宋体" w:eastAsia="宋体" w:cs="宋体"/>
          <w:sz w:val="28"/>
          <w:szCs w:val="28"/>
        </w:rPr>
        <w:t>【中小微企业扶持】</w:t>
      </w:r>
      <w:bookmarkEnd w:id="81"/>
      <w:bookmarkEnd w:id="82"/>
      <w:bookmarkEnd w:id="83"/>
      <w:bookmarkEnd w:id="84"/>
      <w:bookmarkEnd w:id="85"/>
      <w:r>
        <w:rPr>
          <w:rFonts w:hint="eastAsia"/>
          <w:b/>
          <w:bCs/>
          <w:sz w:val="28"/>
          <w:szCs w:val="28"/>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应当整合中小微企业服务中心、中小微企业服务站、中小微企业公共服务示范平台等服务机构资源，创新工作机制，按照社会化、专业化、市场化的原则，帮助中小微企业对接等专业服务。为中小微企业提供政策法律咨询、投资融资、知识产权、财会税务、人才培训、技术支持等服务，建立“一站式”中小微企业公共服务体系。</w:t>
      </w:r>
    </w:p>
    <w:p>
      <w:pPr>
        <w:spacing w:line="360" w:lineRule="exact"/>
        <w:ind w:firstLine="560" w:firstLineChars="200"/>
        <w:rPr>
          <w:rFonts w:hint="eastAsia"/>
          <w:sz w:val="28"/>
          <w:szCs w:val="28"/>
        </w:rPr>
      </w:pPr>
      <w:r>
        <w:rPr>
          <w:rFonts w:hint="eastAsia"/>
          <w:sz w:val="28"/>
          <w:szCs w:val="28"/>
        </w:rPr>
        <w:t>市、</w:t>
      </w:r>
      <w:r>
        <w:rPr>
          <w:rFonts w:hint="eastAsia"/>
          <w:sz w:val="28"/>
          <w:szCs w:val="28"/>
          <w:lang w:eastAsia="zh-CN"/>
        </w:rPr>
        <w:t>区（县）</w:t>
      </w:r>
      <w:r>
        <w:rPr>
          <w:rFonts w:hint="eastAsia"/>
          <w:sz w:val="28"/>
          <w:szCs w:val="28"/>
        </w:rPr>
        <w:t>人民政府应当加大对创业创新类中小微企业的扶持力度，可以通过购买服务等方式为符合条件的创业创新类中小微企业提供股权结构设计、员工持股计划、投资基金对接、上市培训等专门服务。本市设立科技企业孵化器和众创空间补助金，引导孵化器和众创空间为中小微科技企业提供专业孵化、创业引导和持股孵化等服务。</w:t>
      </w:r>
    </w:p>
    <w:p>
      <w:pPr>
        <w:spacing w:line="360" w:lineRule="exact"/>
        <w:ind w:firstLine="560" w:firstLineChars="200"/>
        <w:rPr>
          <w:sz w:val="28"/>
          <w:szCs w:val="28"/>
        </w:rPr>
      </w:pPr>
      <w:r>
        <w:rPr>
          <w:rFonts w:hint="eastAsia"/>
          <w:sz w:val="28"/>
          <w:szCs w:val="28"/>
        </w:rPr>
        <w:t>引导建立适应中小微企业特性的融资信用评价体系，完善政策支持、风险补偿、违约处置等机制，提高企业融资便利度。</w:t>
      </w:r>
    </w:p>
    <w:p>
      <w:pPr>
        <w:spacing w:line="360" w:lineRule="exact"/>
        <w:ind w:firstLine="562" w:firstLineChars="200"/>
        <w:outlineLvl w:val="1"/>
        <w:rPr>
          <w:b/>
          <w:bCs/>
          <w:sz w:val="28"/>
          <w:szCs w:val="28"/>
        </w:rPr>
      </w:pPr>
      <w:bookmarkStart w:id="86" w:name="_Toc8280"/>
      <w:bookmarkStart w:id="87" w:name="_Toc13153"/>
      <w:bookmarkStart w:id="88" w:name="_Toc8374"/>
      <w:bookmarkStart w:id="89" w:name="_Toc28987"/>
      <w:bookmarkStart w:id="90" w:name="_Toc7426"/>
      <w:r>
        <w:rPr>
          <w:rStyle w:val="15"/>
          <w:rFonts w:hint="eastAsia" w:ascii="宋体" w:hAnsi="宋体" w:eastAsia="宋体" w:cs="宋体"/>
          <w:sz w:val="28"/>
          <w:szCs w:val="28"/>
        </w:rPr>
        <w:t>第十六条 【减税降费】</w:t>
      </w:r>
      <w:bookmarkEnd w:id="86"/>
      <w:bookmarkEnd w:id="87"/>
      <w:bookmarkEnd w:id="88"/>
      <w:bookmarkEnd w:id="89"/>
      <w:bookmarkEnd w:id="90"/>
      <w:r>
        <w:rPr>
          <w:rFonts w:hint="eastAsia"/>
          <w:b/>
          <w:bCs/>
          <w:sz w:val="28"/>
          <w:szCs w:val="28"/>
        </w:rPr>
        <w:tab/>
      </w:r>
    </w:p>
    <w:p>
      <w:pPr>
        <w:spacing w:line="360" w:lineRule="exact"/>
        <w:ind w:firstLine="560" w:firstLineChars="200"/>
        <w:rPr>
          <w:sz w:val="28"/>
          <w:szCs w:val="28"/>
        </w:rPr>
      </w:pPr>
      <w:r>
        <w:rPr>
          <w:rFonts w:hint="eastAsia"/>
          <w:sz w:val="28"/>
          <w:szCs w:val="28"/>
        </w:rPr>
        <w:t>市、</w:t>
      </w:r>
      <w:r>
        <w:rPr>
          <w:rFonts w:hint="eastAsia"/>
          <w:sz w:val="28"/>
          <w:szCs w:val="28"/>
          <w:lang w:eastAsia="zh-CN"/>
        </w:rPr>
        <w:t>区（县）</w:t>
      </w:r>
      <w:r>
        <w:rPr>
          <w:rFonts w:hint="eastAsia"/>
          <w:sz w:val="28"/>
          <w:szCs w:val="28"/>
        </w:rPr>
        <w:t>人民政府及其有关部门应当严格落实国家各项减税降费政策，及时研究解决政策落实中的具体问题，确保减税降费政策全面、及时惠及市场主体。</w:t>
      </w:r>
    </w:p>
    <w:p>
      <w:pPr>
        <w:spacing w:line="360" w:lineRule="exact"/>
        <w:ind w:firstLine="560" w:firstLineChars="200"/>
        <w:rPr>
          <w:sz w:val="28"/>
          <w:szCs w:val="28"/>
        </w:rPr>
      </w:pPr>
      <w:r>
        <w:rPr>
          <w:rFonts w:hint="eastAsia"/>
          <w:sz w:val="28"/>
          <w:szCs w:val="28"/>
        </w:rPr>
        <w:t>本市对政府性基金、涉企行政事业性收费、涉企保证金，以及政府定价的经营服务性收费，实行目录清单管理并向社会公开；目录清单之外的涉企收费和保证金一律不得执行。任何单位不得擅自提高征收标准，扩大征收范围，不得以向企业摊派或者开展达标评比活动等方式变相收取费用。</w:t>
      </w:r>
    </w:p>
    <w:p>
      <w:pPr>
        <w:spacing w:line="360" w:lineRule="exact"/>
        <w:ind w:firstLine="560" w:firstLineChars="200"/>
        <w:rPr>
          <w:sz w:val="28"/>
          <w:szCs w:val="28"/>
        </w:rPr>
      </w:pPr>
      <w:r>
        <w:rPr>
          <w:rFonts w:hint="eastAsia"/>
          <w:sz w:val="28"/>
          <w:szCs w:val="28"/>
        </w:rPr>
        <w:t>相关部门应当制定涉企保证金缴纳的具体办法，推广以金融机构保函、保证保险等替代现金缴纳涉企保证金，鼓励企业按照规定自主选择涉企保证金的缴纳方式。对于信用记录良好的企业，可以按照规定降低保证金比例、分期收缴。</w:t>
      </w:r>
    </w:p>
    <w:p>
      <w:pPr>
        <w:spacing w:line="360" w:lineRule="exact"/>
        <w:ind w:firstLine="562" w:firstLineChars="200"/>
        <w:rPr>
          <w:b/>
          <w:bCs/>
          <w:sz w:val="28"/>
          <w:szCs w:val="28"/>
        </w:rPr>
      </w:pPr>
      <w:bookmarkStart w:id="91" w:name="_Toc5822"/>
      <w:bookmarkStart w:id="92" w:name="_Toc27061"/>
      <w:bookmarkStart w:id="93" w:name="_Toc19732"/>
      <w:bookmarkStart w:id="94" w:name="_Toc23393"/>
      <w:bookmarkStart w:id="95" w:name="_Toc23506"/>
      <w:r>
        <w:rPr>
          <w:rStyle w:val="15"/>
          <w:rFonts w:hint="eastAsia" w:ascii="宋体" w:hAnsi="宋体" w:eastAsia="宋体" w:cs="宋体"/>
          <w:sz w:val="28"/>
          <w:szCs w:val="28"/>
        </w:rPr>
        <w:t>第十七条 【政府采购和招投标】</w:t>
      </w:r>
      <w:bookmarkEnd w:id="91"/>
      <w:bookmarkEnd w:id="92"/>
      <w:bookmarkEnd w:id="93"/>
      <w:bookmarkEnd w:id="94"/>
      <w:bookmarkEnd w:id="95"/>
      <w:r>
        <w:rPr>
          <w:rFonts w:hint="eastAsia"/>
          <w:b/>
          <w:bCs/>
          <w:sz w:val="28"/>
          <w:szCs w:val="28"/>
        </w:rPr>
        <w:tab/>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r>
        <w:rPr>
          <w:rFonts w:hint="eastAsia"/>
          <w:sz w:val="28"/>
          <w:szCs w:val="28"/>
        </w:rPr>
        <w:t>政府采购和招标投标等公共资源交易活动，应当公开透明、公平公正，不得设定不合理条件，或者以其他任何形式排斥、限制潜在投标人或者供应商，保障各类市场主体依法平等参与。</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政府采购和招标投标等公共资源交易活动，不得有下列限制或者排斥潜在供应商或者投标人的行为：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highlight w:val="none"/>
          <w:lang w:eastAsia="zh-CN"/>
        </w:rPr>
        <w:t>（</w:t>
      </w:r>
      <w:r>
        <w:rPr>
          <w:rFonts w:hint="eastAsia"/>
          <w:sz w:val="28"/>
          <w:szCs w:val="28"/>
        </w:rPr>
        <w:t>一</w:t>
      </w:r>
      <w:r>
        <w:rPr>
          <w:rFonts w:hint="eastAsia"/>
          <w:sz w:val="28"/>
          <w:szCs w:val="28"/>
          <w:highlight w:val="none"/>
          <w:lang w:eastAsia="zh-CN"/>
        </w:rPr>
        <w:t>）</w:t>
      </w:r>
      <w:r>
        <w:rPr>
          <w:rFonts w:hint="eastAsia"/>
          <w:sz w:val="28"/>
          <w:szCs w:val="28"/>
        </w:rPr>
        <w:t>违法限定潜在供应商或者投标人的所有制形式或者组织形式；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highlight w:val="none"/>
          <w:lang w:eastAsia="zh-CN"/>
        </w:rPr>
        <w:t>（</w:t>
      </w:r>
      <w:r>
        <w:rPr>
          <w:rFonts w:hint="eastAsia"/>
          <w:sz w:val="28"/>
          <w:szCs w:val="28"/>
        </w:rPr>
        <w:t>二</w:t>
      </w:r>
      <w:r>
        <w:rPr>
          <w:rFonts w:hint="eastAsia"/>
          <w:sz w:val="28"/>
          <w:szCs w:val="28"/>
          <w:highlight w:val="none"/>
          <w:lang w:eastAsia="zh-CN"/>
        </w:rPr>
        <w:t>）</w:t>
      </w:r>
      <w:r>
        <w:rPr>
          <w:rFonts w:hint="eastAsia"/>
          <w:sz w:val="28"/>
          <w:szCs w:val="28"/>
        </w:rPr>
        <w:t>违法要求潜在供应商或者投标人设立分支机构；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highlight w:val="none"/>
          <w:lang w:eastAsia="zh-CN"/>
        </w:rPr>
        <w:t>（</w:t>
      </w:r>
      <w:r>
        <w:rPr>
          <w:rFonts w:hint="eastAsia"/>
          <w:sz w:val="28"/>
          <w:szCs w:val="28"/>
        </w:rPr>
        <w:t>三</w:t>
      </w:r>
      <w:r>
        <w:rPr>
          <w:rFonts w:hint="eastAsia"/>
          <w:sz w:val="28"/>
          <w:szCs w:val="28"/>
          <w:highlight w:val="none"/>
          <w:lang w:eastAsia="zh-CN"/>
        </w:rPr>
        <w:t>）</w:t>
      </w:r>
      <w:r>
        <w:rPr>
          <w:rFonts w:hint="eastAsia"/>
          <w:sz w:val="28"/>
          <w:szCs w:val="28"/>
        </w:rPr>
        <w:t>以特定行政区域或者特定行业的业绩、奖项作为加分条件；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eastAsiaTheme="minorEastAsia"/>
          <w:sz w:val="28"/>
          <w:szCs w:val="28"/>
          <w:lang w:eastAsia="zh-CN"/>
        </w:rPr>
      </w:pPr>
      <w:r>
        <w:rPr>
          <w:rFonts w:hint="eastAsia"/>
          <w:sz w:val="28"/>
          <w:szCs w:val="28"/>
          <w:highlight w:val="none"/>
          <w:lang w:eastAsia="zh-CN"/>
        </w:rPr>
        <w:t>（</w:t>
      </w:r>
      <w:r>
        <w:rPr>
          <w:rFonts w:hint="eastAsia"/>
          <w:sz w:val="28"/>
          <w:szCs w:val="28"/>
        </w:rPr>
        <w:t>四</w:t>
      </w:r>
      <w:r>
        <w:rPr>
          <w:rFonts w:hint="eastAsia"/>
          <w:sz w:val="28"/>
          <w:szCs w:val="28"/>
          <w:highlight w:val="none"/>
          <w:lang w:eastAsia="zh-CN"/>
        </w:rPr>
        <w:t>）</w:t>
      </w:r>
      <w:r>
        <w:rPr>
          <w:rFonts w:hint="eastAsia"/>
          <w:sz w:val="28"/>
          <w:szCs w:val="28"/>
        </w:rPr>
        <w:t>设置与企业性质挂钩的行业准入、资质标准</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eastAsiaTheme="minorEastAsia"/>
          <w:sz w:val="28"/>
          <w:szCs w:val="28"/>
          <w:lang w:eastAsia="zh-CN"/>
        </w:rPr>
      </w:pPr>
      <w:r>
        <w:rPr>
          <w:rFonts w:hint="eastAsia"/>
          <w:sz w:val="28"/>
          <w:szCs w:val="28"/>
          <w:highlight w:val="none"/>
          <w:lang w:eastAsia="zh-CN"/>
        </w:rPr>
        <w:t>（</w:t>
      </w:r>
      <w:r>
        <w:rPr>
          <w:rFonts w:hint="eastAsia"/>
          <w:sz w:val="28"/>
          <w:szCs w:val="28"/>
        </w:rPr>
        <w:t>五</w:t>
      </w:r>
      <w:r>
        <w:rPr>
          <w:rFonts w:hint="eastAsia"/>
          <w:sz w:val="28"/>
          <w:szCs w:val="28"/>
          <w:highlight w:val="none"/>
          <w:lang w:eastAsia="zh-CN"/>
        </w:rPr>
        <w:t>）</w:t>
      </w:r>
      <w:r>
        <w:rPr>
          <w:rFonts w:hint="eastAsia"/>
          <w:sz w:val="28"/>
          <w:szCs w:val="28"/>
        </w:rPr>
        <w:t>以签署战略性合作协议等方式，为特定企业在招标投标中谋取竞争优势</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highlight w:val="none"/>
          <w:lang w:eastAsia="zh-CN"/>
        </w:rPr>
        <w:t>（</w:t>
      </w:r>
      <w:r>
        <w:rPr>
          <w:rFonts w:hint="eastAsia"/>
          <w:sz w:val="28"/>
          <w:szCs w:val="28"/>
          <w:lang w:eastAsia="zh-CN"/>
        </w:rPr>
        <w:t>六</w:t>
      </w:r>
      <w:r>
        <w:rPr>
          <w:rFonts w:hint="eastAsia"/>
          <w:sz w:val="28"/>
          <w:szCs w:val="28"/>
          <w:highlight w:val="none"/>
          <w:lang w:eastAsia="zh-CN"/>
        </w:rPr>
        <w:t>）</w:t>
      </w:r>
      <w:r>
        <w:rPr>
          <w:rFonts w:hint="eastAsia"/>
          <w:sz w:val="28"/>
          <w:szCs w:val="28"/>
        </w:rPr>
        <w:t>限定或者指定特定的专利、商标、品牌、原产地或者供应商等；</w:t>
      </w:r>
    </w:p>
    <w:p>
      <w:pPr>
        <w:spacing w:line="360" w:lineRule="exact"/>
        <w:ind w:firstLine="560" w:firstLineChars="200"/>
        <w:rPr>
          <w:b/>
          <w:bCs/>
          <w:sz w:val="28"/>
          <w:szCs w:val="28"/>
        </w:rPr>
      </w:pPr>
      <w:r>
        <w:rPr>
          <w:rFonts w:hint="eastAsia"/>
          <w:sz w:val="28"/>
          <w:szCs w:val="28"/>
          <w:highlight w:val="none"/>
          <w:lang w:eastAsia="zh-CN"/>
        </w:rPr>
        <w:t>（</w:t>
      </w:r>
      <w:r>
        <w:rPr>
          <w:rFonts w:hint="eastAsia"/>
          <w:sz w:val="28"/>
          <w:szCs w:val="28"/>
          <w:lang w:eastAsia="zh-CN"/>
        </w:rPr>
        <w:t>七</w:t>
      </w:r>
      <w:r>
        <w:rPr>
          <w:rFonts w:hint="eastAsia"/>
          <w:sz w:val="28"/>
          <w:szCs w:val="28"/>
          <w:highlight w:val="none"/>
          <w:lang w:eastAsia="zh-CN"/>
        </w:rPr>
        <w:t>）</w:t>
      </w:r>
      <w:r>
        <w:rPr>
          <w:rFonts w:hint="eastAsia"/>
          <w:sz w:val="28"/>
          <w:szCs w:val="28"/>
        </w:rPr>
        <w:t>其他限制或者排斥潜在供应商或者投标人的行为。</w:t>
      </w:r>
    </w:p>
    <w:p>
      <w:pPr>
        <w:spacing w:line="360" w:lineRule="exact"/>
        <w:ind w:firstLine="562" w:firstLineChars="200"/>
        <w:rPr>
          <w:rStyle w:val="15"/>
          <w:rFonts w:ascii="宋体" w:hAnsi="宋体" w:eastAsia="宋体" w:cs="宋体"/>
          <w:sz w:val="28"/>
          <w:szCs w:val="28"/>
        </w:rPr>
      </w:pPr>
      <w:bookmarkStart w:id="96" w:name="_Toc9844"/>
      <w:bookmarkStart w:id="97" w:name="_Toc427"/>
      <w:bookmarkStart w:id="98" w:name="_Toc12481"/>
      <w:bookmarkStart w:id="99" w:name="_Toc16192"/>
      <w:bookmarkStart w:id="100" w:name="_Toc8195"/>
      <w:r>
        <w:rPr>
          <w:rStyle w:val="15"/>
          <w:rFonts w:hint="eastAsia" w:ascii="宋体" w:hAnsi="宋体" w:eastAsia="宋体" w:cs="宋体"/>
          <w:sz w:val="28"/>
          <w:szCs w:val="28"/>
        </w:rPr>
        <w:t>第十八条 【公共资源交易】</w:t>
      </w:r>
      <w:r>
        <w:rPr>
          <w:rStyle w:val="15"/>
          <w:rFonts w:hint="eastAsia" w:ascii="宋体" w:hAnsi="宋体" w:eastAsia="宋体" w:cs="宋体"/>
          <w:sz w:val="28"/>
          <w:szCs w:val="28"/>
        </w:rPr>
        <w:tab/>
      </w:r>
    </w:p>
    <w:bookmarkEnd w:id="96"/>
    <w:bookmarkEnd w:id="97"/>
    <w:bookmarkEnd w:id="98"/>
    <w:bookmarkEnd w:id="99"/>
    <w:bookmarkEnd w:id="100"/>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市</w:t>
      </w:r>
      <w:r>
        <w:rPr>
          <w:rFonts w:hint="eastAsia"/>
          <w:sz w:val="28"/>
          <w:szCs w:val="28"/>
          <w:lang w:eastAsia="zh-CN"/>
        </w:rPr>
        <w:t>政务服务数据管理</w:t>
      </w:r>
      <w:r>
        <w:rPr>
          <w:rFonts w:hint="eastAsia"/>
          <w:sz w:val="28"/>
          <w:szCs w:val="28"/>
        </w:rPr>
        <w:t>部门推动建立健全本市公共资源交易平台体系，实行公共资源交易目录管理，依法公开公共资源交易的规则、流程、结果、监管和信用等信息，推进公共资源交易全流程电子化，实现一表申请、一证通用、一网通办服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r>
        <w:rPr>
          <w:rFonts w:hint="eastAsia"/>
          <w:sz w:val="28"/>
          <w:szCs w:val="28"/>
        </w:rPr>
        <w:t>建立完善分类统一的交易制度规则，提升资源配置的效率和效益</w:t>
      </w:r>
      <w:r>
        <w:rPr>
          <w:rFonts w:hint="eastAsia"/>
          <w:sz w:val="28"/>
          <w:szCs w:val="28"/>
          <w:lang w:eastAsia="zh-CN"/>
        </w:rPr>
        <w:t>。</w:t>
      </w:r>
      <w:r>
        <w:rPr>
          <w:rFonts w:hint="eastAsia"/>
          <w:sz w:val="28"/>
          <w:szCs w:val="28"/>
        </w:rPr>
        <w:t>招标人、招标代理机构不得因使用电子招标投标方式，额外向投标人收取费用或者不合理地增加潜在投标人参与投标的难度。</w:t>
      </w:r>
    </w:p>
    <w:p>
      <w:pPr>
        <w:spacing w:line="360" w:lineRule="exact"/>
        <w:ind w:firstLine="562" w:firstLineChars="200"/>
        <w:rPr>
          <w:rStyle w:val="15"/>
          <w:rFonts w:ascii="宋体" w:hAnsi="宋体" w:eastAsia="宋体" w:cs="宋体"/>
          <w:sz w:val="28"/>
          <w:szCs w:val="28"/>
        </w:rPr>
      </w:pPr>
      <w:bookmarkStart w:id="101" w:name="_Toc7732"/>
      <w:bookmarkStart w:id="102" w:name="_Toc29132"/>
      <w:bookmarkStart w:id="103" w:name="_Toc14297"/>
      <w:bookmarkStart w:id="104" w:name="_Toc6391"/>
      <w:bookmarkStart w:id="105" w:name="_Toc24011"/>
      <w:r>
        <w:rPr>
          <w:rStyle w:val="15"/>
          <w:rFonts w:hint="eastAsia" w:ascii="宋体" w:hAnsi="宋体" w:eastAsia="宋体" w:cs="宋体"/>
          <w:sz w:val="28"/>
          <w:szCs w:val="28"/>
        </w:rPr>
        <w:t>第十九条 【行业协会商会强制限制】</w:t>
      </w:r>
    </w:p>
    <w:bookmarkEnd w:id="101"/>
    <w:bookmarkEnd w:id="102"/>
    <w:bookmarkEnd w:id="103"/>
    <w:bookmarkEnd w:id="104"/>
    <w:bookmarkEnd w:id="105"/>
    <w:p>
      <w:pPr>
        <w:spacing w:line="360" w:lineRule="exact"/>
        <w:ind w:firstLine="560" w:firstLineChars="200"/>
        <w:rPr>
          <w:rFonts w:hint="eastAsia"/>
          <w:sz w:val="28"/>
          <w:szCs w:val="28"/>
          <w:lang w:eastAsia="zh-CN"/>
        </w:rPr>
      </w:pPr>
      <w:r>
        <w:rPr>
          <w:rFonts w:hint="eastAsia"/>
          <w:sz w:val="28"/>
          <w:szCs w:val="28"/>
        </w:rPr>
        <w:t>本市培育和发展各类行业协会、商会，取消设立同类行业协会的数量限制。鼓励和支持行业协会商会自主发展会员，加强内部管理和能力建设，及时反映行业诉求，服务会员发展</w:t>
      </w:r>
      <w:r>
        <w:rPr>
          <w:rFonts w:hint="eastAsia"/>
          <w:sz w:val="28"/>
          <w:szCs w:val="28"/>
          <w:lang w:eastAsia="zh-CN"/>
        </w:rPr>
        <w:t>。</w:t>
      </w:r>
    </w:p>
    <w:p>
      <w:pPr>
        <w:spacing w:line="360" w:lineRule="exact"/>
        <w:ind w:firstLine="560" w:firstLineChars="200"/>
        <w:rPr>
          <w:sz w:val="28"/>
          <w:szCs w:val="28"/>
        </w:rPr>
      </w:pPr>
      <w:r>
        <w:rPr>
          <w:rFonts w:hint="eastAsia"/>
          <w:sz w:val="28"/>
          <w:szCs w:val="28"/>
        </w:rPr>
        <w:t>市场主体依法享有自主加入或者退出行业协会商会的权利</w:t>
      </w:r>
      <w:r>
        <w:rPr>
          <w:rFonts w:hint="eastAsia"/>
          <w:sz w:val="28"/>
          <w:szCs w:val="28"/>
          <w:lang w:eastAsia="zh-CN"/>
        </w:rPr>
        <w:t>，</w:t>
      </w:r>
      <w:r>
        <w:rPr>
          <w:rFonts w:hint="eastAsia"/>
          <w:sz w:val="28"/>
          <w:szCs w:val="28"/>
        </w:rPr>
        <w:t>行业协会、商会不得干预市场主体加入或者退出；不得强制或者变相强制收费。 </w:t>
      </w:r>
    </w:p>
    <w:p>
      <w:pPr>
        <w:spacing w:line="360" w:lineRule="exact"/>
        <w:ind w:firstLine="560" w:firstLineChars="200"/>
        <w:rPr>
          <w:sz w:val="28"/>
          <w:szCs w:val="28"/>
        </w:rPr>
      </w:pPr>
      <w:r>
        <w:rPr>
          <w:rFonts w:hint="eastAsia"/>
          <w:sz w:val="28"/>
          <w:szCs w:val="28"/>
          <w:lang w:eastAsia="zh-CN"/>
        </w:rPr>
        <w:t>市、区（县）</w:t>
      </w:r>
      <w:r>
        <w:rPr>
          <w:rFonts w:hint="eastAsia"/>
          <w:sz w:val="28"/>
          <w:szCs w:val="28"/>
        </w:rPr>
        <w:t>人民政府</w:t>
      </w:r>
      <w:r>
        <w:rPr>
          <w:rFonts w:hint="eastAsia"/>
          <w:sz w:val="28"/>
          <w:szCs w:val="28"/>
          <w:highlight w:val="none"/>
          <w:lang w:eastAsia="zh-CN"/>
        </w:rPr>
        <w:t>应当</w:t>
      </w:r>
      <w:r>
        <w:rPr>
          <w:rFonts w:hint="eastAsia"/>
          <w:sz w:val="28"/>
          <w:szCs w:val="28"/>
        </w:rPr>
        <w:t>依法严格规范行业协会商会的收费行为和评比、达标、认证、表彰等活动，重点清理、查处、整顿社会团体违法违规收费行为，依法保障市场主体和行业协会商会</w:t>
      </w:r>
      <w:r>
        <w:rPr>
          <w:rFonts w:hint="eastAsia"/>
          <w:sz w:val="28"/>
          <w:szCs w:val="28"/>
          <w:lang w:eastAsia="zh-CN"/>
        </w:rPr>
        <w:t>合法</w:t>
      </w:r>
      <w:r>
        <w:rPr>
          <w:rFonts w:hint="eastAsia"/>
          <w:sz w:val="28"/>
          <w:szCs w:val="28"/>
        </w:rPr>
        <w:t>权利。</w:t>
      </w:r>
    </w:p>
    <w:p>
      <w:pPr>
        <w:spacing w:line="360" w:lineRule="exact"/>
        <w:ind w:firstLine="562" w:firstLineChars="200"/>
        <w:rPr>
          <w:rStyle w:val="15"/>
          <w:rFonts w:ascii="宋体" w:hAnsi="宋体" w:eastAsia="宋体" w:cs="宋体"/>
          <w:sz w:val="28"/>
          <w:szCs w:val="28"/>
        </w:rPr>
      </w:pPr>
      <w:bookmarkStart w:id="106" w:name="_Toc16464"/>
      <w:bookmarkStart w:id="107" w:name="_Toc25234"/>
      <w:bookmarkStart w:id="108" w:name="_Toc18534"/>
      <w:bookmarkStart w:id="109" w:name="_Toc27003"/>
      <w:bookmarkStart w:id="110" w:name="_Toc19462"/>
      <w:r>
        <w:rPr>
          <w:rStyle w:val="15"/>
          <w:rFonts w:hint="eastAsia" w:ascii="宋体" w:hAnsi="宋体" w:eastAsia="宋体" w:cs="宋体"/>
          <w:sz w:val="28"/>
          <w:szCs w:val="28"/>
        </w:rPr>
        <w:t>第二十条 【土地要素配置】</w:t>
      </w:r>
      <w:r>
        <w:rPr>
          <w:rStyle w:val="15"/>
          <w:rFonts w:hint="eastAsia" w:ascii="宋体" w:hAnsi="宋体" w:eastAsia="宋体" w:cs="宋体"/>
          <w:sz w:val="28"/>
          <w:szCs w:val="28"/>
        </w:rPr>
        <w:tab/>
      </w:r>
    </w:p>
    <w:bookmarkEnd w:id="106"/>
    <w:bookmarkEnd w:id="107"/>
    <w:bookmarkEnd w:id="108"/>
    <w:bookmarkEnd w:id="109"/>
    <w:bookmarkEnd w:id="110"/>
    <w:p>
      <w:pPr>
        <w:spacing w:line="360" w:lineRule="exact"/>
        <w:ind w:firstLine="560" w:firstLineChars="200"/>
        <w:rPr>
          <w:rFonts w:hint="eastAsia" w:asciiTheme="minorHAnsi" w:hAnsiTheme="minorHAnsi" w:eastAsiaTheme="minorEastAsia"/>
          <w:sz w:val="28"/>
          <w:szCs w:val="28"/>
          <w:lang w:val="zh-CN"/>
        </w:rPr>
      </w:pPr>
      <w:r>
        <w:rPr>
          <w:rFonts w:hint="eastAsia"/>
          <w:sz w:val="28"/>
          <w:szCs w:val="28"/>
          <w:lang w:eastAsia="zh-CN"/>
        </w:rPr>
        <w:t>本市</w:t>
      </w:r>
      <w:r>
        <w:rPr>
          <w:rFonts w:hint="eastAsia" w:asciiTheme="minorHAnsi" w:hAnsiTheme="minorHAnsi" w:eastAsiaTheme="minorEastAsia"/>
          <w:sz w:val="28"/>
          <w:szCs w:val="28"/>
          <w:lang w:val="zh-CN"/>
        </w:rPr>
        <w:t>建立健全城乡统一的建设用地市场</w:t>
      </w:r>
      <w:r>
        <w:rPr>
          <w:rFonts w:hint="eastAsia"/>
          <w:sz w:val="28"/>
          <w:szCs w:val="28"/>
          <w:lang w:val="zh-CN"/>
        </w:rPr>
        <w:t>，推进集体土地定级与基准地价评估，建立城乡统一的基准地价体系。建设城乡统一的土地市场网上交易平台，</w:t>
      </w:r>
      <w:r>
        <w:rPr>
          <w:rFonts w:hint="eastAsia" w:asciiTheme="minorHAnsi" w:hAnsiTheme="minorHAnsi" w:eastAsiaTheme="minorEastAsia"/>
          <w:sz w:val="28"/>
          <w:szCs w:val="28"/>
          <w:lang w:val="zh-CN"/>
        </w:rPr>
        <w:t>完善农村集体经营性建设用地入市集体土地入市流转规则、增值收益分配、监管等配套制度。探索村级工业园区范围内制造业企业的集体建设用地及上盖建筑物产权按幢、层等固定界限为基本单元分割、抵押机制。全面</w:t>
      </w:r>
      <w:r>
        <w:rPr>
          <w:rFonts w:hint="eastAsia"/>
          <w:sz w:val="28"/>
          <w:szCs w:val="28"/>
          <w:lang w:val="zh-CN"/>
        </w:rPr>
        <w:t>实施</w:t>
      </w:r>
      <w:r>
        <w:rPr>
          <w:rFonts w:hint="eastAsia" w:asciiTheme="minorHAnsi" w:hAnsiTheme="minorHAnsi" w:eastAsiaTheme="minorEastAsia"/>
          <w:sz w:val="28"/>
          <w:szCs w:val="28"/>
          <w:lang w:val="zh-CN"/>
        </w:rPr>
        <w:t>农村土地征收制度改革，制定实施农用地区片综合地价，规范土地征收管理。</w:t>
      </w:r>
    </w:p>
    <w:p>
      <w:pPr>
        <w:spacing w:line="360" w:lineRule="exact"/>
        <w:ind w:firstLine="560" w:firstLineChars="200"/>
        <w:rPr>
          <w:sz w:val="28"/>
          <w:szCs w:val="28"/>
        </w:rPr>
      </w:pPr>
      <w:r>
        <w:rPr>
          <w:rFonts w:hint="eastAsia"/>
          <w:sz w:val="28"/>
          <w:szCs w:val="28"/>
        </w:rPr>
        <w:t>自然资源主管部门应当推行弹性出让年期、先租后让、租让结合和长期租赁等完善工业用地市场化配置措施，对工业用地实行差别化地价，</w:t>
      </w:r>
      <w:r>
        <w:rPr>
          <w:rFonts w:hint="eastAsia"/>
          <w:sz w:val="28"/>
          <w:szCs w:val="28"/>
          <w:lang w:val="zh-CN" w:eastAsia="zh-CN"/>
        </w:rPr>
        <w:t>建立不同产业用地类型合理转换和兼容机制</w:t>
      </w:r>
      <w:r>
        <w:rPr>
          <w:rFonts w:hint="eastAsia"/>
          <w:sz w:val="28"/>
          <w:szCs w:val="28"/>
        </w:rPr>
        <w:t>，探索增加混合产业用地供给。</w:t>
      </w:r>
      <w:r>
        <w:rPr>
          <w:rFonts w:hint="eastAsia"/>
          <w:sz w:val="28"/>
          <w:szCs w:val="28"/>
          <w:lang w:val="zh-CN" w:eastAsia="zh-CN"/>
        </w:rPr>
        <w:t>建立健全产业用地交易信息共享机制及全生命周期监管机制，实现产业用地多部门共同监管。</w:t>
      </w:r>
    </w:p>
    <w:p>
      <w:pPr>
        <w:spacing w:line="360" w:lineRule="exact"/>
        <w:ind w:firstLine="560" w:firstLineChars="200"/>
        <w:rPr>
          <w:sz w:val="28"/>
          <w:szCs w:val="28"/>
        </w:rPr>
      </w:pPr>
      <w:r>
        <w:rPr>
          <w:rFonts w:hint="eastAsia"/>
          <w:sz w:val="28"/>
          <w:szCs w:val="28"/>
        </w:rPr>
        <w:t>县级以上人民政府应当推进旧城镇、旧厂房、旧村庄等“三旧”改造。各地区可结合实际灵活采取政府挂账收储、政府直接征收、政府生态修复、企业长租自管、政府统租统管、企业自主改造等模式。支持连片改造的村级工业园项目按照有关规定，通过区内平衡的方式调整土地利用总体规划。在符合规划、权属清晰、双方自愿、价值相当的前提下，“三旧</w:t>
      </w:r>
      <w:r>
        <w:rPr>
          <w:rFonts w:hint="eastAsia"/>
          <w:sz w:val="28"/>
          <w:szCs w:val="28"/>
          <w:lang w:eastAsia="zh-CN"/>
        </w:rPr>
        <w:t>”</w:t>
      </w:r>
      <w:r>
        <w:rPr>
          <w:rFonts w:hint="eastAsia"/>
          <w:sz w:val="28"/>
          <w:szCs w:val="28"/>
        </w:rPr>
        <w:t>用地之间、“三旧</w:t>
      </w:r>
      <w:r>
        <w:rPr>
          <w:rFonts w:hint="eastAsia"/>
          <w:sz w:val="28"/>
          <w:szCs w:val="28"/>
          <w:lang w:eastAsia="zh-CN"/>
        </w:rPr>
        <w:t>”</w:t>
      </w:r>
      <w:r>
        <w:rPr>
          <w:rFonts w:hint="eastAsia"/>
          <w:sz w:val="28"/>
          <w:szCs w:val="28"/>
        </w:rPr>
        <w:t>用地与其他存量建设用地可以进行空间位置互换。在符合规划、不改变用途的前提下，在工业用地、仓储用地上对工矿厂房、仓储用房进行改建、扩建和利用地下空间，提高容积率、建筑密度的，不再征收土地价款差价。</w:t>
      </w:r>
    </w:p>
    <w:p>
      <w:pPr>
        <w:spacing w:line="360" w:lineRule="exact"/>
        <w:ind w:firstLine="562" w:firstLineChars="200"/>
        <w:rPr>
          <w:b/>
          <w:bCs/>
          <w:sz w:val="28"/>
          <w:szCs w:val="28"/>
        </w:rPr>
      </w:pPr>
      <w:bookmarkStart w:id="111" w:name="_Toc20043"/>
      <w:bookmarkStart w:id="112" w:name="_Toc26172"/>
      <w:bookmarkStart w:id="113" w:name="_Toc19087"/>
      <w:bookmarkStart w:id="114" w:name="_Toc29035"/>
      <w:bookmarkStart w:id="115" w:name="_Toc25059"/>
      <w:r>
        <w:rPr>
          <w:rStyle w:val="15"/>
          <w:rFonts w:hint="eastAsia" w:ascii="宋体" w:hAnsi="宋体" w:eastAsia="宋体" w:cs="宋体"/>
          <w:sz w:val="28"/>
          <w:szCs w:val="28"/>
        </w:rPr>
        <w:t>第二十一条 【劳动力要素流动】</w:t>
      </w:r>
      <w:bookmarkEnd w:id="111"/>
      <w:bookmarkEnd w:id="112"/>
      <w:bookmarkEnd w:id="113"/>
      <w:bookmarkEnd w:id="114"/>
      <w:bookmarkEnd w:id="115"/>
      <w:r>
        <w:rPr>
          <w:rFonts w:hint="eastAsia"/>
          <w:b/>
          <w:bCs/>
          <w:sz w:val="28"/>
          <w:szCs w:val="28"/>
        </w:rPr>
        <w:tab/>
      </w:r>
    </w:p>
    <w:p>
      <w:pPr>
        <w:spacing w:line="360" w:lineRule="exact"/>
        <w:ind w:firstLine="560" w:firstLineChars="200"/>
        <w:rPr>
          <w:rFonts w:hint="eastAsia"/>
          <w:sz w:val="28"/>
          <w:szCs w:val="28"/>
        </w:rPr>
      </w:pPr>
      <w:r>
        <w:rPr>
          <w:rFonts w:hint="eastAsia"/>
          <w:sz w:val="28"/>
          <w:szCs w:val="28"/>
        </w:rPr>
        <w:t>本市探索全面放开户籍准入制度，率先实现汕潮揭都市圈户籍准入互认、居住</w:t>
      </w:r>
      <w:r>
        <w:rPr>
          <w:rFonts w:hint="eastAsia"/>
          <w:sz w:val="28"/>
          <w:szCs w:val="28"/>
          <w:lang w:eastAsia="zh-CN"/>
        </w:rPr>
        <w:t>证</w:t>
      </w:r>
      <w:r>
        <w:rPr>
          <w:rFonts w:hint="eastAsia"/>
          <w:sz w:val="28"/>
          <w:szCs w:val="28"/>
        </w:rPr>
        <w:t>互认。农业转移人口城市化的，不得强行要求进城落户农民转让在农村的土地承包权、宅基地使用权、集体收益分配权，或将其作为进城落户条件。建立城镇教育、就业创业、医疗卫生、住房保障、公共文化等基本公共服务与常住人口挂钩机制，推动公共资源按常住人口规模配置。</w:t>
      </w:r>
    </w:p>
    <w:p>
      <w:pPr>
        <w:spacing w:line="360" w:lineRule="exact"/>
        <w:ind w:firstLine="560" w:firstLineChars="200"/>
        <w:rPr>
          <w:rFonts w:hint="eastAsia"/>
          <w:sz w:val="28"/>
          <w:szCs w:val="28"/>
        </w:rPr>
      </w:pPr>
      <w:r>
        <w:rPr>
          <w:rFonts w:hint="eastAsia"/>
          <w:sz w:val="28"/>
          <w:szCs w:val="28"/>
        </w:rPr>
        <w:t>实行更加开放的境外人才引进和出入境管理制度，简化外籍人才来</w:t>
      </w:r>
      <w:r>
        <w:rPr>
          <w:rFonts w:hint="eastAsia"/>
          <w:sz w:val="28"/>
          <w:szCs w:val="28"/>
          <w:lang w:eastAsia="zh-CN"/>
        </w:rPr>
        <w:t>汕</w:t>
      </w:r>
      <w:r>
        <w:rPr>
          <w:rFonts w:hint="eastAsia"/>
          <w:sz w:val="28"/>
          <w:szCs w:val="28"/>
        </w:rPr>
        <w:t>工作手续，为外籍高层次人才和专业技术人才提供永久居留便利，对获得永久居留资格的外国人，给予相关市民待遇。鼓励市场主体引进各类高端紧缺人才，畅通人才流动渠道，在人才引进支持政策方面对各类用人单位一视同仁。</w:t>
      </w:r>
    </w:p>
    <w:p>
      <w:pPr>
        <w:spacing w:line="360" w:lineRule="exact"/>
        <w:ind w:firstLine="560" w:firstLineChars="200"/>
        <w:rPr>
          <w:rFonts w:hint="eastAsia"/>
          <w:sz w:val="28"/>
          <w:szCs w:val="28"/>
        </w:rPr>
      </w:pPr>
      <w:r>
        <w:rPr>
          <w:rFonts w:hint="eastAsia"/>
          <w:sz w:val="28"/>
          <w:szCs w:val="28"/>
        </w:rPr>
        <w:t>建立健全粤港澳大湾区</w:t>
      </w:r>
      <w:r>
        <w:rPr>
          <w:rFonts w:hint="eastAsia"/>
          <w:sz w:val="28"/>
          <w:szCs w:val="28"/>
          <w:lang w:eastAsia="zh-CN"/>
        </w:rPr>
        <w:t>及海外华人华侨</w:t>
      </w:r>
      <w:r>
        <w:rPr>
          <w:rFonts w:hint="eastAsia"/>
          <w:sz w:val="28"/>
          <w:szCs w:val="28"/>
        </w:rPr>
        <w:t>人才</w:t>
      </w:r>
      <w:r>
        <w:rPr>
          <w:rFonts w:hint="eastAsia"/>
          <w:sz w:val="28"/>
          <w:szCs w:val="28"/>
          <w:lang w:eastAsia="zh-CN"/>
        </w:rPr>
        <w:t>引进</w:t>
      </w:r>
      <w:r>
        <w:rPr>
          <w:rFonts w:hint="eastAsia"/>
          <w:sz w:val="28"/>
          <w:szCs w:val="28"/>
        </w:rPr>
        <w:t>平台，</w:t>
      </w:r>
      <w:r>
        <w:rPr>
          <w:rFonts w:hint="eastAsia"/>
          <w:sz w:val="28"/>
          <w:szCs w:val="28"/>
          <w:lang w:eastAsia="zh-CN"/>
        </w:rPr>
        <w:t>适当</w:t>
      </w:r>
      <w:r>
        <w:rPr>
          <w:rFonts w:hint="eastAsia"/>
          <w:sz w:val="28"/>
          <w:szCs w:val="28"/>
        </w:rPr>
        <w:t>放宽具备港澳职业资格的金融、建筑、规划等专业人才从业限制，参与建立粤港澳大湾区专业技术人才职称评价和职业资格认可工作机制</w:t>
      </w:r>
      <w:r>
        <w:rPr>
          <w:rFonts w:hint="eastAsia"/>
          <w:sz w:val="28"/>
          <w:szCs w:val="28"/>
          <w:lang w:eastAsia="zh-CN"/>
        </w:rPr>
        <w:t>。</w:t>
      </w:r>
      <w:r>
        <w:rPr>
          <w:rFonts w:hint="eastAsia"/>
          <w:sz w:val="28"/>
          <w:szCs w:val="28"/>
        </w:rPr>
        <w:t>对引进符合条件的留学归国人才、外籍人才、港澳台专业人才，在医疗、社保、落户、税收、住房、子女入学等方面提供支持</w:t>
      </w:r>
      <w:r>
        <w:rPr>
          <w:rFonts w:hint="eastAsia"/>
          <w:sz w:val="28"/>
          <w:szCs w:val="28"/>
          <w:lang w:eastAsia="zh-CN"/>
        </w:rPr>
        <w:t>。</w:t>
      </w:r>
    </w:p>
    <w:p>
      <w:pPr>
        <w:spacing w:line="360" w:lineRule="exact"/>
        <w:ind w:firstLine="560" w:firstLineChars="200"/>
        <w:rPr>
          <w:sz w:val="28"/>
          <w:szCs w:val="28"/>
        </w:rPr>
      </w:pPr>
      <w:r>
        <w:rPr>
          <w:rFonts w:hint="eastAsia"/>
          <w:sz w:val="28"/>
          <w:szCs w:val="28"/>
        </w:rPr>
        <w:t>推进职业技能等级证书与学历证书互通衔接，技工院校中级工班、高级工班、技师班毕业生，分别按相当于中专、大专、本科学历落实相关待遇；取得高级</w:t>
      </w:r>
      <w:r>
        <w:rPr>
          <w:rFonts w:hint="eastAsia"/>
          <w:sz w:val="28"/>
          <w:szCs w:val="28"/>
          <w:highlight w:val="none"/>
        </w:rPr>
        <w:t>工和</w:t>
      </w:r>
      <w:r>
        <w:rPr>
          <w:rFonts w:hint="eastAsia"/>
          <w:sz w:val="28"/>
          <w:szCs w:val="28"/>
        </w:rPr>
        <w:t>技师、高级技师职业资格或相应职业技能等级证书的高技能人才，参加公务员考试、事业单位招聘、职称评审分别与大专和本科学历人员同等对待。</w:t>
      </w:r>
    </w:p>
    <w:p>
      <w:pPr>
        <w:spacing w:line="360" w:lineRule="exact"/>
        <w:ind w:firstLine="562" w:firstLineChars="200"/>
        <w:rPr>
          <w:rStyle w:val="15"/>
          <w:rFonts w:ascii="宋体" w:hAnsi="宋体" w:eastAsia="宋体" w:cs="宋体"/>
          <w:sz w:val="28"/>
          <w:szCs w:val="28"/>
        </w:rPr>
      </w:pPr>
      <w:bookmarkStart w:id="116" w:name="_Toc15689"/>
      <w:bookmarkStart w:id="117" w:name="_Toc23046"/>
      <w:bookmarkStart w:id="118" w:name="_Toc29"/>
      <w:bookmarkStart w:id="119" w:name="_Toc16301"/>
      <w:bookmarkStart w:id="120" w:name="_Toc29505"/>
      <w:r>
        <w:rPr>
          <w:rStyle w:val="15"/>
          <w:rFonts w:hint="eastAsia" w:ascii="宋体" w:hAnsi="宋体" w:eastAsia="宋体" w:cs="宋体"/>
          <w:sz w:val="28"/>
          <w:szCs w:val="28"/>
        </w:rPr>
        <w:t>第二十二条 【资本要素保障】</w:t>
      </w:r>
    </w:p>
    <w:bookmarkEnd w:id="116"/>
    <w:bookmarkEnd w:id="117"/>
    <w:bookmarkEnd w:id="118"/>
    <w:bookmarkEnd w:id="119"/>
    <w:bookmarkEnd w:id="120"/>
    <w:p>
      <w:pPr>
        <w:spacing w:line="360" w:lineRule="exact"/>
        <w:ind w:firstLine="560" w:firstLineChars="200"/>
        <w:rPr>
          <w:sz w:val="28"/>
          <w:szCs w:val="28"/>
        </w:rPr>
      </w:pPr>
      <w:r>
        <w:rPr>
          <w:rFonts w:hint="eastAsia"/>
          <w:sz w:val="28"/>
          <w:szCs w:val="28"/>
        </w:rPr>
        <w:t>本市依托统一的中小微企业信用信息和融资对接平台，整合不动产登记</w:t>
      </w:r>
      <w:r>
        <w:rPr>
          <w:rFonts w:hint="eastAsia"/>
          <w:sz w:val="28"/>
          <w:szCs w:val="28"/>
          <w:lang w:eastAsia="zh-CN"/>
        </w:rPr>
        <w:t>、</w:t>
      </w:r>
      <w:r>
        <w:rPr>
          <w:rFonts w:hint="eastAsia"/>
          <w:sz w:val="28"/>
          <w:szCs w:val="28"/>
        </w:rPr>
        <w:t>税务、市场监管、社保、海关、司法、科技、民政以及用水、用电、用气等数据信息，并在确保商业秘密、个人隐私受到保护的前提下对金融机构依法依规开放信息查询和共享。鼓励各类金融机构通过中小微企业信用信息和融资对接平台为中小企业融资提供增信、贴息和风险补偿等配套服务。引导有信用的中小企业和商业银行在平台上分别发布融资需求和信贷产品。</w:t>
      </w:r>
    </w:p>
    <w:p>
      <w:pPr>
        <w:spacing w:line="360" w:lineRule="exact"/>
        <w:ind w:firstLine="560" w:firstLineChars="200"/>
        <w:rPr>
          <w:sz w:val="28"/>
          <w:szCs w:val="28"/>
        </w:rPr>
      </w:pPr>
      <w:r>
        <w:rPr>
          <w:rFonts w:hint="eastAsia"/>
          <w:sz w:val="28"/>
          <w:szCs w:val="28"/>
        </w:rPr>
        <w:t>市金融</w:t>
      </w:r>
      <w:r>
        <w:rPr>
          <w:rFonts w:hint="eastAsia"/>
          <w:sz w:val="28"/>
          <w:szCs w:val="28"/>
          <w:lang w:eastAsia="zh-CN"/>
        </w:rPr>
        <w:t>工作</w:t>
      </w:r>
      <w:r>
        <w:rPr>
          <w:rFonts w:hint="eastAsia"/>
          <w:sz w:val="28"/>
          <w:szCs w:val="28"/>
        </w:rPr>
        <w:t>部门应当组织协调有关金融机构和中介机构，为市场主体首贷、续贷业务受理和其他金融业务提供服务，提高对中小企业信贷规模和比重。</w:t>
      </w:r>
    </w:p>
    <w:p>
      <w:pPr>
        <w:spacing w:line="360" w:lineRule="exact"/>
        <w:ind w:firstLine="560" w:firstLineChars="200"/>
        <w:rPr>
          <w:sz w:val="28"/>
          <w:szCs w:val="28"/>
        </w:rPr>
      </w:pPr>
      <w:r>
        <w:rPr>
          <w:rFonts w:hint="eastAsia"/>
          <w:sz w:val="28"/>
          <w:szCs w:val="28"/>
        </w:rPr>
        <w:t>本</w:t>
      </w:r>
      <w:r>
        <w:rPr>
          <w:rFonts w:hint="eastAsia"/>
          <w:sz w:val="28"/>
          <w:szCs w:val="28"/>
          <w:lang w:eastAsia="zh-CN"/>
        </w:rPr>
        <w:t>市</w:t>
      </w:r>
      <w:r>
        <w:rPr>
          <w:rFonts w:hint="eastAsia"/>
          <w:sz w:val="28"/>
          <w:szCs w:val="28"/>
        </w:rPr>
        <w:t>支持符合产业政策、具有发展潜力的高新技术企业、民营企业、地方支柱企业和行业龙头企业上市，到全国中小企业股份转让系统挂牌融资。对准备上市企业因改制、重组、并购而涉及的土地手续完善、税费补缴、产权过户等问题，各级人民政府应当积极提供相关服务。</w:t>
      </w:r>
    </w:p>
    <w:p>
      <w:pPr>
        <w:spacing w:line="360" w:lineRule="exact"/>
        <w:ind w:firstLine="560" w:firstLineChars="200"/>
        <w:rPr>
          <w:sz w:val="28"/>
          <w:szCs w:val="28"/>
        </w:rPr>
      </w:pPr>
      <w:r>
        <w:rPr>
          <w:rFonts w:hint="eastAsia"/>
          <w:sz w:val="28"/>
          <w:szCs w:val="28"/>
          <w:lang w:eastAsia="zh-CN"/>
        </w:rPr>
        <w:t>本市支持继续</w:t>
      </w:r>
      <w:r>
        <w:rPr>
          <w:rFonts w:hint="eastAsia"/>
          <w:sz w:val="28"/>
          <w:szCs w:val="28"/>
        </w:rPr>
        <w:t>完善</w:t>
      </w:r>
      <w:r>
        <w:rPr>
          <w:rFonts w:hint="eastAsia"/>
          <w:sz w:val="28"/>
          <w:szCs w:val="28"/>
          <w:lang w:eastAsia="zh-CN"/>
        </w:rPr>
        <w:t>华侨版</w:t>
      </w:r>
      <w:r>
        <w:rPr>
          <w:rFonts w:hint="eastAsia"/>
          <w:sz w:val="28"/>
          <w:szCs w:val="28"/>
        </w:rPr>
        <w:t>，为中小企业提供政策发布、孵化培育、股权债权融资、股改推介等一站式服务。支持开展地方中小金融机构及类金融机构统一股份托管和有限合伙企业财产份额出质登记、托管业务。</w:t>
      </w:r>
    </w:p>
    <w:p>
      <w:pPr>
        <w:spacing w:line="360" w:lineRule="exact"/>
        <w:ind w:firstLine="562" w:firstLineChars="200"/>
        <w:rPr>
          <w:rStyle w:val="15"/>
          <w:rFonts w:ascii="宋体" w:hAnsi="宋体" w:eastAsia="宋体" w:cs="宋体"/>
          <w:sz w:val="28"/>
          <w:szCs w:val="28"/>
        </w:rPr>
      </w:pPr>
      <w:bookmarkStart w:id="121" w:name="_Toc25992"/>
      <w:bookmarkStart w:id="122" w:name="_Toc16397"/>
      <w:bookmarkStart w:id="123" w:name="_Toc16851"/>
      <w:bookmarkStart w:id="124" w:name="_Toc28441"/>
      <w:bookmarkStart w:id="125" w:name="_Toc26133"/>
      <w:r>
        <w:rPr>
          <w:rStyle w:val="15"/>
          <w:rFonts w:hint="eastAsia" w:ascii="宋体" w:hAnsi="宋体" w:eastAsia="宋体" w:cs="宋体"/>
          <w:sz w:val="28"/>
          <w:szCs w:val="28"/>
        </w:rPr>
        <w:t>第二十三条 【技术要素保障】</w:t>
      </w:r>
      <w:r>
        <w:rPr>
          <w:rStyle w:val="15"/>
          <w:rFonts w:hint="eastAsia" w:ascii="宋体" w:hAnsi="宋体" w:eastAsia="宋体" w:cs="宋体"/>
          <w:sz w:val="28"/>
          <w:szCs w:val="28"/>
        </w:rPr>
        <w:tab/>
      </w:r>
    </w:p>
    <w:bookmarkEnd w:id="121"/>
    <w:bookmarkEnd w:id="122"/>
    <w:bookmarkEnd w:id="123"/>
    <w:bookmarkEnd w:id="124"/>
    <w:bookmarkEnd w:id="125"/>
    <w:p>
      <w:pPr>
        <w:spacing w:line="360" w:lineRule="exact"/>
        <w:ind w:firstLine="560" w:firstLineChars="200"/>
        <w:rPr>
          <w:rFonts w:hint="eastAsia"/>
          <w:sz w:val="28"/>
          <w:szCs w:val="28"/>
        </w:rPr>
      </w:pPr>
      <w:r>
        <w:rPr>
          <w:rFonts w:hint="eastAsia"/>
          <w:sz w:val="28"/>
          <w:szCs w:val="28"/>
          <w:lang w:eastAsia="zh-CN"/>
        </w:rPr>
        <w:t>市、区（县）</w:t>
      </w:r>
      <w:r>
        <w:rPr>
          <w:rFonts w:hint="eastAsia"/>
          <w:sz w:val="28"/>
          <w:szCs w:val="28"/>
        </w:rPr>
        <w:t>人民政府及其相关部门组织实施科技创新、成果转化、技术改造等项目，应当平等对待各种所有制市场主体。</w:t>
      </w:r>
    </w:p>
    <w:p>
      <w:pPr>
        <w:spacing w:line="360" w:lineRule="exact"/>
        <w:ind w:firstLine="560" w:firstLineChars="200"/>
        <w:rPr>
          <w:rFonts w:hint="eastAsia"/>
          <w:sz w:val="28"/>
          <w:szCs w:val="28"/>
        </w:rPr>
      </w:pPr>
      <w:r>
        <w:rPr>
          <w:rFonts w:hint="eastAsia"/>
          <w:sz w:val="28"/>
          <w:szCs w:val="28"/>
        </w:rPr>
        <w:t>本市鼓励和支持企业自主研发和自主创新，支持培育新技术、新产业、新业态、新模式，加大知识产权的投入，投保知识产权保险。完善项目及人才评价方式，简化科研项目管理，实施一次性综合绩效评价。支持科技企业与高校、科研机构合作建立技术研发中心、产业研究院、中试基地等新型研发机构。</w:t>
      </w:r>
    </w:p>
    <w:p>
      <w:pPr>
        <w:spacing w:line="360" w:lineRule="exact"/>
        <w:ind w:firstLine="560" w:firstLineChars="200"/>
        <w:rPr>
          <w:sz w:val="28"/>
          <w:szCs w:val="28"/>
        </w:rPr>
      </w:pPr>
      <w:r>
        <w:rPr>
          <w:rFonts w:hint="eastAsia"/>
          <w:sz w:val="28"/>
          <w:szCs w:val="28"/>
          <w:lang w:eastAsia="zh-CN"/>
        </w:rPr>
        <w:t>本市</w:t>
      </w:r>
      <w:r>
        <w:rPr>
          <w:rFonts w:hint="eastAsia"/>
          <w:sz w:val="28"/>
          <w:szCs w:val="28"/>
        </w:rPr>
        <w:t>支持国家级科研机构和部属高校在本</w:t>
      </w:r>
      <w:r>
        <w:rPr>
          <w:rFonts w:hint="eastAsia"/>
          <w:sz w:val="28"/>
          <w:szCs w:val="28"/>
          <w:lang w:eastAsia="zh-CN"/>
        </w:rPr>
        <w:t>市</w:t>
      </w:r>
      <w:r>
        <w:rPr>
          <w:rFonts w:hint="eastAsia"/>
          <w:sz w:val="28"/>
          <w:szCs w:val="28"/>
        </w:rPr>
        <w:t>的新型研发机构按照“属地管理”享受地方政策。培育发展技术转移机构和技术经理（经纪）人，加快推进应用技术类科研机构市场化、企业化发展。建立技术转移人才培养和引进体系，提高技术转移专业服务能力。</w:t>
      </w:r>
    </w:p>
    <w:p>
      <w:pPr>
        <w:spacing w:line="360" w:lineRule="exact"/>
        <w:ind w:firstLine="560" w:firstLineChars="200"/>
        <w:rPr>
          <w:rFonts w:hint="eastAsia"/>
          <w:sz w:val="28"/>
          <w:szCs w:val="28"/>
          <w:lang w:eastAsia="zh-CN"/>
        </w:rPr>
      </w:pPr>
      <w:r>
        <w:rPr>
          <w:rFonts w:hint="eastAsia"/>
          <w:sz w:val="28"/>
          <w:szCs w:val="28"/>
        </w:rPr>
        <w:t>本市支持知识产权证券化。鼓励以专利许可与反向二次许可等创新方式开展知识产权证券化；专利资产通过融资平台获得融资的，专利许可人支付的属于融资利息的部分，可以作为企业财务费用在税前扣除。</w:t>
      </w:r>
    </w:p>
    <w:p>
      <w:pPr>
        <w:spacing w:line="360" w:lineRule="exact"/>
        <w:ind w:firstLine="560" w:firstLineChars="200"/>
        <w:rPr>
          <w:sz w:val="28"/>
          <w:szCs w:val="28"/>
        </w:rPr>
      </w:pPr>
      <w:r>
        <w:rPr>
          <w:rFonts w:hint="eastAsia"/>
          <w:sz w:val="28"/>
          <w:szCs w:val="28"/>
          <w:lang w:eastAsia="zh-CN"/>
        </w:rPr>
        <w:t>市科技部门应当积极</w:t>
      </w:r>
      <w:r>
        <w:rPr>
          <w:rFonts w:hint="eastAsia"/>
          <w:sz w:val="28"/>
          <w:szCs w:val="28"/>
        </w:rPr>
        <w:t>促进</w:t>
      </w:r>
      <w:r>
        <w:rPr>
          <w:rFonts w:hint="eastAsia"/>
          <w:sz w:val="28"/>
          <w:szCs w:val="28"/>
          <w:lang w:eastAsia="zh-CN"/>
        </w:rPr>
        <w:t>科技</w:t>
      </w:r>
      <w:r>
        <w:rPr>
          <w:rFonts w:hint="eastAsia"/>
          <w:sz w:val="28"/>
          <w:szCs w:val="28"/>
        </w:rPr>
        <w:t>成果转化，推动建立赋予科研人员职务科技成果所有权或长期使用权的机制，支持高等院校、科研机构和企业通过科技成果折股、科技成果收益分成、股权奖励、股票期权等方式对科学技术人员和经营管理人员进行科研激励，推动科技创新。</w:t>
      </w:r>
    </w:p>
    <w:p>
      <w:pPr>
        <w:spacing w:line="360" w:lineRule="exact"/>
        <w:ind w:firstLine="562" w:firstLineChars="200"/>
        <w:rPr>
          <w:b/>
          <w:bCs/>
          <w:sz w:val="28"/>
          <w:szCs w:val="28"/>
        </w:rPr>
      </w:pPr>
      <w:bookmarkStart w:id="126" w:name="_Toc14549"/>
      <w:bookmarkStart w:id="127" w:name="_Toc7342"/>
      <w:bookmarkStart w:id="128" w:name="_Toc5310"/>
      <w:bookmarkStart w:id="129" w:name="_Toc13428"/>
      <w:bookmarkStart w:id="130" w:name="_Toc30587"/>
      <w:r>
        <w:rPr>
          <w:rStyle w:val="15"/>
          <w:rFonts w:hint="eastAsia" w:ascii="宋体" w:hAnsi="宋体" w:eastAsia="宋体" w:cs="宋体"/>
          <w:sz w:val="28"/>
          <w:szCs w:val="28"/>
        </w:rPr>
        <w:t>第二十四条 【数据要素保障】</w:t>
      </w:r>
      <w:bookmarkEnd w:id="126"/>
      <w:bookmarkEnd w:id="127"/>
      <w:bookmarkEnd w:id="128"/>
      <w:bookmarkEnd w:id="129"/>
      <w:bookmarkEnd w:id="130"/>
      <w:r>
        <w:rPr>
          <w:rFonts w:hint="eastAsia"/>
          <w:b/>
          <w:bCs/>
          <w:sz w:val="28"/>
          <w:szCs w:val="28"/>
        </w:rPr>
        <w:tab/>
      </w:r>
    </w:p>
    <w:p>
      <w:pPr>
        <w:spacing w:line="360" w:lineRule="exact"/>
        <w:ind w:firstLine="560" w:firstLineChars="200"/>
        <w:rPr>
          <w:sz w:val="28"/>
          <w:szCs w:val="28"/>
        </w:rPr>
      </w:pPr>
      <w:r>
        <w:rPr>
          <w:rFonts w:hint="eastAsia"/>
          <w:sz w:val="28"/>
          <w:szCs w:val="28"/>
        </w:rPr>
        <w:t>本</w:t>
      </w:r>
      <w:r>
        <w:rPr>
          <w:rFonts w:hint="eastAsia"/>
          <w:sz w:val="28"/>
          <w:szCs w:val="28"/>
          <w:lang w:eastAsia="zh-CN"/>
        </w:rPr>
        <w:t>市</w:t>
      </w:r>
      <w:r>
        <w:rPr>
          <w:rFonts w:hint="eastAsia"/>
          <w:sz w:val="28"/>
          <w:szCs w:val="28"/>
        </w:rPr>
        <w:t>加快培育数据要素市场，以业务需求为驱动，开展数据治理，</w:t>
      </w:r>
      <w:r>
        <w:rPr>
          <w:rFonts w:hint="eastAsia"/>
          <w:sz w:val="28"/>
          <w:szCs w:val="28"/>
          <w:lang w:eastAsia="zh-CN"/>
        </w:rPr>
        <w:t>加快数据应用管理领域立法。</w:t>
      </w:r>
      <w:r>
        <w:rPr>
          <w:rFonts w:hint="eastAsia"/>
          <w:sz w:val="28"/>
          <w:szCs w:val="28"/>
        </w:rPr>
        <w:t>建立完善</w:t>
      </w:r>
      <w:r>
        <w:rPr>
          <w:rFonts w:hint="eastAsia"/>
          <w:sz w:val="28"/>
          <w:szCs w:val="28"/>
          <w:lang w:eastAsia="zh-CN"/>
        </w:rPr>
        <w:t>全市</w:t>
      </w:r>
      <w:r>
        <w:rPr>
          <w:rFonts w:hint="eastAsia"/>
          <w:sz w:val="28"/>
          <w:szCs w:val="28"/>
        </w:rPr>
        <w:t>统一的自然人基础信息、法人单位基础信息、社会信用信息、自然资源和空间地理基础信息、电子证照等基础数据库，完善相关的主题数据库、专题数据库等。</w:t>
      </w:r>
    </w:p>
    <w:p>
      <w:pPr>
        <w:spacing w:line="360" w:lineRule="exact"/>
        <w:ind w:firstLine="560" w:firstLineChars="200"/>
        <w:rPr>
          <w:rFonts w:ascii="黑体" w:hAnsi="黑体" w:eastAsia="黑体" w:cs="黑体"/>
          <w:sz w:val="32"/>
          <w:szCs w:val="32"/>
        </w:rPr>
      </w:pPr>
      <w:r>
        <w:rPr>
          <w:rFonts w:hint="eastAsia"/>
          <w:sz w:val="28"/>
          <w:szCs w:val="28"/>
        </w:rPr>
        <w:t>培育数字经济新产业、新业态和新模式，推动人工智能、可穿戴设备、车联网、物联网等领域数据采集标准化，支持构建农业、工业、交通、教育、安防、城市管理、公共资源交易等领域规范化数据开发利用的场景。</w:t>
      </w:r>
    </w:p>
    <w:p>
      <w:pPr>
        <w:pStyle w:val="2"/>
        <w:jc w:val="center"/>
        <w:rPr>
          <w:rFonts w:hint="eastAsia" w:ascii="黑体" w:hAnsi="黑体" w:eastAsia="黑体" w:cs="黑体"/>
          <w:b w:val="0"/>
          <w:bCs/>
          <w:sz w:val="32"/>
          <w:szCs w:val="32"/>
          <w:lang w:eastAsia="zh-CN"/>
        </w:rPr>
      </w:pPr>
      <w:bookmarkStart w:id="131" w:name="_Toc16259"/>
      <w:bookmarkStart w:id="132" w:name="_Toc28344"/>
      <w:bookmarkStart w:id="133" w:name="_Toc21971"/>
      <w:bookmarkStart w:id="134" w:name="_Toc31923"/>
      <w:bookmarkStart w:id="135" w:name="_Toc31651"/>
      <w:r>
        <w:rPr>
          <w:rFonts w:hint="eastAsia" w:ascii="黑体" w:hAnsi="黑体" w:eastAsia="黑体" w:cs="黑体"/>
          <w:b w:val="0"/>
          <w:bCs/>
          <w:sz w:val="32"/>
          <w:szCs w:val="32"/>
        </w:rPr>
        <w:t>第三章 政务服务</w:t>
      </w:r>
      <w:bookmarkEnd w:id="131"/>
      <w:bookmarkEnd w:id="132"/>
      <w:bookmarkEnd w:id="133"/>
      <w:bookmarkEnd w:id="134"/>
      <w:bookmarkEnd w:id="135"/>
    </w:p>
    <w:p>
      <w:pPr>
        <w:spacing w:line="360" w:lineRule="exact"/>
        <w:ind w:firstLine="562" w:firstLineChars="200"/>
        <w:rPr>
          <w:rStyle w:val="15"/>
          <w:rFonts w:ascii="宋体" w:hAnsi="宋体" w:eastAsia="宋体" w:cs="宋体"/>
          <w:sz w:val="28"/>
          <w:szCs w:val="28"/>
        </w:rPr>
      </w:pPr>
      <w:bookmarkStart w:id="136" w:name="_Toc30308"/>
      <w:bookmarkStart w:id="137" w:name="_Toc16913"/>
      <w:bookmarkStart w:id="138" w:name="_Toc5604"/>
      <w:bookmarkStart w:id="139" w:name="_Toc29283"/>
      <w:bookmarkStart w:id="140" w:name="_Toc25663"/>
      <w:r>
        <w:rPr>
          <w:rStyle w:val="15"/>
          <w:rFonts w:hint="eastAsia" w:ascii="宋体" w:hAnsi="宋体" w:eastAsia="宋体" w:cs="宋体"/>
          <w:sz w:val="28"/>
          <w:szCs w:val="28"/>
        </w:rPr>
        <w:t>第二十五条 【简政放权】</w:t>
      </w:r>
    </w:p>
    <w:bookmarkEnd w:id="136"/>
    <w:bookmarkEnd w:id="137"/>
    <w:bookmarkEnd w:id="138"/>
    <w:bookmarkEnd w:id="139"/>
    <w:bookmarkEnd w:id="140"/>
    <w:p>
      <w:pPr>
        <w:spacing w:line="360" w:lineRule="exact"/>
        <w:ind w:firstLine="560" w:firstLineChars="200"/>
        <w:rPr>
          <w:rFonts w:hint="eastAsia"/>
          <w:sz w:val="28"/>
          <w:szCs w:val="28"/>
        </w:rPr>
      </w:pPr>
      <w:r>
        <w:rPr>
          <w:rFonts w:hint="eastAsia"/>
          <w:sz w:val="28"/>
          <w:szCs w:val="28"/>
        </w:rPr>
        <w:t>本市依法取消、下放、合并</w:t>
      </w:r>
      <w:r>
        <w:rPr>
          <w:rFonts w:hint="eastAsia"/>
          <w:sz w:val="28"/>
          <w:szCs w:val="28"/>
          <w:lang w:eastAsia="zh-CN"/>
        </w:rPr>
        <w:t>行政许可、行政处罚</w:t>
      </w:r>
      <w:r>
        <w:rPr>
          <w:rFonts w:hint="eastAsia"/>
          <w:sz w:val="28"/>
          <w:szCs w:val="28"/>
        </w:rPr>
        <w:t>等</w:t>
      </w:r>
      <w:r>
        <w:rPr>
          <w:rFonts w:hint="eastAsia"/>
          <w:sz w:val="28"/>
          <w:szCs w:val="28"/>
          <w:lang w:eastAsia="zh-CN"/>
        </w:rPr>
        <w:t>行政职权</w:t>
      </w:r>
      <w:r>
        <w:rPr>
          <w:rFonts w:hint="eastAsia"/>
          <w:sz w:val="28"/>
          <w:szCs w:val="28"/>
        </w:rPr>
        <w:t>事项</w:t>
      </w:r>
      <w:r>
        <w:rPr>
          <w:rFonts w:hint="eastAsia"/>
          <w:sz w:val="28"/>
          <w:szCs w:val="28"/>
          <w:lang w:eastAsia="zh-CN"/>
        </w:rPr>
        <w:t>。市、区（县）</w:t>
      </w:r>
      <w:r>
        <w:rPr>
          <w:rFonts w:hint="eastAsia"/>
          <w:sz w:val="28"/>
          <w:szCs w:val="28"/>
        </w:rPr>
        <w:t>人民政府</w:t>
      </w:r>
      <w:r>
        <w:rPr>
          <w:rFonts w:hint="eastAsia"/>
          <w:sz w:val="28"/>
          <w:szCs w:val="28"/>
          <w:lang w:eastAsia="zh-CN"/>
        </w:rPr>
        <w:t>及其部门</w:t>
      </w:r>
      <w:r>
        <w:rPr>
          <w:rFonts w:hint="eastAsia"/>
          <w:sz w:val="28"/>
          <w:szCs w:val="28"/>
        </w:rPr>
        <w:t>应当加大向</w:t>
      </w:r>
      <w:r>
        <w:rPr>
          <w:rFonts w:hint="eastAsia"/>
          <w:sz w:val="28"/>
          <w:szCs w:val="28"/>
          <w:lang w:eastAsia="zh-CN"/>
        </w:rPr>
        <w:t>乡镇、街道</w:t>
      </w:r>
      <w:r>
        <w:rPr>
          <w:rFonts w:hint="eastAsia"/>
          <w:sz w:val="28"/>
          <w:szCs w:val="28"/>
        </w:rPr>
        <w:t>的放权力度</w:t>
      </w:r>
      <w:r>
        <w:rPr>
          <w:rFonts w:hint="eastAsia"/>
          <w:sz w:val="28"/>
          <w:szCs w:val="28"/>
          <w:lang w:eastAsia="zh-CN"/>
        </w:rPr>
        <w:t>，推动镇域经济高质量发展</w:t>
      </w:r>
      <w:r>
        <w:rPr>
          <w:rFonts w:hint="eastAsia"/>
          <w:sz w:val="28"/>
          <w:szCs w:val="28"/>
        </w:rPr>
        <w:t>。具体下放事项清单，由下放事项涉及管理领域的部门</w:t>
      </w:r>
      <w:r>
        <w:rPr>
          <w:rFonts w:hint="eastAsia"/>
          <w:sz w:val="28"/>
          <w:szCs w:val="28"/>
          <w:lang w:eastAsia="zh-CN"/>
        </w:rPr>
        <w:t>提出</w:t>
      </w:r>
      <w:r>
        <w:rPr>
          <w:rFonts w:hint="eastAsia"/>
          <w:sz w:val="28"/>
          <w:szCs w:val="28"/>
        </w:rPr>
        <w:t>并报市人民政府批准后实施。</w:t>
      </w:r>
    </w:p>
    <w:p>
      <w:pPr>
        <w:spacing w:line="360" w:lineRule="exact"/>
        <w:ind w:firstLine="562" w:firstLineChars="200"/>
        <w:rPr>
          <w:rStyle w:val="15"/>
          <w:rFonts w:ascii="宋体" w:hAnsi="宋体" w:eastAsia="宋体" w:cs="宋体"/>
          <w:sz w:val="28"/>
          <w:szCs w:val="28"/>
        </w:rPr>
      </w:pPr>
      <w:bookmarkStart w:id="141" w:name="_Toc20662"/>
      <w:bookmarkStart w:id="142" w:name="_Toc10219"/>
      <w:bookmarkStart w:id="143" w:name="_Toc19091"/>
      <w:bookmarkStart w:id="144" w:name="_Toc23010"/>
      <w:bookmarkStart w:id="145" w:name="_Toc8186"/>
      <w:r>
        <w:rPr>
          <w:rStyle w:val="15"/>
          <w:rFonts w:hint="eastAsia" w:ascii="宋体" w:hAnsi="宋体" w:eastAsia="宋体" w:cs="宋体"/>
          <w:sz w:val="28"/>
          <w:szCs w:val="28"/>
        </w:rPr>
        <w:t>第二十六条 【行政审批制度改革】</w:t>
      </w:r>
    </w:p>
    <w:bookmarkEnd w:id="141"/>
    <w:bookmarkEnd w:id="142"/>
    <w:bookmarkEnd w:id="143"/>
    <w:bookmarkEnd w:id="144"/>
    <w:bookmarkEnd w:id="145"/>
    <w:p>
      <w:pPr>
        <w:spacing w:line="360" w:lineRule="exact"/>
        <w:ind w:firstLine="560" w:firstLineChars="200"/>
        <w:rPr>
          <w:rFonts w:hint="eastAsia"/>
          <w:sz w:val="28"/>
          <w:szCs w:val="28"/>
          <w:lang w:val="en-US" w:eastAsia="zh-CN"/>
        </w:rPr>
      </w:pPr>
      <w:r>
        <w:rPr>
          <w:rFonts w:hint="eastAsia"/>
          <w:sz w:val="28"/>
          <w:szCs w:val="28"/>
          <w:lang w:eastAsia="zh-CN"/>
        </w:rPr>
        <w:t>本市</w:t>
      </w:r>
      <w:r>
        <w:rPr>
          <w:rFonts w:hint="eastAsia"/>
          <w:sz w:val="28"/>
          <w:szCs w:val="28"/>
        </w:rPr>
        <w:t>对涉及市场主体的审批事项依法采取直接取消审批、审批改为备案、实行告知承诺等管理办法，分类推进行政审批事项改革，推进审批服务标准化，提高审批效率，降低办事成本。</w:t>
      </w:r>
      <w:r>
        <w:rPr>
          <w:rFonts w:hint="eastAsia"/>
          <w:sz w:val="28"/>
          <w:szCs w:val="28"/>
          <w:lang w:val="en-US" w:eastAsia="zh-CN"/>
        </w:rPr>
        <w:t xml:space="preserve">  </w:t>
      </w:r>
    </w:p>
    <w:p>
      <w:pPr>
        <w:spacing w:line="360" w:lineRule="exact"/>
        <w:ind w:firstLine="560" w:firstLineChars="200"/>
        <w:rPr>
          <w:rFonts w:hint="eastAsia"/>
          <w:sz w:val="28"/>
          <w:szCs w:val="28"/>
          <w:lang w:eastAsia="zh-CN"/>
        </w:rPr>
      </w:pPr>
      <w:r>
        <w:rPr>
          <w:rFonts w:hint="eastAsia"/>
          <w:sz w:val="28"/>
          <w:szCs w:val="28"/>
        </w:rPr>
        <w:t>本市对行政</w:t>
      </w:r>
      <w:r>
        <w:rPr>
          <w:rFonts w:hint="eastAsia"/>
          <w:sz w:val="28"/>
          <w:szCs w:val="28"/>
          <w:lang w:eastAsia="zh-CN"/>
        </w:rPr>
        <w:t>审批</w:t>
      </w:r>
      <w:r>
        <w:rPr>
          <w:rFonts w:hint="eastAsia"/>
          <w:sz w:val="28"/>
          <w:szCs w:val="28"/>
        </w:rPr>
        <w:t>事项实施清单管理制度。</w:t>
      </w:r>
      <w:r>
        <w:rPr>
          <w:rFonts w:hint="eastAsia"/>
          <w:sz w:val="28"/>
          <w:szCs w:val="28"/>
          <w:lang w:eastAsia="zh-CN"/>
        </w:rPr>
        <w:t>市政务服务数据管理部门应</w:t>
      </w:r>
      <w:r>
        <w:rPr>
          <w:rFonts w:hint="eastAsia"/>
          <w:sz w:val="28"/>
          <w:szCs w:val="28"/>
        </w:rPr>
        <w:t>当会同相关部门及时向社会公布清单并进行动态调整。清单以内的行政</w:t>
      </w:r>
      <w:r>
        <w:rPr>
          <w:rFonts w:hint="eastAsia"/>
          <w:sz w:val="28"/>
          <w:szCs w:val="28"/>
          <w:lang w:eastAsia="zh-CN"/>
        </w:rPr>
        <w:t>审批</w:t>
      </w:r>
      <w:r>
        <w:rPr>
          <w:rFonts w:hint="eastAsia"/>
          <w:sz w:val="28"/>
          <w:szCs w:val="28"/>
        </w:rPr>
        <w:t>事项，应当逐项列明事项名称、设定依据、</w:t>
      </w:r>
      <w:r>
        <w:rPr>
          <w:rFonts w:hint="eastAsia"/>
          <w:sz w:val="28"/>
          <w:szCs w:val="28"/>
          <w:lang w:eastAsia="zh-CN"/>
        </w:rPr>
        <w:t>审批</w:t>
      </w:r>
      <w:r>
        <w:rPr>
          <w:rFonts w:hint="eastAsia"/>
          <w:sz w:val="28"/>
          <w:szCs w:val="28"/>
        </w:rPr>
        <w:t>条件、</w:t>
      </w:r>
      <w:r>
        <w:rPr>
          <w:rFonts w:hint="eastAsia"/>
          <w:sz w:val="28"/>
          <w:szCs w:val="28"/>
          <w:lang w:eastAsia="zh-CN"/>
        </w:rPr>
        <w:t>审批</w:t>
      </w:r>
      <w:r>
        <w:rPr>
          <w:rFonts w:hint="eastAsia"/>
          <w:sz w:val="28"/>
          <w:szCs w:val="28"/>
        </w:rPr>
        <w:t>层级、</w:t>
      </w:r>
      <w:r>
        <w:rPr>
          <w:rFonts w:hint="eastAsia"/>
          <w:sz w:val="28"/>
          <w:szCs w:val="28"/>
          <w:lang w:eastAsia="zh-CN"/>
        </w:rPr>
        <w:t>审批</w:t>
      </w:r>
      <w:r>
        <w:rPr>
          <w:rFonts w:hint="eastAsia"/>
          <w:sz w:val="28"/>
          <w:szCs w:val="28"/>
        </w:rPr>
        <w:t>部门、事中事后监管措施等内容，制作办理流程图，将办理程序、</w:t>
      </w:r>
      <w:r>
        <w:rPr>
          <w:rFonts w:hint="eastAsia"/>
          <w:sz w:val="28"/>
          <w:szCs w:val="28"/>
          <w:lang w:eastAsia="zh-CN"/>
        </w:rPr>
        <w:t>审批</w:t>
      </w:r>
      <w:r>
        <w:rPr>
          <w:rFonts w:hint="eastAsia"/>
          <w:sz w:val="28"/>
          <w:szCs w:val="28"/>
        </w:rPr>
        <w:t>范围、</w:t>
      </w:r>
      <w:r>
        <w:rPr>
          <w:rFonts w:hint="eastAsia"/>
          <w:sz w:val="28"/>
          <w:szCs w:val="28"/>
          <w:lang w:eastAsia="zh-CN"/>
        </w:rPr>
        <w:t>审批</w:t>
      </w:r>
      <w:r>
        <w:rPr>
          <w:rFonts w:hint="eastAsia"/>
          <w:sz w:val="28"/>
          <w:szCs w:val="28"/>
        </w:rPr>
        <w:t>条件、有效期限等纳入办事指南</w:t>
      </w:r>
      <w:r>
        <w:rPr>
          <w:rFonts w:hint="eastAsia"/>
          <w:sz w:val="28"/>
          <w:szCs w:val="28"/>
          <w:lang w:eastAsia="zh-CN"/>
        </w:rPr>
        <w:t>；</w:t>
      </w:r>
      <w:r>
        <w:rPr>
          <w:rFonts w:hint="eastAsia"/>
          <w:sz w:val="28"/>
          <w:szCs w:val="28"/>
        </w:rPr>
        <w:t>清单之外</w:t>
      </w:r>
      <w:r>
        <w:rPr>
          <w:rFonts w:hint="eastAsia"/>
          <w:sz w:val="28"/>
          <w:szCs w:val="28"/>
          <w:lang w:eastAsia="zh-CN"/>
        </w:rPr>
        <w:t>的</w:t>
      </w:r>
      <w:r>
        <w:rPr>
          <w:rFonts w:hint="eastAsia"/>
          <w:sz w:val="28"/>
          <w:szCs w:val="28"/>
        </w:rPr>
        <w:t>行政</w:t>
      </w:r>
      <w:r>
        <w:rPr>
          <w:rFonts w:hint="eastAsia"/>
          <w:sz w:val="28"/>
          <w:szCs w:val="28"/>
          <w:lang w:eastAsia="zh-CN"/>
        </w:rPr>
        <w:t>审批</w:t>
      </w:r>
      <w:r>
        <w:rPr>
          <w:rFonts w:hint="eastAsia"/>
          <w:sz w:val="28"/>
          <w:szCs w:val="28"/>
        </w:rPr>
        <w:t>事项，</w:t>
      </w:r>
      <w:r>
        <w:rPr>
          <w:rFonts w:hint="eastAsia"/>
          <w:sz w:val="28"/>
          <w:szCs w:val="28"/>
          <w:lang w:eastAsia="zh-CN"/>
        </w:rPr>
        <w:t>除</w:t>
      </w:r>
      <w:r>
        <w:rPr>
          <w:rFonts w:hint="eastAsia"/>
          <w:sz w:val="28"/>
          <w:szCs w:val="28"/>
        </w:rPr>
        <w:t>涉及生态环境保护、食品药品安全等公共利益的事项外</w:t>
      </w:r>
      <w:r>
        <w:rPr>
          <w:rFonts w:hint="eastAsia"/>
          <w:sz w:val="28"/>
          <w:szCs w:val="28"/>
          <w:lang w:eastAsia="zh-CN"/>
        </w:rPr>
        <w:t>，</w:t>
      </w:r>
      <w:r>
        <w:rPr>
          <w:rFonts w:hint="eastAsia"/>
          <w:sz w:val="28"/>
          <w:szCs w:val="28"/>
        </w:rPr>
        <w:t>任何机关不得以备案、登记、注册、年检、年报、监制、认定、认证、鉴定等方式变相设定行政审批事项。</w:t>
      </w:r>
    </w:p>
    <w:p>
      <w:pPr>
        <w:spacing w:line="360" w:lineRule="exact"/>
        <w:ind w:firstLine="560" w:firstLineChars="200"/>
        <w:rPr>
          <w:sz w:val="28"/>
          <w:szCs w:val="28"/>
        </w:rPr>
      </w:pPr>
      <w:r>
        <w:rPr>
          <w:rFonts w:hint="eastAsia"/>
          <w:sz w:val="28"/>
          <w:szCs w:val="28"/>
          <w:lang w:eastAsia="zh-CN"/>
        </w:rPr>
        <w:t>对于</w:t>
      </w:r>
      <w:r>
        <w:rPr>
          <w:rFonts w:hint="eastAsia"/>
          <w:sz w:val="28"/>
          <w:szCs w:val="28"/>
        </w:rPr>
        <w:t>可以通过事中事后监管解决或者通过市场机制解决的，不得采取行政审批方式进行管理。对国家和本市已经取消的行政许可事项，不得继续实施、变相恢复实施或者转由行业协会、商会以及其他组织实施。</w:t>
      </w:r>
    </w:p>
    <w:p>
      <w:pPr>
        <w:spacing w:line="360" w:lineRule="exact"/>
        <w:ind w:firstLine="560" w:firstLineChars="200"/>
        <w:rPr>
          <w:sz w:val="28"/>
          <w:szCs w:val="28"/>
        </w:rPr>
      </w:pPr>
      <w:r>
        <w:rPr>
          <w:rFonts w:hint="eastAsia"/>
          <w:sz w:val="28"/>
          <w:szCs w:val="28"/>
        </w:rPr>
        <w:t>行政备案应当由市人民政府以规章的形式设定。本市其他行政机关不得以任何形式设定行政备案。行政备案管理的具体办法由市人民政府另行制定。</w:t>
      </w:r>
    </w:p>
    <w:p>
      <w:pPr>
        <w:spacing w:line="360" w:lineRule="exact"/>
        <w:ind w:firstLine="560" w:firstLineChars="200"/>
        <w:rPr>
          <w:sz w:val="28"/>
          <w:szCs w:val="28"/>
        </w:rPr>
      </w:pPr>
      <w:r>
        <w:rPr>
          <w:rFonts w:hint="eastAsia"/>
          <w:sz w:val="28"/>
          <w:szCs w:val="28"/>
          <w:lang w:eastAsia="zh-CN"/>
        </w:rPr>
        <w:t>各级各部门</w:t>
      </w:r>
      <w:r>
        <w:rPr>
          <w:rFonts w:hint="eastAsia"/>
          <w:sz w:val="28"/>
          <w:szCs w:val="28"/>
        </w:rPr>
        <w:t>应当将本年度行政</w:t>
      </w:r>
      <w:r>
        <w:rPr>
          <w:rFonts w:hint="eastAsia"/>
          <w:sz w:val="28"/>
          <w:szCs w:val="28"/>
          <w:lang w:eastAsia="zh-CN"/>
        </w:rPr>
        <w:t>审批事项</w:t>
      </w:r>
      <w:r>
        <w:rPr>
          <w:rFonts w:hint="eastAsia"/>
          <w:sz w:val="28"/>
          <w:szCs w:val="28"/>
        </w:rPr>
        <w:t>办理、费用收取、监督检查等工作情况，向同级政府工作机构报告并依法向社会公布。</w:t>
      </w:r>
    </w:p>
    <w:p>
      <w:pPr>
        <w:spacing w:line="360" w:lineRule="exact"/>
        <w:ind w:firstLine="562" w:firstLineChars="200"/>
        <w:rPr>
          <w:b/>
          <w:bCs/>
          <w:sz w:val="28"/>
          <w:szCs w:val="28"/>
        </w:rPr>
      </w:pPr>
      <w:bookmarkStart w:id="146" w:name="_Toc26435"/>
      <w:bookmarkStart w:id="147" w:name="_Toc14006"/>
      <w:bookmarkStart w:id="148" w:name="_Toc19959"/>
      <w:bookmarkStart w:id="149" w:name="_Toc23001"/>
      <w:bookmarkStart w:id="150" w:name="_Toc11738"/>
      <w:r>
        <w:rPr>
          <w:rStyle w:val="15"/>
          <w:rFonts w:hint="eastAsia" w:ascii="宋体" w:hAnsi="宋体" w:eastAsia="宋体" w:cs="宋体"/>
          <w:sz w:val="28"/>
          <w:szCs w:val="28"/>
        </w:rPr>
        <w:t>第二十</w:t>
      </w:r>
      <w:r>
        <w:rPr>
          <w:rStyle w:val="15"/>
          <w:rFonts w:hint="eastAsia" w:ascii="宋体" w:hAnsi="宋体" w:eastAsia="宋体" w:cs="宋体"/>
          <w:sz w:val="28"/>
          <w:szCs w:val="28"/>
          <w:lang w:eastAsia="zh-CN"/>
        </w:rPr>
        <w:t>七</w:t>
      </w:r>
      <w:r>
        <w:rPr>
          <w:rStyle w:val="15"/>
          <w:rFonts w:hint="eastAsia" w:ascii="宋体" w:hAnsi="宋体" w:eastAsia="宋体" w:cs="宋体"/>
          <w:sz w:val="28"/>
          <w:szCs w:val="28"/>
        </w:rPr>
        <w:t>条 【告知承诺</w:t>
      </w:r>
      <w:r>
        <w:rPr>
          <w:rStyle w:val="15"/>
          <w:rFonts w:hint="eastAsia" w:ascii="宋体" w:hAnsi="宋体" w:eastAsia="宋体" w:cs="宋体"/>
          <w:sz w:val="28"/>
          <w:szCs w:val="28"/>
          <w:lang w:eastAsia="zh-CN"/>
        </w:rPr>
        <w:t>制度</w:t>
      </w:r>
      <w:r>
        <w:rPr>
          <w:rStyle w:val="15"/>
          <w:rFonts w:hint="eastAsia" w:ascii="宋体" w:hAnsi="宋体" w:eastAsia="宋体" w:cs="宋体"/>
          <w:sz w:val="28"/>
          <w:szCs w:val="28"/>
        </w:rPr>
        <w:t>】　</w:t>
      </w:r>
      <w:bookmarkEnd w:id="146"/>
      <w:bookmarkEnd w:id="147"/>
      <w:bookmarkEnd w:id="148"/>
      <w:bookmarkEnd w:id="149"/>
      <w:bookmarkEnd w:id="150"/>
      <w:r>
        <w:rPr>
          <w:rFonts w:hint="eastAsia"/>
          <w:b/>
          <w:bCs/>
          <w:sz w:val="28"/>
          <w:szCs w:val="28"/>
        </w:rPr>
        <w:t>　</w:t>
      </w:r>
    </w:p>
    <w:p>
      <w:pPr>
        <w:spacing w:line="360" w:lineRule="exact"/>
        <w:ind w:firstLine="560" w:firstLineChars="200"/>
        <w:rPr>
          <w:rFonts w:hint="eastAsia"/>
          <w:sz w:val="28"/>
          <w:szCs w:val="28"/>
        </w:rPr>
      </w:pPr>
      <w:r>
        <w:rPr>
          <w:rFonts w:hint="eastAsia"/>
          <w:sz w:val="28"/>
          <w:szCs w:val="28"/>
        </w:rPr>
        <w:t>本市全面推行行政审批告知承诺制度。</w:t>
      </w:r>
      <w:r>
        <w:rPr>
          <w:rFonts w:hint="eastAsia"/>
          <w:sz w:val="28"/>
          <w:szCs w:val="28"/>
          <w:lang w:eastAsia="zh-CN"/>
        </w:rPr>
        <w:t>除</w:t>
      </w:r>
      <w:r>
        <w:rPr>
          <w:rFonts w:hint="eastAsia"/>
          <w:sz w:val="28"/>
          <w:szCs w:val="28"/>
        </w:rPr>
        <w:t>直接涉及公共安全、生态环境保护和直接关系人身健康、生命财产安全的以及依法应当当场作出行政审批决定的行政审批事项外</w:t>
      </w:r>
      <w:r>
        <w:rPr>
          <w:rFonts w:hint="eastAsia"/>
          <w:sz w:val="28"/>
          <w:szCs w:val="28"/>
          <w:lang w:eastAsia="zh-CN"/>
        </w:rPr>
        <w:t>，</w:t>
      </w:r>
      <w:r>
        <w:rPr>
          <w:rFonts w:hint="eastAsia"/>
          <w:sz w:val="28"/>
          <w:szCs w:val="28"/>
        </w:rPr>
        <w:t>对审批条件难以事先核实、能够通过事中事后监管纠正且风险可控的行政审批事项，行政审批</w:t>
      </w:r>
      <w:r>
        <w:rPr>
          <w:rFonts w:hint="eastAsia"/>
          <w:sz w:val="28"/>
          <w:szCs w:val="28"/>
          <w:lang w:eastAsia="zh-CN"/>
        </w:rPr>
        <w:t>部门</w:t>
      </w:r>
      <w:r>
        <w:rPr>
          <w:rFonts w:hint="eastAsia"/>
          <w:sz w:val="28"/>
          <w:szCs w:val="28"/>
        </w:rPr>
        <w:t>可以采取告知承诺方式实施行政审批。</w:t>
      </w:r>
    </w:p>
    <w:p>
      <w:pPr>
        <w:spacing w:line="360" w:lineRule="exact"/>
        <w:ind w:firstLine="560" w:firstLineChars="200"/>
        <w:rPr>
          <w:rFonts w:hint="eastAsia"/>
          <w:sz w:val="28"/>
          <w:szCs w:val="28"/>
        </w:rPr>
      </w:pPr>
      <w:r>
        <w:rPr>
          <w:rFonts w:hint="eastAsia"/>
          <w:sz w:val="28"/>
          <w:szCs w:val="28"/>
        </w:rPr>
        <w:t>对实行告知承诺制办理的</w:t>
      </w:r>
      <w:r>
        <w:rPr>
          <w:rFonts w:hint="eastAsia"/>
          <w:sz w:val="28"/>
          <w:szCs w:val="28"/>
          <w:lang w:eastAsia="zh-CN"/>
        </w:rPr>
        <w:t>行政审批</w:t>
      </w:r>
      <w:r>
        <w:rPr>
          <w:rFonts w:hint="eastAsia"/>
          <w:sz w:val="28"/>
          <w:szCs w:val="28"/>
        </w:rPr>
        <w:t>事项和证明事项，有关部门</w:t>
      </w:r>
      <w:r>
        <w:rPr>
          <w:rFonts w:hint="eastAsia"/>
          <w:sz w:val="28"/>
          <w:szCs w:val="28"/>
          <w:highlight w:val="none"/>
          <w:lang w:eastAsia="zh-CN"/>
        </w:rPr>
        <w:t>应当</w:t>
      </w:r>
      <w:r>
        <w:rPr>
          <w:rFonts w:hint="eastAsia"/>
          <w:sz w:val="28"/>
          <w:szCs w:val="28"/>
        </w:rPr>
        <w:t>根据法定权责，制作实行告知承诺的政务服务事项目录清单和办事指南，并向社会公布。</w:t>
      </w:r>
      <w:r>
        <w:rPr>
          <w:rFonts w:hint="eastAsia"/>
          <w:sz w:val="28"/>
          <w:szCs w:val="28"/>
          <w:lang w:eastAsia="zh-CN"/>
        </w:rPr>
        <w:t>应当</w:t>
      </w:r>
      <w:r>
        <w:rPr>
          <w:rFonts w:hint="eastAsia"/>
          <w:sz w:val="28"/>
          <w:szCs w:val="28"/>
        </w:rPr>
        <w:t>将审批条件和需要提交的材料、监管规则、违反承诺的法律责任等一次性告知申请人，并提供告知承诺书示范文本。</w:t>
      </w:r>
    </w:p>
    <w:p>
      <w:pPr>
        <w:spacing w:line="360" w:lineRule="exact"/>
        <w:ind w:firstLine="560" w:firstLineChars="200"/>
        <w:rPr>
          <w:sz w:val="28"/>
          <w:szCs w:val="28"/>
        </w:rPr>
      </w:pPr>
      <w:r>
        <w:rPr>
          <w:rFonts w:hint="eastAsia"/>
          <w:sz w:val="28"/>
          <w:szCs w:val="28"/>
        </w:rPr>
        <w:t>申请人以书面形式承诺符合办理条件并提供相关材料的，</w:t>
      </w:r>
      <w:r>
        <w:rPr>
          <w:rFonts w:hint="eastAsia"/>
          <w:sz w:val="28"/>
          <w:szCs w:val="28"/>
          <w:lang w:eastAsia="zh-CN"/>
        </w:rPr>
        <w:t>行政审批</w:t>
      </w:r>
      <w:r>
        <w:rPr>
          <w:rFonts w:hint="eastAsia"/>
          <w:sz w:val="28"/>
          <w:szCs w:val="28"/>
        </w:rPr>
        <w:t>部门应当依据书面（含电子文本）承诺先行办理行政许可等相关事项。申请人以书面形式承诺符合审批条件，并按告知承诺书的约定提交相关材料的，应当直接作出行政审批决定。</w:t>
      </w:r>
    </w:p>
    <w:p>
      <w:pPr>
        <w:spacing w:line="360" w:lineRule="exact"/>
        <w:ind w:firstLine="560" w:firstLineChars="200"/>
        <w:rPr>
          <w:sz w:val="28"/>
          <w:szCs w:val="28"/>
        </w:rPr>
      </w:pPr>
      <w:r>
        <w:rPr>
          <w:rFonts w:hint="eastAsia"/>
          <w:sz w:val="28"/>
          <w:szCs w:val="28"/>
          <w:lang w:eastAsia="zh-CN"/>
        </w:rPr>
        <w:t>行政</w:t>
      </w:r>
      <w:r>
        <w:rPr>
          <w:rFonts w:hint="eastAsia"/>
          <w:sz w:val="28"/>
          <w:szCs w:val="28"/>
        </w:rPr>
        <w:t>审批部门应当加强事中事后监管，建立告知承诺信息公示制度</w:t>
      </w:r>
      <w:r>
        <w:rPr>
          <w:rFonts w:hint="eastAsia"/>
          <w:sz w:val="28"/>
          <w:szCs w:val="28"/>
          <w:lang w:eastAsia="zh-CN"/>
        </w:rPr>
        <w:t>，</w:t>
      </w:r>
      <w:r>
        <w:rPr>
          <w:rFonts w:hint="eastAsia"/>
          <w:sz w:val="28"/>
          <w:szCs w:val="28"/>
        </w:rPr>
        <w:t>依法对申请人履行承诺情况进行监督检查</w:t>
      </w:r>
      <w:r>
        <w:rPr>
          <w:rFonts w:hint="eastAsia"/>
          <w:sz w:val="28"/>
          <w:szCs w:val="28"/>
          <w:lang w:eastAsia="zh-CN"/>
        </w:rPr>
        <w:t>。</w:t>
      </w:r>
      <w:r>
        <w:rPr>
          <w:rFonts w:hint="eastAsia"/>
          <w:sz w:val="28"/>
          <w:szCs w:val="28"/>
        </w:rPr>
        <w:t>申请人未履行承诺的，</w:t>
      </w:r>
      <w:r>
        <w:rPr>
          <w:rFonts w:hint="eastAsia"/>
          <w:sz w:val="28"/>
          <w:szCs w:val="28"/>
          <w:lang w:eastAsia="zh-CN"/>
        </w:rPr>
        <w:t>行政</w:t>
      </w:r>
      <w:r>
        <w:rPr>
          <w:rFonts w:hint="eastAsia"/>
          <w:sz w:val="28"/>
          <w:szCs w:val="28"/>
        </w:rPr>
        <w:t>审批部门应当责令其限期整改；整改后仍未满足条件的，应当采取信用公示、撤销行政审批决定等措施，依法追究承诺人相应责任。</w:t>
      </w:r>
    </w:p>
    <w:p>
      <w:pPr>
        <w:spacing w:line="360" w:lineRule="exact"/>
        <w:ind w:firstLine="562" w:firstLineChars="200"/>
        <w:rPr>
          <w:b/>
          <w:bCs/>
          <w:sz w:val="28"/>
          <w:szCs w:val="28"/>
        </w:rPr>
      </w:pPr>
      <w:bookmarkStart w:id="151" w:name="_Toc21724"/>
      <w:bookmarkStart w:id="152" w:name="_Toc20494"/>
      <w:bookmarkStart w:id="153" w:name="_Toc12608"/>
      <w:bookmarkStart w:id="154" w:name="_Toc20586"/>
      <w:bookmarkStart w:id="155" w:name="_Toc26560"/>
      <w:r>
        <w:rPr>
          <w:rStyle w:val="15"/>
          <w:rFonts w:hint="eastAsia" w:ascii="宋体" w:hAnsi="宋体" w:eastAsia="宋体" w:cs="宋体"/>
          <w:sz w:val="28"/>
          <w:szCs w:val="28"/>
        </w:rPr>
        <w:t>第二十</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条 【中介服务】</w:t>
      </w:r>
      <w:bookmarkEnd w:id="151"/>
      <w:bookmarkEnd w:id="152"/>
      <w:bookmarkEnd w:id="153"/>
      <w:bookmarkEnd w:id="154"/>
      <w:bookmarkEnd w:id="155"/>
      <w:r>
        <w:rPr>
          <w:rFonts w:hint="eastAsia"/>
          <w:b/>
          <w:bCs/>
          <w:sz w:val="28"/>
          <w:szCs w:val="28"/>
        </w:rPr>
        <w:tab/>
      </w:r>
    </w:p>
    <w:p>
      <w:pPr>
        <w:spacing w:line="360" w:lineRule="exact"/>
        <w:ind w:firstLine="560" w:firstLineChars="200"/>
        <w:rPr>
          <w:sz w:val="28"/>
          <w:szCs w:val="28"/>
        </w:rPr>
      </w:pPr>
      <w:r>
        <w:rPr>
          <w:rFonts w:hint="eastAsia"/>
          <w:sz w:val="28"/>
          <w:szCs w:val="28"/>
        </w:rPr>
        <w:t>本市遵循合法、必要、精简的原则，规范行政审批中介服务事项。行政审批中介服务事项目录由市政务服务</w:t>
      </w:r>
      <w:r>
        <w:rPr>
          <w:rFonts w:hint="eastAsia"/>
          <w:sz w:val="28"/>
          <w:szCs w:val="28"/>
          <w:lang w:eastAsia="zh-CN"/>
        </w:rPr>
        <w:t>数据管理</w:t>
      </w:r>
      <w:r>
        <w:rPr>
          <w:rFonts w:hint="eastAsia"/>
          <w:sz w:val="28"/>
          <w:szCs w:val="28"/>
        </w:rPr>
        <w:t>部门会同相关行政管理部门编制，并向社会公布；作为办理行政审批条件的中介服务事项应当有法律、法规或者国务院决定依据；有关政府部门不得将目录以外的中介服务事项作为办理行政审批的条件。</w:t>
      </w:r>
    </w:p>
    <w:p>
      <w:pPr>
        <w:spacing w:line="360" w:lineRule="exact"/>
        <w:ind w:firstLine="560" w:firstLineChars="200"/>
        <w:rPr>
          <w:sz w:val="28"/>
          <w:szCs w:val="28"/>
        </w:rPr>
      </w:pPr>
      <w:r>
        <w:rPr>
          <w:rFonts w:hint="eastAsia"/>
          <w:sz w:val="28"/>
          <w:szCs w:val="28"/>
        </w:rPr>
        <w:t>除法律、法规另有规定外，市场主体有权自主选择中介服务机构，任何行政管理部门不得为其指定或者变相指定中介服务机构，不得强制或者变相强制市场主体接受中介服务。</w:t>
      </w:r>
    </w:p>
    <w:p>
      <w:pPr>
        <w:spacing w:line="360" w:lineRule="exact"/>
        <w:ind w:firstLine="560" w:firstLineChars="200"/>
        <w:rPr>
          <w:sz w:val="28"/>
          <w:szCs w:val="28"/>
        </w:rPr>
      </w:pPr>
      <w:r>
        <w:rPr>
          <w:rFonts w:hint="eastAsia"/>
          <w:sz w:val="28"/>
          <w:szCs w:val="28"/>
          <w:lang w:eastAsia="zh-CN"/>
        </w:rPr>
        <w:t>行政</w:t>
      </w:r>
      <w:r>
        <w:rPr>
          <w:rFonts w:hint="eastAsia"/>
          <w:sz w:val="28"/>
          <w:szCs w:val="28"/>
        </w:rPr>
        <w:t>审批部门在审批过程中需要委托中介服务机构开展技术性服务的项目，应当通过竞争性方式选择中介服务机构，并自行承担服务费用，不得转嫁给市场主体；对符合进入网上中介服务超市条件的项目，应当通过网上中介服务超市选择，网上中介服务超市中的中介服务信息应当与一体化在线政务服务平台中的政务服务事项相关联。</w:t>
      </w:r>
    </w:p>
    <w:p>
      <w:pPr>
        <w:spacing w:line="360" w:lineRule="exact"/>
        <w:ind w:firstLine="560" w:firstLineChars="200"/>
        <w:rPr>
          <w:sz w:val="28"/>
          <w:szCs w:val="28"/>
        </w:rPr>
      </w:pPr>
      <w:r>
        <w:rPr>
          <w:rFonts w:hint="eastAsia"/>
          <w:sz w:val="28"/>
          <w:szCs w:val="28"/>
        </w:rPr>
        <w:t>中介服务机构应当明确办理法定行政审批中介服务的条件、流程、时限、收费标准，并向社会公开，不得出具虚假证明或者报告。</w:t>
      </w:r>
    </w:p>
    <w:p>
      <w:pPr>
        <w:spacing w:line="360" w:lineRule="exact"/>
        <w:ind w:firstLine="562" w:firstLineChars="200"/>
        <w:rPr>
          <w:rStyle w:val="15"/>
          <w:rFonts w:ascii="宋体" w:hAnsi="宋体" w:eastAsia="宋体" w:cs="宋体"/>
          <w:sz w:val="28"/>
          <w:szCs w:val="28"/>
        </w:rPr>
      </w:pPr>
      <w:bookmarkStart w:id="156" w:name="_Toc26885"/>
      <w:bookmarkStart w:id="157" w:name="_Toc26146"/>
      <w:bookmarkStart w:id="158" w:name="_Toc14138"/>
      <w:bookmarkStart w:id="159" w:name="_Toc25269"/>
      <w:bookmarkStart w:id="160" w:name="_Toc30769"/>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九</w:t>
      </w:r>
      <w:r>
        <w:rPr>
          <w:rStyle w:val="15"/>
          <w:rFonts w:hint="eastAsia" w:ascii="宋体" w:hAnsi="宋体" w:eastAsia="宋体" w:cs="宋体"/>
          <w:sz w:val="28"/>
          <w:szCs w:val="28"/>
        </w:rPr>
        <w:t>条 【证明事项】</w:t>
      </w:r>
    </w:p>
    <w:bookmarkEnd w:id="156"/>
    <w:bookmarkEnd w:id="157"/>
    <w:bookmarkEnd w:id="158"/>
    <w:bookmarkEnd w:id="159"/>
    <w:bookmarkEnd w:id="160"/>
    <w:p>
      <w:pPr>
        <w:spacing w:line="360" w:lineRule="exact"/>
        <w:ind w:firstLine="560" w:firstLineChars="200"/>
        <w:rPr>
          <w:rFonts w:hint="eastAsia" w:eastAsiaTheme="minorEastAsia"/>
          <w:sz w:val="28"/>
          <w:szCs w:val="28"/>
          <w:lang w:eastAsia="zh-CN"/>
        </w:rPr>
      </w:pPr>
      <w:r>
        <w:rPr>
          <w:rFonts w:hint="eastAsia"/>
          <w:sz w:val="28"/>
          <w:szCs w:val="28"/>
        </w:rPr>
        <w:t>本市构建数据共享与业务协同机制，各区（县）、各部门应当加强证明的互认共享，逐步压缩证明事项的设定范围，取消没有法律、法规或者国务院决定作为依据的证明事项；市人民政府规章、规范性文件不得设定证明事项。但应市场主体需求，为提供便利而开具的证明材料除外。设定证明事项时，应当评估给市场主体造成的影响，并且说明设定证明事项的必要性。开展证明事项告知承诺制</w:t>
      </w:r>
      <w:r>
        <w:rPr>
          <w:rFonts w:hint="eastAsia"/>
          <w:sz w:val="28"/>
          <w:szCs w:val="28"/>
          <w:lang w:eastAsia="zh-CN"/>
        </w:rPr>
        <w:t>。</w:t>
      </w:r>
    </w:p>
    <w:p>
      <w:pPr>
        <w:spacing w:line="360" w:lineRule="exact"/>
        <w:ind w:firstLine="560" w:firstLineChars="200"/>
        <w:rPr>
          <w:rFonts w:hint="eastAsia"/>
          <w:sz w:val="28"/>
          <w:szCs w:val="28"/>
        </w:rPr>
      </w:pPr>
      <w:r>
        <w:rPr>
          <w:rFonts w:hint="eastAsia"/>
          <w:sz w:val="28"/>
          <w:szCs w:val="28"/>
        </w:rPr>
        <w:t>县级以上人民政府及其有关部门应当编制并在本机关网站和政务服务大厅显著位置公布证明事项清单，并提供市场主体查询证明事项清单的渠道。清单应当列明证明事项编号、名称、设定依据、开具单位、办理指南等。未纳入证明事项清单或者未提供证明事项查询渠道的，市场主体有权拒绝提供相应证明。</w:t>
      </w:r>
    </w:p>
    <w:p>
      <w:pPr>
        <w:spacing w:line="360" w:lineRule="exact"/>
        <w:ind w:firstLine="560" w:firstLineChars="200"/>
        <w:rPr>
          <w:sz w:val="28"/>
          <w:szCs w:val="28"/>
        </w:rPr>
      </w:pPr>
      <w:r>
        <w:rPr>
          <w:rFonts w:hint="eastAsia"/>
          <w:sz w:val="28"/>
          <w:szCs w:val="28"/>
        </w:rPr>
        <w:t>各级人民政府及其有关部门不得要求市场主体提供以下证明事项：</w:t>
      </w:r>
    </w:p>
    <w:p>
      <w:pPr>
        <w:spacing w:line="360" w:lineRule="exact"/>
        <w:ind w:firstLine="560" w:firstLineChars="200"/>
        <w:rPr>
          <w:sz w:val="28"/>
          <w:szCs w:val="28"/>
        </w:rPr>
      </w:pPr>
      <w:r>
        <w:rPr>
          <w:rFonts w:hint="eastAsia"/>
          <w:sz w:val="28"/>
          <w:szCs w:val="28"/>
        </w:rPr>
        <w:t>（一）没有法律法规依据的；</w:t>
      </w:r>
    </w:p>
    <w:p>
      <w:pPr>
        <w:spacing w:line="360" w:lineRule="exact"/>
        <w:ind w:firstLine="560" w:firstLineChars="200"/>
        <w:rPr>
          <w:sz w:val="28"/>
          <w:szCs w:val="28"/>
        </w:rPr>
      </w:pPr>
      <w:r>
        <w:rPr>
          <w:rFonts w:hint="eastAsia"/>
          <w:sz w:val="28"/>
          <w:szCs w:val="28"/>
        </w:rPr>
        <w:t>（二）通过生活经验和一般常识可以推理核实的；</w:t>
      </w:r>
    </w:p>
    <w:p>
      <w:pPr>
        <w:spacing w:line="360" w:lineRule="exact"/>
        <w:ind w:firstLine="560" w:firstLineChars="200"/>
        <w:rPr>
          <w:sz w:val="28"/>
          <w:szCs w:val="28"/>
        </w:rPr>
      </w:pPr>
      <w:r>
        <w:rPr>
          <w:rFonts w:hint="eastAsia"/>
          <w:sz w:val="28"/>
          <w:szCs w:val="28"/>
        </w:rPr>
        <w:t>（三）通过政府部门内部核查、网络核验能够核实的；</w:t>
      </w:r>
    </w:p>
    <w:p>
      <w:pPr>
        <w:spacing w:line="360" w:lineRule="exact"/>
        <w:ind w:firstLine="560" w:firstLineChars="200"/>
        <w:rPr>
          <w:sz w:val="28"/>
          <w:szCs w:val="28"/>
        </w:rPr>
      </w:pPr>
      <w:r>
        <w:rPr>
          <w:rFonts w:hint="eastAsia"/>
          <w:sz w:val="28"/>
          <w:szCs w:val="28"/>
        </w:rPr>
        <w:t>（四）通过法定证照、法定文书能够核实的；</w:t>
      </w:r>
    </w:p>
    <w:p>
      <w:pPr>
        <w:spacing w:line="360" w:lineRule="exact"/>
        <w:ind w:firstLine="560" w:firstLineChars="200"/>
        <w:rPr>
          <w:sz w:val="28"/>
          <w:szCs w:val="28"/>
        </w:rPr>
      </w:pPr>
      <w:r>
        <w:rPr>
          <w:rFonts w:hint="eastAsia"/>
          <w:sz w:val="28"/>
          <w:szCs w:val="28"/>
        </w:rPr>
        <w:t>（五）通过合同凭证能够证明的；</w:t>
      </w:r>
    </w:p>
    <w:p>
      <w:pPr>
        <w:spacing w:line="360" w:lineRule="exact"/>
        <w:ind w:firstLine="560" w:firstLineChars="200"/>
        <w:rPr>
          <w:sz w:val="28"/>
          <w:szCs w:val="28"/>
        </w:rPr>
      </w:pPr>
      <w:r>
        <w:rPr>
          <w:rFonts w:hint="eastAsia"/>
          <w:sz w:val="28"/>
          <w:szCs w:val="28"/>
        </w:rPr>
        <w:t>（六）能够被其他材料涵盖、替代的；</w:t>
      </w:r>
    </w:p>
    <w:p>
      <w:pPr>
        <w:spacing w:line="360" w:lineRule="exact"/>
        <w:ind w:firstLine="560" w:firstLineChars="200"/>
        <w:rPr>
          <w:sz w:val="28"/>
          <w:szCs w:val="28"/>
        </w:rPr>
      </w:pPr>
      <w:r>
        <w:rPr>
          <w:rFonts w:hint="eastAsia"/>
          <w:sz w:val="28"/>
          <w:szCs w:val="28"/>
        </w:rPr>
        <w:t>（七）可以通过申请人书面告知承诺方式办理的；</w:t>
      </w:r>
    </w:p>
    <w:p>
      <w:pPr>
        <w:spacing w:line="360" w:lineRule="exact"/>
        <w:ind w:firstLine="560" w:firstLineChars="200"/>
        <w:rPr>
          <w:sz w:val="28"/>
          <w:szCs w:val="28"/>
        </w:rPr>
      </w:pPr>
      <w:r>
        <w:rPr>
          <w:rFonts w:hint="eastAsia"/>
          <w:sz w:val="28"/>
          <w:szCs w:val="28"/>
        </w:rPr>
        <w:t>（八）开具单位无法调查核实的；</w:t>
      </w:r>
    </w:p>
    <w:p>
      <w:pPr>
        <w:spacing w:line="360" w:lineRule="exact"/>
        <w:ind w:firstLine="560" w:firstLineChars="200"/>
        <w:rPr>
          <w:sz w:val="28"/>
          <w:szCs w:val="28"/>
        </w:rPr>
      </w:pPr>
      <w:r>
        <w:rPr>
          <w:rFonts w:hint="eastAsia"/>
          <w:sz w:val="28"/>
          <w:szCs w:val="28"/>
        </w:rPr>
        <w:t>（九）其他对当事人造成不合理证明负担情况的。</w:t>
      </w:r>
    </w:p>
    <w:p>
      <w:pPr>
        <w:spacing w:line="360" w:lineRule="exact"/>
        <w:ind w:firstLine="562" w:firstLineChars="200"/>
        <w:rPr>
          <w:rStyle w:val="15"/>
          <w:rFonts w:ascii="宋体" w:hAnsi="宋体" w:eastAsia="宋体" w:cs="宋体"/>
          <w:sz w:val="28"/>
          <w:szCs w:val="28"/>
        </w:rPr>
      </w:pPr>
      <w:bookmarkStart w:id="161" w:name="_Toc13861"/>
      <w:bookmarkStart w:id="162" w:name="_Toc2684"/>
      <w:bookmarkStart w:id="163" w:name="_Toc16045"/>
      <w:bookmarkStart w:id="164" w:name="_Toc24030"/>
      <w:bookmarkStart w:id="165" w:name="_Toc9153"/>
      <w:r>
        <w:rPr>
          <w:rStyle w:val="15"/>
          <w:rFonts w:hint="eastAsia" w:ascii="宋体" w:hAnsi="宋体" w:eastAsia="宋体" w:cs="宋体"/>
          <w:sz w:val="28"/>
          <w:szCs w:val="28"/>
        </w:rPr>
        <w:t>第三十条 【政务服务标准】</w:t>
      </w:r>
    </w:p>
    <w:bookmarkEnd w:id="161"/>
    <w:bookmarkEnd w:id="162"/>
    <w:bookmarkEnd w:id="163"/>
    <w:bookmarkEnd w:id="164"/>
    <w:bookmarkEnd w:id="165"/>
    <w:p>
      <w:pPr>
        <w:spacing w:line="360" w:lineRule="exact"/>
        <w:ind w:firstLine="560" w:firstLineChars="200"/>
        <w:rPr>
          <w:sz w:val="28"/>
          <w:szCs w:val="28"/>
        </w:rPr>
      </w:pPr>
      <w:r>
        <w:rPr>
          <w:rFonts w:hint="eastAsia"/>
          <w:sz w:val="28"/>
          <w:szCs w:val="28"/>
          <w:lang w:eastAsia="zh-CN"/>
        </w:rPr>
        <w:t>本市</w:t>
      </w:r>
      <w:r>
        <w:rPr>
          <w:rFonts w:hint="eastAsia"/>
          <w:sz w:val="28"/>
          <w:szCs w:val="28"/>
        </w:rPr>
        <w:t>各级人民政府、有关部门应当统一政务服务标准，推行政务服务大厅管理标准化，按照减环节、减材料、减时限、优服务的原则，创新政务服务方式，推动新技术在政务服务领域的应用，实现政务服务规范化、标准化、协同化、便利化。</w:t>
      </w:r>
    </w:p>
    <w:p>
      <w:pPr>
        <w:spacing w:line="360" w:lineRule="exact"/>
        <w:ind w:firstLine="560" w:firstLineChars="200"/>
        <w:rPr>
          <w:rFonts w:hint="eastAsia"/>
          <w:sz w:val="28"/>
          <w:szCs w:val="28"/>
        </w:rPr>
      </w:pPr>
      <w:r>
        <w:rPr>
          <w:rFonts w:hint="eastAsia"/>
          <w:sz w:val="28"/>
          <w:szCs w:val="28"/>
        </w:rPr>
        <w:t>市政务服务</w:t>
      </w:r>
      <w:r>
        <w:rPr>
          <w:rFonts w:hint="eastAsia"/>
          <w:sz w:val="28"/>
          <w:szCs w:val="28"/>
          <w:lang w:eastAsia="zh-CN"/>
        </w:rPr>
        <w:t>数据管理</w:t>
      </w:r>
      <w:r>
        <w:rPr>
          <w:rFonts w:hint="eastAsia"/>
          <w:sz w:val="28"/>
          <w:szCs w:val="28"/>
        </w:rPr>
        <w:t>部门应当对全市政务服务事项实施统一管理</w:t>
      </w:r>
      <w:r>
        <w:rPr>
          <w:rFonts w:hint="eastAsia"/>
          <w:sz w:val="28"/>
          <w:szCs w:val="28"/>
          <w:lang w:eastAsia="zh-CN"/>
        </w:rPr>
        <w:t>，</w:t>
      </w:r>
      <w:r>
        <w:rPr>
          <w:rFonts w:hint="eastAsia"/>
          <w:sz w:val="28"/>
          <w:szCs w:val="28"/>
        </w:rPr>
        <w:t>会同有关政府部门编制全市统一的政务服务事项清单及其办事指南向社会公布，实施清单事项网上公开、网上申办、网上查询、网上投诉和网上答复，并根据市场主体需求整合政务服务事项，形成“一件事一次办”服务清单。办事指南应当明确各政务服务事项办理条件和流程、所需材料、容缺受理、办理环节和时限、收费标准、联系方式、投诉渠道等内容。办事指南中的办理条件、所需材料不得含有其他、有关等模糊性兜底要求。</w:t>
      </w:r>
    </w:p>
    <w:p>
      <w:pPr>
        <w:spacing w:line="360" w:lineRule="exact"/>
        <w:ind w:firstLine="562" w:firstLineChars="200"/>
        <w:rPr>
          <w:rStyle w:val="15"/>
          <w:rFonts w:ascii="宋体" w:hAnsi="宋体" w:eastAsia="宋体" w:cs="宋体"/>
          <w:sz w:val="28"/>
          <w:szCs w:val="28"/>
        </w:rPr>
      </w:pPr>
      <w:bookmarkStart w:id="166" w:name="_Toc17173"/>
      <w:bookmarkStart w:id="167" w:name="_Toc21193"/>
      <w:bookmarkStart w:id="168" w:name="_Toc28034"/>
      <w:bookmarkStart w:id="169" w:name="_Toc24739"/>
      <w:bookmarkStart w:id="170" w:name="_Toc16116"/>
      <w:r>
        <w:rPr>
          <w:rStyle w:val="15"/>
          <w:rFonts w:hint="eastAsia" w:ascii="宋体" w:hAnsi="宋体" w:eastAsia="宋体" w:cs="宋体"/>
          <w:sz w:val="28"/>
          <w:szCs w:val="28"/>
        </w:rPr>
        <w:t>第三十</w:t>
      </w:r>
      <w:r>
        <w:rPr>
          <w:rStyle w:val="15"/>
          <w:rFonts w:hint="eastAsia" w:ascii="宋体" w:hAnsi="宋体" w:eastAsia="宋体" w:cs="宋体"/>
          <w:sz w:val="28"/>
          <w:szCs w:val="28"/>
          <w:lang w:eastAsia="zh-CN"/>
        </w:rPr>
        <w:t>一</w:t>
      </w:r>
      <w:r>
        <w:rPr>
          <w:rStyle w:val="15"/>
          <w:rFonts w:hint="eastAsia" w:ascii="宋体" w:hAnsi="宋体" w:eastAsia="宋体" w:cs="宋体"/>
          <w:sz w:val="28"/>
          <w:szCs w:val="28"/>
        </w:rPr>
        <w:t>条 【实体大厅】</w:t>
      </w:r>
    </w:p>
    <w:bookmarkEnd w:id="166"/>
    <w:bookmarkEnd w:id="167"/>
    <w:bookmarkEnd w:id="168"/>
    <w:bookmarkEnd w:id="169"/>
    <w:p>
      <w:pPr>
        <w:spacing w:line="360" w:lineRule="exact"/>
        <w:ind w:firstLine="560" w:firstLineChars="200"/>
        <w:rPr>
          <w:rFonts w:hint="eastAsia"/>
          <w:sz w:val="28"/>
          <w:szCs w:val="28"/>
        </w:rPr>
      </w:pPr>
      <w:r>
        <w:rPr>
          <w:rFonts w:hint="eastAsia"/>
          <w:sz w:val="28"/>
          <w:szCs w:val="28"/>
        </w:rPr>
        <w:t>本市各级人民政府应当建立综合性实体政务服务大厅，按照统一入口、统一平台、统一标准的原则，推行政务服务事项在服务大厅或者站点集成服务</w:t>
      </w:r>
      <w:r>
        <w:rPr>
          <w:rFonts w:hint="eastAsia"/>
          <w:sz w:val="28"/>
          <w:szCs w:val="28"/>
          <w:lang w:eastAsia="zh-CN"/>
        </w:rPr>
        <w:t>，实行</w:t>
      </w:r>
      <w:r>
        <w:rPr>
          <w:rFonts w:hint="eastAsia"/>
          <w:sz w:val="28"/>
          <w:szCs w:val="28"/>
        </w:rPr>
        <w:t>前台综合受理、后台分类审批、统一窗口出件</w:t>
      </w:r>
      <w:r>
        <w:rPr>
          <w:rFonts w:hint="eastAsia"/>
          <w:sz w:val="28"/>
          <w:szCs w:val="28"/>
          <w:lang w:eastAsia="zh-CN"/>
        </w:rPr>
        <w:t>的</w:t>
      </w:r>
      <w:r>
        <w:rPr>
          <w:rFonts w:hint="eastAsia"/>
          <w:sz w:val="28"/>
          <w:szCs w:val="28"/>
        </w:rPr>
        <w:t>一站式服务，实现市场主体到现场办理的事项“一窗通办</w:t>
      </w:r>
      <w:r>
        <w:rPr>
          <w:rFonts w:hint="eastAsia"/>
          <w:sz w:val="28"/>
          <w:szCs w:val="28"/>
          <w:lang w:eastAsia="zh-CN"/>
        </w:rPr>
        <w:t>”</w:t>
      </w:r>
      <w:r>
        <w:rPr>
          <w:rFonts w:hint="eastAsia"/>
          <w:sz w:val="28"/>
          <w:szCs w:val="28"/>
        </w:rPr>
        <w:t>。</w:t>
      </w:r>
    </w:p>
    <w:p>
      <w:pPr>
        <w:spacing w:line="360" w:lineRule="exact"/>
        <w:ind w:firstLine="560" w:firstLineChars="200"/>
        <w:rPr>
          <w:sz w:val="28"/>
          <w:szCs w:val="28"/>
        </w:rPr>
      </w:pPr>
      <w:r>
        <w:rPr>
          <w:rFonts w:hint="eastAsia"/>
          <w:sz w:val="28"/>
          <w:szCs w:val="28"/>
        </w:rPr>
        <w:t>乡镇人民政府、街道办事处应当设立综合便民服务中心，实行政务服务事项综合受理、集中办理、现场服务、限时服务，为自然人、法人和非法人组织就近办理政务服务事项提供便利。乡镇人民政府、街道办事处可以在社区（村）设立便民服务站点提供延伸服务。</w:t>
      </w:r>
    </w:p>
    <w:p>
      <w:pPr>
        <w:spacing w:line="360" w:lineRule="exact"/>
        <w:ind w:firstLine="560" w:firstLineChars="200"/>
        <w:rPr>
          <w:rFonts w:hint="eastAsia"/>
          <w:sz w:val="28"/>
          <w:szCs w:val="28"/>
        </w:rPr>
      </w:pPr>
      <w:r>
        <w:rPr>
          <w:rFonts w:hint="eastAsia"/>
          <w:sz w:val="28"/>
          <w:szCs w:val="28"/>
        </w:rPr>
        <w:t>有关部门在政务服务大厅派驻人员的，应当赋予派驻人员充分的行政审批权限，对已经受理的事项，原则上实行经办人、首席代表最多签两次办结的工作机制，实现受理、审批、办结一站式服务。服务窗口应当加强标准化管理，不得增设政务服务事项的办理条件和环节，健全</w:t>
      </w:r>
      <w:r>
        <w:rPr>
          <w:rFonts w:hint="eastAsia"/>
          <w:sz w:val="28"/>
          <w:szCs w:val="28"/>
          <w:lang w:eastAsia="zh-CN"/>
        </w:rPr>
        <w:t>和完善预约办理、</w:t>
      </w:r>
      <w:r>
        <w:rPr>
          <w:rFonts w:hint="eastAsia"/>
          <w:sz w:val="28"/>
          <w:szCs w:val="28"/>
        </w:rPr>
        <w:t>预审咨询、一次告知、首问负责、全程</w:t>
      </w:r>
      <w:r>
        <w:rPr>
          <w:rFonts w:hint="eastAsia"/>
          <w:sz w:val="28"/>
          <w:szCs w:val="28"/>
          <w:lang w:eastAsia="zh-CN"/>
        </w:rPr>
        <w:t>代</w:t>
      </w:r>
      <w:r>
        <w:rPr>
          <w:rFonts w:hint="eastAsia"/>
          <w:sz w:val="28"/>
          <w:szCs w:val="28"/>
        </w:rPr>
        <w:t>办、</w:t>
      </w:r>
      <w:r>
        <w:rPr>
          <w:rFonts w:hint="eastAsia"/>
          <w:sz w:val="28"/>
          <w:szCs w:val="28"/>
          <w:highlight w:val="none"/>
        </w:rPr>
        <w:t>联办</w:t>
      </w:r>
      <w:r>
        <w:rPr>
          <w:rFonts w:hint="eastAsia"/>
          <w:sz w:val="28"/>
          <w:szCs w:val="28"/>
          <w:lang w:eastAsia="zh-CN"/>
        </w:rPr>
        <w:t>、错</w:t>
      </w:r>
      <w:r>
        <w:rPr>
          <w:rFonts w:hint="eastAsia"/>
          <w:sz w:val="28"/>
          <w:szCs w:val="28"/>
          <w:highlight w:val="none"/>
          <w:lang w:eastAsia="zh-CN"/>
        </w:rPr>
        <w:t>峰</w:t>
      </w:r>
      <w:r>
        <w:rPr>
          <w:rFonts w:hint="eastAsia"/>
          <w:sz w:val="28"/>
          <w:szCs w:val="28"/>
        </w:rPr>
        <w:t>延时</w:t>
      </w:r>
      <w:r>
        <w:rPr>
          <w:rFonts w:hint="eastAsia"/>
          <w:sz w:val="28"/>
          <w:szCs w:val="28"/>
          <w:lang w:eastAsia="zh-CN"/>
        </w:rPr>
        <w:t>限时办结</w:t>
      </w:r>
      <w:r>
        <w:rPr>
          <w:rFonts w:hint="eastAsia"/>
          <w:sz w:val="28"/>
          <w:szCs w:val="28"/>
        </w:rPr>
        <w:t>等服务制度。</w:t>
      </w:r>
    </w:p>
    <w:p>
      <w:pPr>
        <w:spacing w:line="360" w:lineRule="exact"/>
        <w:ind w:firstLine="560" w:firstLineChars="200"/>
        <w:rPr>
          <w:rFonts w:hint="eastAsia"/>
          <w:sz w:val="28"/>
          <w:szCs w:val="28"/>
        </w:rPr>
      </w:pPr>
      <w:r>
        <w:rPr>
          <w:rFonts w:hint="eastAsia"/>
          <w:sz w:val="28"/>
          <w:szCs w:val="28"/>
        </w:rPr>
        <w:t>各区（县）、各部门应当加强窗口服务力量配置和窗口工作人员业务培训。服务窗口应当按照政府效能建设管理规定，综合运用效能评估、监督检查、效能问责等手段，提高服务质量和效能。</w:t>
      </w:r>
    </w:p>
    <w:p>
      <w:pPr>
        <w:spacing w:line="360" w:lineRule="exact"/>
        <w:ind w:firstLine="560" w:firstLineChars="200"/>
        <w:rPr>
          <w:sz w:val="28"/>
          <w:szCs w:val="28"/>
        </w:rPr>
      </w:pPr>
      <w:r>
        <w:rPr>
          <w:rFonts w:hint="eastAsia"/>
          <w:sz w:val="28"/>
          <w:szCs w:val="28"/>
        </w:rPr>
        <w:t>除法律、法规有明确规定的情形外，窗口工作人员不得对申请人提出的申请事项不予收件。窗口工作人员不予收件的，各部门应当加强核实监督。</w:t>
      </w:r>
    </w:p>
    <w:p>
      <w:pPr>
        <w:spacing w:line="360" w:lineRule="exact"/>
        <w:ind w:firstLine="560" w:firstLineChars="200"/>
        <w:rPr>
          <w:rFonts w:hint="eastAsia" w:eastAsiaTheme="minorEastAsia"/>
          <w:sz w:val="28"/>
          <w:szCs w:val="28"/>
          <w:lang w:eastAsia="zh-CN"/>
        </w:rPr>
      </w:pPr>
      <w:r>
        <w:rPr>
          <w:rFonts w:hint="eastAsia"/>
          <w:sz w:val="28"/>
          <w:szCs w:val="28"/>
        </w:rPr>
        <w:t>有关政府部门及其工作人员应当</w:t>
      </w:r>
      <w:r>
        <w:rPr>
          <w:rFonts w:hint="eastAsia"/>
          <w:sz w:val="28"/>
          <w:szCs w:val="28"/>
          <w:lang w:eastAsia="zh-CN"/>
        </w:rPr>
        <w:t>严格遵守以下规定：</w:t>
      </w:r>
    </w:p>
    <w:p>
      <w:pPr>
        <w:numPr>
          <w:ilvl w:val="0"/>
          <w:numId w:val="1"/>
        </w:numPr>
        <w:spacing w:line="360" w:lineRule="exact"/>
        <w:ind w:firstLine="560" w:firstLineChars="200"/>
        <w:rPr>
          <w:rFonts w:hint="eastAsia"/>
          <w:sz w:val="28"/>
          <w:szCs w:val="28"/>
        </w:rPr>
      </w:pPr>
      <w:r>
        <w:rPr>
          <w:rFonts w:hint="eastAsia"/>
          <w:sz w:val="28"/>
          <w:szCs w:val="28"/>
        </w:rPr>
        <w:t>按照有利于市场主体的原则办理政务服务事项</w:t>
      </w:r>
      <w:r>
        <w:rPr>
          <w:rFonts w:hint="eastAsia"/>
          <w:sz w:val="28"/>
          <w:szCs w:val="28"/>
          <w:lang w:eastAsia="zh-CN"/>
        </w:rPr>
        <w:t>；</w:t>
      </w:r>
    </w:p>
    <w:p>
      <w:pPr>
        <w:numPr>
          <w:ilvl w:val="0"/>
          <w:numId w:val="1"/>
        </w:numPr>
        <w:spacing w:line="360" w:lineRule="exact"/>
        <w:ind w:firstLine="560" w:firstLineChars="200"/>
        <w:rPr>
          <w:sz w:val="28"/>
          <w:szCs w:val="28"/>
        </w:rPr>
      </w:pPr>
      <w:r>
        <w:rPr>
          <w:rFonts w:hint="eastAsia"/>
          <w:sz w:val="28"/>
          <w:szCs w:val="28"/>
        </w:rPr>
        <w:t>按照办事指南的规定办理政务服务事项，不得对市场主体提出办事指南规定以外的要求；</w:t>
      </w:r>
    </w:p>
    <w:p>
      <w:pPr>
        <w:numPr>
          <w:ilvl w:val="0"/>
          <w:numId w:val="1"/>
        </w:numPr>
        <w:spacing w:line="360" w:lineRule="exact"/>
        <w:ind w:firstLine="560" w:firstLineChars="200"/>
        <w:rPr>
          <w:sz w:val="28"/>
          <w:szCs w:val="28"/>
        </w:rPr>
      </w:pPr>
      <w:r>
        <w:rPr>
          <w:rFonts w:hint="eastAsia"/>
          <w:sz w:val="28"/>
          <w:szCs w:val="28"/>
        </w:rPr>
        <w:t>能够通过政府部门之间信息共享获取的材料，不得要求市场主体提供；</w:t>
      </w:r>
    </w:p>
    <w:p>
      <w:pPr>
        <w:numPr>
          <w:ilvl w:val="0"/>
          <w:numId w:val="1"/>
        </w:numPr>
        <w:spacing w:line="360" w:lineRule="exact"/>
        <w:ind w:firstLine="560" w:firstLineChars="200"/>
        <w:rPr>
          <w:sz w:val="28"/>
          <w:szCs w:val="28"/>
        </w:rPr>
      </w:pPr>
      <w:r>
        <w:rPr>
          <w:rFonts w:hint="eastAsia"/>
          <w:sz w:val="28"/>
          <w:szCs w:val="28"/>
        </w:rPr>
        <w:t>需要进行现场踏勘、现场核查、技术审查、听证论证的，应当在规定时限内及时安排，不得推诿、拖延；</w:t>
      </w:r>
    </w:p>
    <w:p>
      <w:pPr>
        <w:numPr>
          <w:ilvl w:val="0"/>
          <w:numId w:val="1"/>
        </w:numPr>
        <w:spacing w:line="360" w:lineRule="exact"/>
        <w:ind w:firstLine="560" w:firstLineChars="200"/>
        <w:rPr>
          <w:sz w:val="28"/>
          <w:szCs w:val="28"/>
        </w:rPr>
      </w:pPr>
      <w:r>
        <w:rPr>
          <w:rFonts w:hint="eastAsia"/>
          <w:sz w:val="28"/>
          <w:szCs w:val="28"/>
        </w:rPr>
        <w:t>同一政务服务事项在同等情况下，应当同标准受理、同标准办理，不得差别对待；</w:t>
      </w:r>
    </w:p>
    <w:p>
      <w:pPr>
        <w:numPr>
          <w:ilvl w:val="0"/>
          <w:numId w:val="1"/>
        </w:numPr>
        <w:spacing w:line="360" w:lineRule="exact"/>
        <w:ind w:firstLine="560" w:firstLineChars="200"/>
        <w:rPr>
          <w:rFonts w:hint="eastAsia"/>
          <w:sz w:val="28"/>
          <w:szCs w:val="28"/>
        </w:rPr>
      </w:pPr>
      <w:r>
        <w:rPr>
          <w:rFonts w:hint="eastAsia"/>
          <w:sz w:val="28"/>
          <w:szCs w:val="28"/>
        </w:rPr>
        <w:t>遵守工作纪律，不得与市场主体有任何影响依法履职的交往。</w:t>
      </w:r>
    </w:p>
    <w:p>
      <w:pPr>
        <w:spacing w:line="360" w:lineRule="exact"/>
        <w:ind w:firstLine="560" w:firstLineChars="200"/>
        <w:rPr>
          <w:sz w:val="28"/>
          <w:szCs w:val="28"/>
        </w:rPr>
      </w:pPr>
      <w:r>
        <w:rPr>
          <w:rFonts w:hint="eastAsia"/>
          <w:sz w:val="28"/>
          <w:szCs w:val="28"/>
        </w:rPr>
        <w:t>除法律、法规另有规定或确需线下办理外，市场主体有权自主选择政务服务线上或者线下办理，行政机关不得限定市场主体的申请方式和办理渠道。</w:t>
      </w:r>
    </w:p>
    <w:bookmarkEnd w:id="170"/>
    <w:p>
      <w:pPr>
        <w:spacing w:line="360" w:lineRule="exact"/>
        <w:ind w:firstLine="562" w:firstLineChars="200"/>
        <w:rPr>
          <w:b/>
          <w:bCs/>
          <w:sz w:val="28"/>
          <w:szCs w:val="28"/>
        </w:rPr>
      </w:pPr>
      <w:bookmarkStart w:id="171" w:name="_Toc16848"/>
      <w:bookmarkStart w:id="172" w:name="_Toc21181"/>
      <w:bookmarkStart w:id="173" w:name="_Toc852"/>
      <w:bookmarkStart w:id="174" w:name="_Toc23944"/>
      <w:bookmarkStart w:id="175" w:name="_Toc7256"/>
      <w:r>
        <w:rPr>
          <w:rStyle w:val="15"/>
          <w:rFonts w:hint="eastAsia" w:ascii="宋体" w:hAnsi="宋体" w:eastAsia="宋体" w:cs="宋体"/>
          <w:sz w:val="28"/>
          <w:szCs w:val="28"/>
        </w:rPr>
        <w:t>第三十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【一网通办】</w:t>
      </w:r>
      <w:bookmarkEnd w:id="171"/>
      <w:bookmarkEnd w:id="172"/>
      <w:bookmarkEnd w:id="173"/>
      <w:bookmarkEnd w:id="174"/>
      <w:bookmarkEnd w:id="175"/>
      <w:r>
        <w:rPr>
          <w:rFonts w:hint="eastAsia"/>
          <w:b/>
          <w:bCs/>
          <w:sz w:val="28"/>
          <w:szCs w:val="28"/>
        </w:rPr>
        <w:tab/>
      </w:r>
    </w:p>
    <w:p>
      <w:pPr>
        <w:spacing w:line="360" w:lineRule="exact"/>
        <w:ind w:firstLine="560" w:firstLineChars="200"/>
        <w:rPr>
          <w:rFonts w:hint="eastAsia"/>
          <w:sz w:val="28"/>
          <w:szCs w:val="28"/>
        </w:rPr>
      </w:pPr>
      <w:r>
        <w:rPr>
          <w:rFonts w:hint="eastAsia"/>
          <w:sz w:val="28"/>
          <w:szCs w:val="28"/>
        </w:rPr>
        <w:t>市政务服务</w:t>
      </w:r>
      <w:r>
        <w:rPr>
          <w:rFonts w:hint="eastAsia"/>
          <w:sz w:val="28"/>
          <w:szCs w:val="28"/>
          <w:lang w:eastAsia="zh-CN"/>
        </w:rPr>
        <w:t>数据管理</w:t>
      </w:r>
      <w:r>
        <w:rPr>
          <w:rFonts w:hint="eastAsia"/>
          <w:sz w:val="28"/>
          <w:szCs w:val="28"/>
        </w:rPr>
        <w:t>部门负责统筹规划、协调推进、指导监督“一网通办”工作。除法律、法规另有规定或者涉及国家秘密等情形外，市政务服务</w:t>
      </w:r>
      <w:r>
        <w:rPr>
          <w:rFonts w:hint="eastAsia"/>
          <w:sz w:val="28"/>
          <w:szCs w:val="28"/>
          <w:lang w:eastAsia="zh-CN"/>
        </w:rPr>
        <w:t>数据管理</w:t>
      </w:r>
      <w:r>
        <w:rPr>
          <w:rFonts w:hint="eastAsia"/>
          <w:sz w:val="28"/>
          <w:szCs w:val="28"/>
        </w:rPr>
        <w:t>部门统筹建设全流程一体化在线政务服务平台（以下简称“一网通办”平台），各级政务服务事项均纳入网上政务服务平台办理，实现线上“一网通办”</w:t>
      </w:r>
      <w:r>
        <w:rPr>
          <w:rFonts w:hint="eastAsia"/>
          <w:sz w:val="28"/>
          <w:szCs w:val="28"/>
          <w:lang w:eastAsia="zh-CN"/>
        </w:rPr>
        <w:t>。</w:t>
      </w:r>
      <w:r>
        <w:rPr>
          <w:rFonts w:hint="eastAsia"/>
          <w:sz w:val="28"/>
          <w:szCs w:val="28"/>
        </w:rPr>
        <w:t>推动线下和线上政务服务融合，加强业务协同办理，优化政务服务流程，推动市场主体办事线上一个总门户、一次登录、全网通办。已在线收取规范化电子材料的，不得要求申请人再提供纸质材料。推进“一网通办”平台涉外服务专窗建设，为外商投资企业、外国人提供便利化政务服务。</w:t>
      </w:r>
    </w:p>
    <w:p>
      <w:pPr>
        <w:spacing w:line="360" w:lineRule="exact"/>
        <w:ind w:firstLine="560" w:firstLineChars="200"/>
        <w:rPr>
          <w:sz w:val="28"/>
          <w:szCs w:val="28"/>
        </w:rPr>
      </w:pPr>
      <w:r>
        <w:rPr>
          <w:rFonts w:hint="eastAsia"/>
          <w:sz w:val="28"/>
          <w:szCs w:val="28"/>
          <w:lang w:eastAsia="zh-CN"/>
        </w:rPr>
        <w:t>探索</w:t>
      </w:r>
      <w:r>
        <w:rPr>
          <w:rFonts w:hint="eastAsia"/>
          <w:sz w:val="28"/>
          <w:szCs w:val="28"/>
        </w:rPr>
        <w:t>利用人工智能、大数据、区块链、移动互联网等现代信息技术，推进数据共享与融合，简化办事流程，推广无人干预自动办理模式，实现系统全联通、数据全流动，推动政务服务事项全流程网上办理。</w:t>
      </w:r>
    </w:p>
    <w:p>
      <w:pPr>
        <w:spacing w:line="360" w:lineRule="exact"/>
        <w:ind w:firstLine="560" w:firstLineChars="200"/>
        <w:rPr>
          <w:rFonts w:hint="eastAsia"/>
          <w:sz w:val="28"/>
          <w:szCs w:val="28"/>
        </w:rPr>
      </w:pPr>
      <w:r>
        <w:rPr>
          <w:rFonts w:hint="eastAsia"/>
          <w:sz w:val="28"/>
          <w:szCs w:val="28"/>
        </w:rPr>
        <w:t>市政务服务</w:t>
      </w:r>
      <w:r>
        <w:rPr>
          <w:rFonts w:hint="eastAsia"/>
          <w:sz w:val="28"/>
          <w:szCs w:val="28"/>
          <w:lang w:eastAsia="zh-CN"/>
        </w:rPr>
        <w:t>数据管理</w:t>
      </w:r>
      <w:r>
        <w:rPr>
          <w:rFonts w:hint="eastAsia"/>
          <w:sz w:val="28"/>
          <w:szCs w:val="28"/>
        </w:rPr>
        <w:t>部门应当建立全市统一的大数据管理平台和信息共享机制，完善政务信息归集、共享、交换和应用机制，规范政务数据资源管理。</w:t>
      </w:r>
      <w:r>
        <w:rPr>
          <w:rFonts w:hint="eastAsia"/>
          <w:sz w:val="28"/>
          <w:szCs w:val="28"/>
          <w:lang w:eastAsia="zh-CN"/>
        </w:rPr>
        <w:t>大力</w:t>
      </w:r>
      <w:r>
        <w:rPr>
          <w:rFonts w:hint="eastAsia"/>
          <w:sz w:val="28"/>
          <w:szCs w:val="28"/>
        </w:rPr>
        <w:t>推进政务信息共享，推进各区（县）、各部门政务服务平台规范化、标准化和互联互通。</w:t>
      </w:r>
      <w:r>
        <w:rPr>
          <w:rFonts w:hint="eastAsia"/>
          <w:sz w:val="28"/>
          <w:szCs w:val="28"/>
          <w:lang w:eastAsia="zh-CN"/>
        </w:rPr>
        <w:t>各</w:t>
      </w:r>
      <w:r>
        <w:rPr>
          <w:rFonts w:hint="eastAsia"/>
          <w:sz w:val="28"/>
          <w:szCs w:val="28"/>
        </w:rPr>
        <w:t>有关部门应当依据职责准确、及时、完整向大数据管理平台汇集政务信息，实现政务数据的共享交换和开放应用。各部门对所获取的共享政务信息，应当做好数据安全保护工作。</w:t>
      </w:r>
    </w:p>
    <w:p>
      <w:pPr>
        <w:spacing w:line="360" w:lineRule="exact"/>
        <w:ind w:firstLine="560" w:firstLineChars="200"/>
        <w:rPr>
          <w:rFonts w:hint="eastAsia"/>
          <w:sz w:val="28"/>
          <w:szCs w:val="28"/>
        </w:rPr>
      </w:pPr>
      <w:r>
        <w:rPr>
          <w:rFonts w:hint="eastAsia"/>
          <w:sz w:val="28"/>
          <w:szCs w:val="28"/>
        </w:rPr>
        <w:t>探索建立政企数据共享机制，破解政企数据融合应用的壁垒，进一步促进和规范公共数据的开放和利用。</w:t>
      </w:r>
    </w:p>
    <w:p>
      <w:pPr>
        <w:spacing w:line="360" w:lineRule="exact"/>
        <w:ind w:firstLine="562" w:firstLineChars="200"/>
        <w:rPr>
          <w:rStyle w:val="15"/>
          <w:rFonts w:ascii="宋体" w:hAnsi="宋体" w:eastAsia="宋体" w:cs="宋体"/>
          <w:sz w:val="28"/>
          <w:szCs w:val="28"/>
        </w:rPr>
      </w:pPr>
      <w:bookmarkStart w:id="176" w:name="_Toc7993"/>
      <w:bookmarkStart w:id="177" w:name="_Toc13680"/>
      <w:bookmarkStart w:id="178" w:name="_Toc30934"/>
      <w:bookmarkStart w:id="179" w:name="_Toc26303"/>
      <w:bookmarkStart w:id="180" w:name="_Toc17378"/>
      <w:r>
        <w:rPr>
          <w:rStyle w:val="15"/>
          <w:rFonts w:hint="eastAsia" w:ascii="宋体" w:hAnsi="宋体" w:eastAsia="宋体" w:cs="宋体"/>
          <w:sz w:val="28"/>
          <w:szCs w:val="28"/>
        </w:rPr>
        <w:t>第三十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 【电子证照】</w:t>
      </w:r>
    </w:p>
    <w:bookmarkEnd w:id="176"/>
    <w:bookmarkEnd w:id="177"/>
    <w:bookmarkEnd w:id="178"/>
    <w:bookmarkEnd w:id="179"/>
    <w:bookmarkEnd w:id="180"/>
    <w:p>
      <w:pPr>
        <w:spacing w:line="360" w:lineRule="exact"/>
        <w:ind w:firstLine="560" w:firstLineChars="200"/>
        <w:rPr>
          <w:sz w:val="28"/>
          <w:szCs w:val="28"/>
        </w:rPr>
      </w:pPr>
      <w:r>
        <w:rPr>
          <w:rFonts w:hint="eastAsia"/>
          <w:sz w:val="28"/>
          <w:szCs w:val="28"/>
        </w:rPr>
        <w:t>本市按照电子证照相关规定，建立健全电子证照归集和应用机制，</w:t>
      </w:r>
      <w:r>
        <w:rPr>
          <w:rFonts w:hint="eastAsia"/>
          <w:sz w:val="28"/>
          <w:szCs w:val="28"/>
          <w:lang w:eastAsia="zh-CN"/>
        </w:rPr>
        <w:t>加</w:t>
      </w:r>
      <w:r>
        <w:rPr>
          <w:rFonts w:hint="eastAsia"/>
          <w:sz w:val="28"/>
          <w:szCs w:val="28"/>
          <w:u w:val="none"/>
          <w:lang w:eastAsia="zh-CN"/>
        </w:rPr>
        <w:t>快</w:t>
      </w:r>
      <w:r>
        <w:rPr>
          <w:rFonts w:hint="eastAsia"/>
          <w:sz w:val="28"/>
          <w:szCs w:val="28"/>
          <w:u w:val="none"/>
        </w:rPr>
        <w:t>推进电子印章和电子证照在政务服务、公用事业服务领域的全面应用。市场主体办理政务服务事项，使用的符合《中华人民共和国电子签名法》规定条件的可靠的电子签名，与手</w:t>
      </w:r>
      <w:r>
        <w:rPr>
          <w:rFonts w:hint="eastAsia"/>
          <w:sz w:val="28"/>
          <w:szCs w:val="28"/>
        </w:rPr>
        <w:t>写签名或者盖章具有同等法律效力；电子印章与实物印章具有同等法律效力；电子证照、电子公文、电子证明等电子材料，与纸质版本具有同等效力，办理机关不得要求另行提供纸质版本，但法律、行政法规另有规定的除外。</w:t>
      </w:r>
    </w:p>
    <w:p>
      <w:pPr>
        <w:spacing w:line="360" w:lineRule="exact"/>
        <w:ind w:firstLine="560" w:firstLineChars="200"/>
        <w:rPr>
          <w:sz w:val="28"/>
          <w:szCs w:val="28"/>
        </w:rPr>
      </w:pPr>
      <w:r>
        <w:rPr>
          <w:rFonts w:hint="eastAsia"/>
          <w:sz w:val="28"/>
          <w:szCs w:val="28"/>
        </w:rPr>
        <w:t>除法律、法规另有规定外，</w:t>
      </w:r>
      <w:r>
        <w:rPr>
          <w:rFonts w:hint="eastAsia"/>
          <w:sz w:val="28"/>
          <w:szCs w:val="28"/>
          <w:lang w:eastAsia="zh-CN"/>
        </w:rPr>
        <w:t>市、区（县）</w:t>
      </w:r>
      <w:r>
        <w:rPr>
          <w:rFonts w:hint="eastAsia"/>
          <w:sz w:val="28"/>
          <w:szCs w:val="28"/>
        </w:rPr>
        <w:t>人民政府及其部门签发的电子证照应当向市电子证照库实时归集，确保数据完整、准确。对实体证照和电子证照实行同步签发、同步更新、同步注销，推行电子证照一网申请、受理、审批、公开、查询及打印下载。市场主体可以根据需要</w:t>
      </w:r>
      <w:r>
        <w:rPr>
          <w:rFonts w:hint="eastAsia"/>
          <w:sz w:val="28"/>
          <w:szCs w:val="28"/>
          <w:lang w:eastAsia="zh-CN"/>
        </w:rPr>
        <w:t>自主</w:t>
      </w:r>
      <w:r>
        <w:rPr>
          <w:rFonts w:hint="eastAsia"/>
          <w:sz w:val="28"/>
          <w:szCs w:val="28"/>
        </w:rPr>
        <w:t>选择</w:t>
      </w:r>
      <w:r>
        <w:rPr>
          <w:rFonts w:hint="eastAsia"/>
          <w:sz w:val="28"/>
          <w:szCs w:val="28"/>
          <w:lang w:eastAsia="zh-CN"/>
        </w:rPr>
        <w:t>是否</w:t>
      </w:r>
      <w:r>
        <w:rPr>
          <w:rFonts w:hint="eastAsia"/>
          <w:sz w:val="28"/>
          <w:szCs w:val="28"/>
        </w:rPr>
        <w:t>申领纸质证照。</w:t>
      </w:r>
    </w:p>
    <w:p>
      <w:pPr>
        <w:spacing w:line="360" w:lineRule="exact"/>
        <w:ind w:firstLine="560" w:firstLineChars="200"/>
        <w:rPr>
          <w:rFonts w:hint="eastAsia"/>
          <w:sz w:val="28"/>
          <w:szCs w:val="28"/>
        </w:rPr>
      </w:pPr>
      <w:r>
        <w:rPr>
          <w:rFonts w:hint="eastAsia"/>
          <w:sz w:val="28"/>
          <w:szCs w:val="28"/>
        </w:rPr>
        <w:t>本市建立统一的电子印章系统，推进电子印章在政务服务、社区事务受理等领域的应用，鼓励市场主体和社会组织在经济和社会活动中使用电子印章。各部门已经建立电子印章系统的，应当实现互认互通。企业电子印章与企业电子营业执照同步免费发放。企业可以根据实际需要，自主刻制实体印章。</w:t>
      </w:r>
    </w:p>
    <w:p>
      <w:pPr>
        <w:spacing w:line="360" w:lineRule="exact"/>
        <w:ind w:firstLine="562" w:firstLineChars="200"/>
        <w:rPr>
          <w:rStyle w:val="15"/>
          <w:rFonts w:ascii="宋体" w:hAnsi="宋体" w:eastAsia="宋体" w:cs="宋体"/>
          <w:sz w:val="28"/>
          <w:szCs w:val="28"/>
        </w:rPr>
      </w:pPr>
      <w:bookmarkStart w:id="181" w:name="_Toc6317"/>
      <w:bookmarkStart w:id="182" w:name="_Toc5688"/>
      <w:bookmarkStart w:id="183" w:name="_Toc13449"/>
      <w:bookmarkStart w:id="184" w:name="_Toc17831"/>
      <w:bookmarkStart w:id="185" w:name="_Toc14046"/>
      <w:r>
        <w:rPr>
          <w:rStyle w:val="15"/>
          <w:rFonts w:hint="eastAsia" w:ascii="宋体" w:hAnsi="宋体" w:eastAsia="宋体" w:cs="宋体"/>
          <w:sz w:val="28"/>
          <w:szCs w:val="28"/>
        </w:rPr>
        <w:t>第三十</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条 【开办企业】</w:t>
      </w:r>
    </w:p>
    <w:bookmarkEnd w:id="181"/>
    <w:bookmarkEnd w:id="182"/>
    <w:bookmarkEnd w:id="183"/>
    <w:bookmarkEnd w:id="184"/>
    <w:bookmarkEnd w:id="185"/>
    <w:p>
      <w:pPr>
        <w:spacing w:line="360" w:lineRule="exact"/>
        <w:ind w:firstLine="560" w:firstLineChars="200"/>
        <w:rPr>
          <w:rFonts w:hint="eastAsia"/>
          <w:sz w:val="28"/>
          <w:szCs w:val="28"/>
        </w:rPr>
      </w:pPr>
      <w:r>
        <w:rPr>
          <w:rFonts w:hint="eastAsia"/>
          <w:sz w:val="28"/>
          <w:szCs w:val="28"/>
          <w:lang w:eastAsia="zh-CN"/>
        </w:rPr>
        <w:t>本市</w:t>
      </w:r>
      <w:r>
        <w:rPr>
          <w:rFonts w:hint="eastAsia"/>
          <w:sz w:val="28"/>
          <w:szCs w:val="28"/>
        </w:rPr>
        <w:t>推行开办企业“一窗受理”模式，申请人可以一次性申请办理开办企业涉及业务，在</w:t>
      </w:r>
      <w:r>
        <w:rPr>
          <w:rFonts w:hint="eastAsia"/>
          <w:sz w:val="28"/>
          <w:szCs w:val="28"/>
          <w:lang w:eastAsia="zh-CN"/>
        </w:rPr>
        <w:t>各区（县）</w:t>
      </w:r>
      <w:r>
        <w:rPr>
          <w:rFonts w:hint="eastAsia"/>
          <w:sz w:val="28"/>
          <w:szCs w:val="28"/>
        </w:rPr>
        <w:t>政务服务大厅“一窗通取”专窗领取营业执照、印章、发票等。申请材料齐全、符合法定形式的，相关部门应当“即来即办”“立等即取”。</w:t>
      </w:r>
    </w:p>
    <w:p>
      <w:pPr>
        <w:spacing w:line="360" w:lineRule="exact"/>
        <w:ind w:firstLine="560" w:firstLineChars="200"/>
        <w:rPr>
          <w:sz w:val="28"/>
          <w:szCs w:val="28"/>
        </w:rPr>
      </w:pPr>
      <w:r>
        <w:rPr>
          <w:rFonts w:hint="eastAsia"/>
          <w:sz w:val="28"/>
          <w:szCs w:val="28"/>
          <w:lang w:eastAsia="zh-CN"/>
        </w:rPr>
        <w:t>本市</w:t>
      </w:r>
      <w:r>
        <w:rPr>
          <w:rFonts w:hint="eastAsia"/>
          <w:sz w:val="28"/>
          <w:szCs w:val="28"/>
        </w:rPr>
        <w:t>实行市场主体开办事项一网通办，建立企业信息共享互认体系；简化开办企业程序，优化业务流程，推行全程网办，推动各部门通过平台同步联办开办企业涉及业务。提升开办企业便利度的具体办法，由市市场监督管理部门牵头制定，并向社会公布。</w:t>
      </w:r>
    </w:p>
    <w:p>
      <w:pPr>
        <w:spacing w:line="360" w:lineRule="exact"/>
        <w:ind w:firstLine="560" w:firstLineChars="200"/>
        <w:rPr>
          <w:rFonts w:hint="eastAsia"/>
          <w:sz w:val="28"/>
          <w:szCs w:val="28"/>
        </w:rPr>
      </w:pPr>
      <w:r>
        <w:rPr>
          <w:rFonts w:hint="eastAsia"/>
          <w:sz w:val="28"/>
          <w:szCs w:val="28"/>
          <w:lang w:eastAsia="zh-CN"/>
        </w:rPr>
        <w:t>本市</w:t>
      </w:r>
      <w:r>
        <w:rPr>
          <w:rFonts w:hint="eastAsia"/>
          <w:sz w:val="28"/>
          <w:szCs w:val="28"/>
        </w:rPr>
        <w:t>实行国家统一的企业登记业务规范、标准和条件，采用统一的数据标准、平台服务接口、社会信用代码进行登记管理；实行企业名称、经营范围自主申报制和住所、经营场所自主承诺申报制；对非关键性申请材料存在错漏但已承诺按期补正的，企业登记机关可以容缺登记。允许多个企业按规定将同一地址登记、备案为住所或者经营场所；推行企业法律文书送达地址告知承诺制</w:t>
      </w:r>
      <w:r>
        <w:rPr>
          <w:rFonts w:hint="eastAsia"/>
          <w:sz w:val="28"/>
          <w:szCs w:val="28"/>
          <w:lang w:eastAsia="zh-CN"/>
        </w:rPr>
        <w:t>。</w:t>
      </w:r>
      <w:r>
        <w:rPr>
          <w:rFonts w:hint="eastAsia"/>
          <w:sz w:val="28"/>
          <w:szCs w:val="28"/>
        </w:rPr>
        <w:t>市场主体登记的住所、经营场所为纸质法律文书送达地址。市场主体同意</w:t>
      </w:r>
      <w:r>
        <w:rPr>
          <w:rFonts w:hint="eastAsia"/>
          <w:sz w:val="28"/>
          <w:szCs w:val="28"/>
          <w:highlight w:val="none"/>
          <w:lang w:val="en-US" w:eastAsia="zh-CN"/>
        </w:rPr>
        <w:t>使用</w:t>
      </w:r>
      <w:r>
        <w:rPr>
          <w:rFonts w:hint="eastAsia"/>
          <w:sz w:val="28"/>
          <w:szCs w:val="28"/>
        </w:rPr>
        <w:t>电子送达方式的，在市场主体登记服务平台中填写的手机号、电子邮箱、传真号、移动</w:t>
      </w:r>
      <w:r>
        <w:rPr>
          <w:rFonts w:hint="eastAsia"/>
          <w:sz w:val="28"/>
          <w:szCs w:val="28"/>
          <w:highlight w:val="none"/>
        </w:rPr>
        <w:t>即时通讯</w:t>
      </w:r>
      <w:r>
        <w:rPr>
          <w:rFonts w:hint="eastAsia"/>
          <w:sz w:val="28"/>
          <w:szCs w:val="28"/>
        </w:rPr>
        <w:t>账号等视为电子法律文书送达地址。但是，法律、法规另有规定的除外。</w:t>
      </w:r>
    </w:p>
    <w:p>
      <w:pPr>
        <w:spacing w:line="360" w:lineRule="exact"/>
        <w:ind w:firstLine="560" w:firstLineChars="200"/>
        <w:rPr>
          <w:sz w:val="28"/>
          <w:szCs w:val="28"/>
        </w:rPr>
      </w:pPr>
      <w:r>
        <w:rPr>
          <w:rFonts w:hint="eastAsia"/>
          <w:sz w:val="28"/>
          <w:szCs w:val="28"/>
        </w:rPr>
        <w:t>申请人提供虚假材料申请登记或者备案的，应当依法承担相应法律责任。建立健全企业迁移综合服务协调机制，企业登记机关应当按照变更登记法律法规规定办理，不得违背企业意愿限制其自由迁移。</w:t>
      </w:r>
    </w:p>
    <w:p>
      <w:pPr>
        <w:spacing w:line="360" w:lineRule="exact"/>
        <w:ind w:firstLine="562" w:firstLineChars="200"/>
        <w:rPr>
          <w:rStyle w:val="15"/>
          <w:rFonts w:ascii="宋体" w:hAnsi="宋体" w:eastAsia="宋体" w:cs="宋体"/>
          <w:sz w:val="28"/>
          <w:szCs w:val="28"/>
        </w:rPr>
      </w:pPr>
      <w:bookmarkStart w:id="186" w:name="_Toc22936"/>
      <w:bookmarkStart w:id="187" w:name="_Toc8819"/>
      <w:bookmarkStart w:id="188" w:name="_Toc838"/>
      <w:bookmarkStart w:id="189" w:name="_Toc30800"/>
      <w:bookmarkStart w:id="190" w:name="_Toc7545"/>
      <w:r>
        <w:rPr>
          <w:rStyle w:val="15"/>
          <w:rFonts w:hint="eastAsia" w:ascii="宋体" w:hAnsi="宋体" w:eastAsia="宋体" w:cs="宋体"/>
          <w:sz w:val="28"/>
          <w:szCs w:val="28"/>
        </w:rPr>
        <w:t>第三十</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条 【企业注销】</w:t>
      </w:r>
    </w:p>
    <w:bookmarkEnd w:id="186"/>
    <w:bookmarkEnd w:id="187"/>
    <w:bookmarkEnd w:id="188"/>
    <w:bookmarkEnd w:id="189"/>
    <w:bookmarkEnd w:id="190"/>
    <w:p>
      <w:pPr>
        <w:spacing w:line="360" w:lineRule="exact"/>
        <w:ind w:firstLine="560" w:firstLineChars="200"/>
        <w:rPr>
          <w:rFonts w:hint="eastAsia"/>
          <w:sz w:val="28"/>
          <w:szCs w:val="28"/>
        </w:rPr>
      </w:pPr>
      <w:r>
        <w:rPr>
          <w:rFonts w:hint="eastAsia"/>
          <w:sz w:val="28"/>
          <w:szCs w:val="28"/>
          <w:lang w:eastAsia="zh-CN"/>
        </w:rPr>
        <w:t>本市</w:t>
      </w:r>
      <w:r>
        <w:rPr>
          <w:rFonts w:hint="eastAsia"/>
          <w:sz w:val="28"/>
          <w:szCs w:val="28"/>
        </w:rPr>
        <w:t>建立市场主体注销网上服务平台。实现市场主体注销全流程网上办理，并联办理社保、税务、商务、海关等市场主体注销业务</w:t>
      </w:r>
      <w:r>
        <w:rPr>
          <w:rFonts w:hint="eastAsia"/>
          <w:sz w:val="28"/>
          <w:szCs w:val="28"/>
          <w:lang w:eastAsia="zh-CN"/>
        </w:rPr>
        <w:t>，</w:t>
      </w:r>
      <w:r>
        <w:rPr>
          <w:rFonts w:hint="eastAsia"/>
          <w:sz w:val="28"/>
          <w:szCs w:val="28"/>
        </w:rPr>
        <w:t>一次办结相关事项。市场监督管理部门以及相关部门应当优化企业普通注销和简易注销登记程序，推行清税承诺制度。</w:t>
      </w:r>
    </w:p>
    <w:p>
      <w:pPr>
        <w:spacing w:line="360" w:lineRule="exact"/>
        <w:ind w:firstLine="560" w:firstLineChars="200"/>
        <w:rPr>
          <w:sz w:val="28"/>
          <w:szCs w:val="28"/>
        </w:rPr>
      </w:pPr>
      <w:r>
        <w:rPr>
          <w:rFonts w:hint="eastAsia"/>
          <w:sz w:val="28"/>
          <w:szCs w:val="28"/>
        </w:rPr>
        <w:t>企业破产管理人、清算组依据人民法院终结破产程序裁定文书、强制清算终结裁定文书提出适用简易注销登记程序办理企业注销申请的，企业登记机关应当予以办理。</w:t>
      </w:r>
    </w:p>
    <w:p>
      <w:pPr>
        <w:spacing w:line="360" w:lineRule="exact"/>
        <w:ind w:firstLine="560" w:firstLineChars="200"/>
        <w:rPr>
          <w:sz w:val="28"/>
          <w:szCs w:val="28"/>
        </w:rPr>
      </w:pPr>
      <w:r>
        <w:rPr>
          <w:rFonts w:hint="eastAsia"/>
          <w:sz w:val="28"/>
          <w:szCs w:val="28"/>
        </w:rPr>
        <w:t>企业领取营业执照后未开展经营活动、申请注销登记前未发生债权债务或者债权债务清算完结的，可以通过国家企业信用信息公示系统进行公告，公告时限为二十日。公告期届满且无异议的，企业登记机关可以为企业办理注销登记。</w:t>
      </w:r>
    </w:p>
    <w:p>
      <w:pPr>
        <w:spacing w:line="360" w:lineRule="exact"/>
        <w:ind w:firstLine="562" w:firstLineChars="200"/>
        <w:rPr>
          <w:sz w:val="28"/>
          <w:szCs w:val="28"/>
        </w:rPr>
      </w:pPr>
      <w:bookmarkStart w:id="191" w:name="_Toc6607"/>
      <w:bookmarkStart w:id="192" w:name="_Toc9102"/>
      <w:bookmarkStart w:id="193" w:name="_Toc32373"/>
      <w:bookmarkStart w:id="194" w:name="_Toc31859"/>
      <w:bookmarkStart w:id="195" w:name="_Toc32566"/>
      <w:r>
        <w:rPr>
          <w:rStyle w:val="15"/>
          <w:rFonts w:hint="eastAsia" w:ascii="宋体" w:hAnsi="宋体" w:eastAsia="宋体" w:cs="宋体"/>
          <w:sz w:val="28"/>
          <w:szCs w:val="28"/>
        </w:rPr>
        <w:t>第三十</w:t>
      </w:r>
      <w:r>
        <w:rPr>
          <w:rStyle w:val="15"/>
          <w:rFonts w:hint="eastAsia" w:ascii="宋体" w:hAnsi="宋体" w:eastAsia="宋体" w:cs="宋体"/>
          <w:sz w:val="28"/>
          <w:szCs w:val="28"/>
          <w:lang w:eastAsia="zh-CN"/>
        </w:rPr>
        <w:t>六</w:t>
      </w:r>
      <w:r>
        <w:rPr>
          <w:rStyle w:val="15"/>
          <w:rFonts w:hint="eastAsia" w:ascii="宋体" w:hAnsi="宋体" w:eastAsia="宋体" w:cs="宋体"/>
          <w:sz w:val="28"/>
          <w:szCs w:val="28"/>
        </w:rPr>
        <w:t>条 【人才服务】</w:t>
      </w:r>
      <w:bookmarkEnd w:id="191"/>
      <w:bookmarkEnd w:id="192"/>
      <w:bookmarkEnd w:id="193"/>
      <w:bookmarkEnd w:id="194"/>
      <w:bookmarkEnd w:id="195"/>
      <w:r>
        <w:rPr>
          <w:rFonts w:hint="eastAsia"/>
          <w:sz w:val="28"/>
          <w:szCs w:val="28"/>
        </w:rPr>
        <w:tab/>
      </w:r>
    </w:p>
    <w:p>
      <w:pPr>
        <w:spacing w:line="360" w:lineRule="exact"/>
        <w:ind w:firstLine="560" w:firstLineChars="200"/>
        <w:rPr>
          <w:rFonts w:hint="eastAsia"/>
          <w:sz w:val="28"/>
          <w:szCs w:val="28"/>
        </w:rPr>
      </w:pPr>
      <w:r>
        <w:rPr>
          <w:rFonts w:hint="eastAsia"/>
          <w:sz w:val="28"/>
          <w:szCs w:val="28"/>
        </w:rPr>
        <w:t>本市依托</w:t>
      </w:r>
      <w:r>
        <w:rPr>
          <w:rFonts w:hint="eastAsia"/>
          <w:sz w:val="28"/>
          <w:szCs w:val="28"/>
          <w:lang w:eastAsia="zh-CN"/>
        </w:rPr>
        <w:t>市、区（县）</w:t>
      </w:r>
      <w:r>
        <w:rPr>
          <w:rFonts w:hint="eastAsia"/>
          <w:sz w:val="28"/>
          <w:szCs w:val="28"/>
        </w:rPr>
        <w:t>两级人才服务中心，建立高效便捷的线上线下人才服务模式</w:t>
      </w:r>
      <w:r>
        <w:rPr>
          <w:rFonts w:hint="eastAsia"/>
          <w:sz w:val="28"/>
          <w:szCs w:val="28"/>
          <w:lang w:eastAsia="zh-CN"/>
        </w:rPr>
        <w:t>，</w:t>
      </w:r>
      <w:r>
        <w:rPr>
          <w:rFonts w:hint="eastAsia"/>
          <w:sz w:val="28"/>
          <w:szCs w:val="28"/>
        </w:rPr>
        <w:t>提供人才引进、落户、交流、评价、咨询等便利化专业服务。</w:t>
      </w:r>
    </w:p>
    <w:p>
      <w:pPr>
        <w:spacing w:line="360" w:lineRule="exact"/>
        <w:ind w:firstLine="560" w:firstLineChars="200"/>
        <w:rPr>
          <w:rFonts w:hint="eastAsia"/>
          <w:sz w:val="28"/>
          <w:szCs w:val="28"/>
        </w:rPr>
      </w:pPr>
      <w:r>
        <w:rPr>
          <w:rFonts w:hint="eastAsia"/>
          <w:sz w:val="28"/>
          <w:szCs w:val="28"/>
        </w:rPr>
        <w:t>本市设立高层次人才综合服务平台，开展高层次人才认定，对于市、</w:t>
      </w:r>
      <w:r>
        <w:rPr>
          <w:rFonts w:hint="eastAsia"/>
          <w:sz w:val="28"/>
          <w:szCs w:val="28"/>
          <w:lang w:eastAsia="zh-CN"/>
        </w:rPr>
        <w:t>区（县）</w:t>
      </w:r>
      <w:r>
        <w:rPr>
          <w:rFonts w:hint="eastAsia"/>
          <w:sz w:val="28"/>
          <w:szCs w:val="28"/>
        </w:rPr>
        <w:t>人民政府认定的各类高层次人才提供引进落户、汕头人才金凤卡、住房及医疗保障、配偶就业、子女入学等一站</w:t>
      </w:r>
      <w:r>
        <w:rPr>
          <w:rFonts w:hint="eastAsia"/>
          <w:sz w:val="28"/>
          <w:szCs w:val="28"/>
          <w:lang w:eastAsia="zh-CN"/>
        </w:rPr>
        <w:t>式</w:t>
      </w:r>
      <w:r>
        <w:rPr>
          <w:rFonts w:hint="eastAsia"/>
          <w:sz w:val="28"/>
          <w:szCs w:val="28"/>
        </w:rPr>
        <w:t>窗口服务。通过“外国人工作、居留单一窗口”办理工作许可和居留许可的，应当在七个工作日内一次办结。</w:t>
      </w:r>
    </w:p>
    <w:p>
      <w:pPr>
        <w:spacing w:line="360" w:lineRule="exact"/>
        <w:ind w:firstLine="560" w:firstLineChars="200"/>
        <w:rPr>
          <w:sz w:val="28"/>
          <w:szCs w:val="28"/>
        </w:rPr>
      </w:pPr>
      <w:r>
        <w:rPr>
          <w:rFonts w:hint="eastAsia"/>
          <w:sz w:val="28"/>
          <w:szCs w:val="28"/>
        </w:rPr>
        <w:t>人力资源社会保障部门应当建立健全人力资源服务体制机制，强化人才跟踪服务，加强人才大数据建设，建立人才区块链支撑平台、人才大数据标准规范体系和安全管理平台，提升人才服务业的精准服务能力</w:t>
      </w:r>
      <w:r>
        <w:rPr>
          <w:rFonts w:hint="eastAsia"/>
          <w:sz w:val="28"/>
          <w:szCs w:val="28"/>
          <w:lang w:eastAsia="zh-CN"/>
        </w:rPr>
        <w:t>；</w:t>
      </w:r>
      <w:r>
        <w:rPr>
          <w:rFonts w:hint="eastAsia"/>
          <w:sz w:val="28"/>
          <w:szCs w:val="28"/>
        </w:rPr>
        <w:t>畅通劳动者维权渠道，完善调解机制，加大监督执法力度，依法保护劳动者及企业合法权益。</w:t>
      </w:r>
    </w:p>
    <w:p>
      <w:pPr>
        <w:spacing w:line="360" w:lineRule="exact"/>
        <w:ind w:firstLine="562" w:firstLineChars="200"/>
        <w:rPr>
          <w:rStyle w:val="15"/>
          <w:rFonts w:ascii="宋体" w:hAnsi="宋体" w:eastAsia="宋体" w:cs="宋体"/>
          <w:sz w:val="28"/>
          <w:szCs w:val="28"/>
        </w:rPr>
      </w:pPr>
      <w:bookmarkStart w:id="196" w:name="_Toc29573"/>
      <w:bookmarkStart w:id="197" w:name="_Toc13231"/>
      <w:bookmarkStart w:id="198" w:name="_Toc17409"/>
      <w:bookmarkStart w:id="199" w:name="_Toc10369"/>
      <w:bookmarkStart w:id="200" w:name="_Toc8212"/>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七</w:t>
      </w:r>
      <w:r>
        <w:rPr>
          <w:rStyle w:val="15"/>
          <w:rFonts w:hint="eastAsia" w:ascii="宋体" w:hAnsi="宋体" w:eastAsia="宋体" w:cs="宋体"/>
          <w:sz w:val="28"/>
          <w:szCs w:val="28"/>
        </w:rPr>
        <w:t>条 【优化工程项目审批】</w:t>
      </w:r>
      <w:r>
        <w:rPr>
          <w:rStyle w:val="15"/>
          <w:rFonts w:hint="eastAsia" w:ascii="宋体" w:hAnsi="宋体" w:eastAsia="宋体" w:cs="宋体"/>
          <w:sz w:val="28"/>
          <w:szCs w:val="28"/>
        </w:rPr>
        <w:tab/>
      </w:r>
    </w:p>
    <w:bookmarkEnd w:id="196"/>
    <w:bookmarkEnd w:id="197"/>
    <w:bookmarkEnd w:id="198"/>
    <w:bookmarkEnd w:id="199"/>
    <w:bookmarkEnd w:id="200"/>
    <w:p>
      <w:pPr>
        <w:spacing w:line="360" w:lineRule="exact"/>
        <w:ind w:firstLine="560" w:firstLineChars="200"/>
        <w:rPr>
          <w:sz w:val="28"/>
          <w:szCs w:val="28"/>
        </w:rPr>
      </w:pPr>
      <w:r>
        <w:rPr>
          <w:rFonts w:hint="eastAsia"/>
          <w:sz w:val="28"/>
          <w:szCs w:val="28"/>
          <w:lang w:eastAsia="zh-CN"/>
        </w:rPr>
        <w:t>本市</w:t>
      </w:r>
      <w:r>
        <w:rPr>
          <w:rFonts w:hint="eastAsia"/>
          <w:sz w:val="28"/>
          <w:szCs w:val="28"/>
        </w:rPr>
        <w:t>实施工程建设项目审批全流程、全覆盖改革</w:t>
      </w:r>
      <w:r>
        <w:rPr>
          <w:rFonts w:hint="eastAsia"/>
          <w:sz w:val="28"/>
          <w:szCs w:val="28"/>
          <w:lang w:eastAsia="zh-CN"/>
        </w:rPr>
        <w:t>，</w:t>
      </w:r>
      <w:r>
        <w:rPr>
          <w:rFonts w:hint="eastAsia"/>
          <w:sz w:val="28"/>
          <w:szCs w:val="28"/>
        </w:rPr>
        <w:t>持续推进工程建设项目审批制度改革，精简审批环节和事项，减少审批阶段，压减审批时间，逐步实现统一审批流程、统一信息数据平台、统一审批管理体系和统一监管方式。</w:t>
      </w:r>
    </w:p>
    <w:p>
      <w:pPr>
        <w:spacing w:line="360" w:lineRule="exact"/>
        <w:ind w:firstLine="560" w:firstLineChars="200"/>
        <w:rPr>
          <w:sz w:val="28"/>
          <w:szCs w:val="28"/>
        </w:rPr>
      </w:pPr>
      <w:r>
        <w:rPr>
          <w:rFonts w:hint="eastAsia"/>
          <w:sz w:val="28"/>
          <w:szCs w:val="28"/>
        </w:rPr>
        <w:t>市住房城乡建设部门依托“一网通办”总门户，牵头建立统一的工程建设项目审批管理系统，实现立项、用地、规划、施工、竣工验收等各审批阶段“一表申请、一</w:t>
      </w:r>
      <w:r>
        <w:rPr>
          <w:rFonts w:hint="eastAsia"/>
          <w:sz w:val="28"/>
          <w:szCs w:val="28"/>
          <w:lang w:eastAsia="zh-CN"/>
        </w:rPr>
        <w:t>窗</w:t>
      </w:r>
      <w:r>
        <w:rPr>
          <w:rFonts w:hint="eastAsia"/>
          <w:sz w:val="28"/>
          <w:szCs w:val="28"/>
        </w:rPr>
        <w:t>受理、一网通办、限时完成、一次发证”，推动工程建设项目审批实现全流程网上办理。依托工程建设项目审批管理系统，完善水电气接入外线工程并联审批制度，对涉及的行政审批事项全面实行“容缺受理、并联审批”。</w:t>
      </w:r>
    </w:p>
    <w:p>
      <w:pPr>
        <w:spacing w:line="360" w:lineRule="exact"/>
        <w:ind w:firstLine="560" w:firstLineChars="200"/>
        <w:rPr>
          <w:sz w:val="28"/>
          <w:szCs w:val="28"/>
        </w:rPr>
      </w:pPr>
      <w:r>
        <w:rPr>
          <w:rFonts w:hint="eastAsia"/>
          <w:sz w:val="28"/>
          <w:szCs w:val="28"/>
        </w:rPr>
        <w:t>市、区</w:t>
      </w:r>
      <w:r>
        <w:rPr>
          <w:rFonts w:hint="eastAsia"/>
          <w:sz w:val="28"/>
          <w:szCs w:val="28"/>
          <w:lang w:eastAsia="zh-CN"/>
        </w:rPr>
        <w:t>（县）</w:t>
      </w:r>
      <w:r>
        <w:rPr>
          <w:rFonts w:hint="eastAsia"/>
          <w:sz w:val="28"/>
          <w:szCs w:val="28"/>
        </w:rPr>
        <w:t>人民政府应当设立工程建设项目审批审查中心，依托工程建设项目审批管理系统，实行联合会审、联合监督检查和综合竣工验收等一站式服务模式。</w:t>
      </w:r>
    </w:p>
    <w:p>
      <w:pPr>
        <w:spacing w:line="360" w:lineRule="exact"/>
        <w:ind w:firstLine="560" w:firstLineChars="200"/>
        <w:rPr>
          <w:sz w:val="28"/>
          <w:szCs w:val="28"/>
        </w:rPr>
      </w:pPr>
      <w:r>
        <w:rPr>
          <w:rFonts w:hint="eastAsia"/>
          <w:sz w:val="28"/>
          <w:szCs w:val="28"/>
        </w:rPr>
        <w:t>房屋建筑工程的建设单位依法确定施工总承包单位且满足规划条件后，可以按照基坑支护和土方开挖、地基基础和地下结构、地上结构等施工进展顺序，分阶段申请办理施工许可证。</w:t>
      </w:r>
    </w:p>
    <w:p>
      <w:pPr>
        <w:spacing w:line="360" w:lineRule="exact"/>
        <w:ind w:firstLine="560" w:firstLineChars="200"/>
        <w:rPr>
          <w:sz w:val="28"/>
          <w:szCs w:val="28"/>
        </w:rPr>
      </w:pPr>
      <w:r>
        <w:rPr>
          <w:rFonts w:hint="eastAsia"/>
          <w:sz w:val="28"/>
          <w:szCs w:val="28"/>
        </w:rPr>
        <w:t>加强对重大工程建设项目跨前服务，对不影响安全和公共利益的非关键要件在审批流程中探索试点“容缺后补”机制，允许市场主体在竣工验收备案前补齐相关材料。</w:t>
      </w:r>
    </w:p>
    <w:p>
      <w:pPr>
        <w:spacing w:line="360" w:lineRule="exact"/>
        <w:ind w:firstLine="562" w:firstLineChars="200"/>
        <w:rPr>
          <w:rStyle w:val="15"/>
          <w:rFonts w:ascii="宋体" w:hAnsi="宋体" w:eastAsia="宋体" w:cs="宋体"/>
          <w:sz w:val="28"/>
          <w:szCs w:val="28"/>
        </w:rPr>
      </w:pPr>
      <w:bookmarkStart w:id="201" w:name="_Toc15571"/>
      <w:bookmarkStart w:id="202" w:name="_Toc31626"/>
      <w:bookmarkStart w:id="203" w:name="_Toc2483"/>
      <w:bookmarkStart w:id="204" w:name="_Toc10060"/>
      <w:bookmarkStart w:id="205" w:name="_Toc28771"/>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条 【优化用地手续】</w:t>
      </w:r>
    </w:p>
    <w:bookmarkEnd w:id="201"/>
    <w:bookmarkEnd w:id="202"/>
    <w:bookmarkEnd w:id="203"/>
    <w:bookmarkEnd w:id="204"/>
    <w:bookmarkEnd w:id="205"/>
    <w:p>
      <w:pPr>
        <w:spacing w:line="360" w:lineRule="exact"/>
        <w:ind w:firstLine="560" w:firstLineChars="200"/>
        <w:rPr>
          <w:sz w:val="28"/>
          <w:szCs w:val="28"/>
        </w:rPr>
      </w:pPr>
      <w:r>
        <w:rPr>
          <w:rFonts w:hint="eastAsia"/>
          <w:sz w:val="28"/>
          <w:szCs w:val="28"/>
        </w:rPr>
        <w:t>本条例实施后供应的国有土地建设用地免予办理建设用地规划许可证，用地单位可以凭国有土地划拨决定书、国有建设用地使用权出让合同、政府投资项目的用地预审意见等办理后续报建手续。</w:t>
      </w:r>
      <w:r>
        <w:rPr>
          <w:rFonts w:hint="eastAsia"/>
          <w:sz w:val="28"/>
          <w:szCs w:val="28"/>
        </w:rPr>
        <w:tab/>
      </w:r>
    </w:p>
    <w:p>
      <w:pPr>
        <w:spacing w:line="360" w:lineRule="exact"/>
        <w:ind w:firstLine="562" w:firstLineChars="200"/>
        <w:rPr>
          <w:rStyle w:val="15"/>
          <w:rFonts w:ascii="宋体" w:hAnsi="宋体" w:eastAsia="宋体" w:cs="宋体"/>
          <w:sz w:val="28"/>
          <w:szCs w:val="28"/>
        </w:rPr>
      </w:pPr>
      <w:bookmarkStart w:id="206" w:name="_Toc24504"/>
      <w:bookmarkStart w:id="207" w:name="_Toc22236"/>
      <w:bookmarkStart w:id="208" w:name="_Toc29908"/>
      <w:bookmarkStart w:id="209" w:name="_Toc19652"/>
      <w:bookmarkStart w:id="210" w:name="_Toc3970"/>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九</w:t>
      </w:r>
      <w:r>
        <w:rPr>
          <w:rStyle w:val="15"/>
          <w:rFonts w:hint="eastAsia" w:ascii="宋体" w:hAnsi="宋体" w:eastAsia="宋体" w:cs="宋体"/>
          <w:sz w:val="28"/>
          <w:szCs w:val="28"/>
        </w:rPr>
        <w:t>条 【工程分级分类审批】</w:t>
      </w:r>
      <w:r>
        <w:rPr>
          <w:rStyle w:val="15"/>
          <w:rFonts w:hint="eastAsia" w:ascii="宋体" w:hAnsi="宋体" w:eastAsia="宋体" w:cs="宋体"/>
          <w:sz w:val="28"/>
          <w:szCs w:val="28"/>
        </w:rPr>
        <w:tab/>
      </w:r>
    </w:p>
    <w:bookmarkEnd w:id="206"/>
    <w:bookmarkEnd w:id="207"/>
    <w:bookmarkEnd w:id="208"/>
    <w:bookmarkEnd w:id="209"/>
    <w:bookmarkEnd w:id="210"/>
    <w:p>
      <w:pPr>
        <w:spacing w:line="360" w:lineRule="exact"/>
        <w:ind w:firstLine="560" w:firstLineChars="200"/>
        <w:rPr>
          <w:sz w:val="28"/>
          <w:szCs w:val="28"/>
        </w:rPr>
      </w:pPr>
      <w:r>
        <w:rPr>
          <w:rFonts w:hint="eastAsia"/>
          <w:sz w:val="28"/>
          <w:szCs w:val="28"/>
          <w:lang w:eastAsia="zh-CN"/>
        </w:rPr>
        <w:t>本市</w:t>
      </w:r>
      <w:r>
        <w:rPr>
          <w:rFonts w:hint="eastAsia"/>
          <w:sz w:val="28"/>
          <w:szCs w:val="28"/>
        </w:rPr>
        <w:t>推行工程建设项目风险分级分类审批和质量安全监管制度。建立项目前期策划生成机制，实行技术审查和行政审批分离，分类细化项目审批流程。各类工程主管部门根据建设工程规模、类型、位置等因素，制定社会投资工程建设项目分类管理制度，按照风险等级实施差别化管理。对社会投资的低风险工程建设项目，建设工程规划许可和施工许可可以合并办理，从立项到不动产登记全流程审批时间不超过十五个工作日。</w:t>
      </w:r>
    </w:p>
    <w:p>
      <w:pPr>
        <w:spacing w:line="360" w:lineRule="exact"/>
        <w:ind w:firstLine="562" w:firstLineChars="200"/>
        <w:rPr>
          <w:rStyle w:val="15"/>
          <w:rFonts w:ascii="宋体" w:hAnsi="宋体" w:eastAsia="宋体" w:cs="宋体"/>
          <w:sz w:val="28"/>
          <w:szCs w:val="28"/>
        </w:rPr>
      </w:pPr>
      <w:bookmarkStart w:id="211" w:name="_Toc14270"/>
      <w:bookmarkStart w:id="212" w:name="_Toc19317"/>
      <w:bookmarkStart w:id="213" w:name="_Toc21594"/>
      <w:bookmarkStart w:id="214" w:name="_Toc30857"/>
      <w:bookmarkStart w:id="215" w:name="_Toc15634"/>
      <w:r>
        <w:rPr>
          <w:rStyle w:val="15"/>
          <w:rFonts w:hint="eastAsia" w:ascii="宋体" w:hAnsi="宋体" w:eastAsia="宋体" w:cs="宋体"/>
          <w:sz w:val="28"/>
          <w:szCs w:val="28"/>
          <w:highlight w:val="none"/>
        </w:rPr>
        <w:t>第四十条</w:t>
      </w:r>
      <w:r>
        <w:rPr>
          <w:rStyle w:val="15"/>
          <w:rFonts w:hint="eastAsia" w:ascii="宋体" w:hAnsi="宋体" w:eastAsia="宋体" w:cs="宋体"/>
          <w:sz w:val="28"/>
          <w:szCs w:val="28"/>
        </w:rPr>
        <w:t xml:space="preserve"> 【优化施工图审查】</w:t>
      </w:r>
      <w:r>
        <w:rPr>
          <w:rStyle w:val="15"/>
          <w:rFonts w:hint="eastAsia" w:ascii="宋体" w:hAnsi="宋体" w:eastAsia="宋体" w:cs="宋体"/>
          <w:sz w:val="28"/>
          <w:szCs w:val="28"/>
        </w:rPr>
        <w:tab/>
      </w:r>
    </w:p>
    <w:bookmarkEnd w:id="211"/>
    <w:bookmarkEnd w:id="212"/>
    <w:bookmarkEnd w:id="213"/>
    <w:bookmarkEnd w:id="214"/>
    <w:bookmarkEnd w:id="215"/>
    <w:p>
      <w:pPr>
        <w:spacing w:line="360" w:lineRule="exact"/>
        <w:ind w:firstLine="560" w:firstLineChars="200"/>
        <w:rPr>
          <w:sz w:val="28"/>
          <w:szCs w:val="28"/>
        </w:rPr>
      </w:pPr>
      <w:r>
        <w:rPr>
          <w:rFonts w:hint="eastAsia"/>
          <w:sz w:val="28"/>
          <w:szCs w:val="28"/>
          <w:lang w:eastAsia="zh-CN"/>
        </w:rPr>
        <w:t>本市</w:t>
      </w:r>
      <w:r>
        <w:rPr>
          <w:rFonts w:hint="eastAsia"/>
          <w:sz w:val="28"/>
          <w:szCs w:val="28"/>
        </w:rPr>
        <w:t>取消房屋建筑及市政基础设施工程施工图审查；行政许可不得以施工图审查合格文件作为前置条件；施工报建实行告知承诺制。市住房城乡建设部门可以取消施工图审查或者缩小审查范围，由</w:t>
      </w:r>
      <w:r>
        <w:rPr>
          <w:rFonts w:hint="eastAsia"/>
          <w:sz w:val="28"/>
          <w:szCs w:val="28"/>
          <w:lang w:eastAsia="zh-CN"/>
        </w:rPr>
        <w:t>市、区（县）</w:t>
      </w:r>
      <w:r>
        <w:rPr>
          <w:rFonts w:hint="eastAsia"/>
          <w:sz w:val="28"/>
          <w:szCs w:val="28"/>
        </w:rPr>
        <w:t>住房城乡建设部门通过政府购买服务开展监督抽查。</w:t>
      </w:r>
    </w:p>
    <w:p>
      <w:pPr>
        <w:spacing w:line="360" w:lineRule="exact"/>
        <w:ind w:firstLine="562" w:firstLineChars="200"/>
        <w:rPr>
          <w:rStyle w:val="15"/>
          <w:rFonts w:ascii="宋体" w:hAnsi="宋体" w:eastAsia="宋体" w:cs="宋体"/>
          <w:sz w:val="28"/>
          <w:szCs w:val="28"/>
        </w:rPr>
      </w:pPr>
      <w:bookmarkStart w:id="216" w:name="_Toc29498"/>
      <w:bookmarkStart w:id="217" w:name="_Toc24737"/>
      <w:bookmarkStart w:id="218" w:name="_Toc9704"/>
      <w:bookmarkStart w:id="219" w:name="_Toc5451"/>
      <w:bookmarkStart w:id="220" w:name="_Toc13239"/>
      <w:r>
        <w:rPr>
          <w:rStyle w:val="15"/>
          <w:rFonts w:hint="eastAsia" w:ascii="宋体" w:hAnsi="宋体" w:eastAsia="宋体" w:cs="宋体"/>
          <w:sz w:val="28"/>
          <w:szCs w:val="28"/>
        </w:rPr>
        <w:t>第四十</w:t>
      </w:r>
      <w:r>
        <w:rPr>
          <w:rStyle w:val="15"/>
          <w:rFonts w:hint="eastAsia" w:ascii="宋体" w:hAnsi="宋体" w:eastAsia="宋体" w:cs="宋体"/>
          <w:sz w:val="28"/>
          <w:szCs w:val="28"/>
          <w:lang w:eastAsia="zh-CN"/>
        </w:rPr>
        <w:t>一</w:t>
      </w:r>
      <w:r>
        <w:rPr>
          <w:rStyle w:val="15"/>
          <w:rFonts w:hint="eastAsia" w:ascii="宋体" w:hAnsi="宋体" w:eastAsia="宋体" w:cs="宋体"/>
          <w:sz w:val="28"/>
          <w:szCs w:val="28"/>
        </w:rPr>
        <w:t>条 【区域评估】</w:t>
      </w:r>
    </w:p>
    <w:bookmarkEnd w:id="216"/>
    <w:bookmarkEnd w:id="217"/>
    <w:bookmarkEnd w:id="218"/>
    <w:bookmarkEnd w:id="219"/>
    <w:bookmarkEnd w:id="220"/>
    <w:p>
      <w:pPr>
        <w:spacing w:line="360" w:lineRule="exact"/>
        <w:ind w:firstLine="560" w:firstLineChars="200"/>
        <w:rPr>
          <w:sz w:val="28"/>
          <w:szCs w:val="28"/>
        </w:rPr>
      </w:pPr>
      <w:r>
        <w:rPr>
          <w:rFonts w:hint="eastAsia"/>
          <w:sz w:val="28"/>
          <w:szCs w:val="28"/>
          <w:lang w:eastAsia="zh-CN"/>
        </w:rPr>
        <w:t>本市</w:t>
      </w:r>
      <w:r>
        <w:rPr>
          <w:rFonts w:hint="eastAsia"/>
          <w:sz w:val="28"/>
          <w:szCs w:val="28"/>
        </w:rPr>
        <w:t>实行工程建设项目区域评估。各区域管理部门和机构应当组织开展水资源论证、交通影响评价、地质灾害危险性评估、雷击风险评估等区域评估，区域评估结果向社会公开，并纳入相关部门管理依据。市场主体在已经完成区域评估的区域建设工程项目的，可以不再单独开展上述评估评审，但国家和本市另有规定的除外。</w:t>
      </w:r>
    </w:p>
    <w:p>
      <w:pPr>
        <w:spacing w:line="360" w:lineRule="exact"/>
        <w:ind w:firstLine="562" w:firstLineChars="200"/>
        <w:rPr>
          <w:rStyle w:val="15"/>
          <w:rFonts w:ascii="宋体" w:hAnsi="宋体" w:eastAsia="宋体" w:cs="宋体"/>
          <w:sz w:val="28"/>
          <w:szCs w:val="28"/>
        </w:rPr>
      </w:pPr>
      <w:bookmarkStart w:id="221" w:name="_Toc12001"/>
      <w:bookmarkStart w:id="222" w:name="_Toc29328"/>
      <w:bookmarkStart w:id="223" w:name="_Toc16698"/>
      <w:bookmarkStart w:id="224" w:name="_Toc24523"/>
      <w:bookmarkStart w:id="225" w:name="_Toc29065"/>
      <w:r>
        <w:rPr>
          <w:rStyle w:val="15"/>
          <w:rFonts w:hint="eastAsia" w:ascii="宋体" w:hAnsi="宋体" w:eastAsia="宋体" w:cs="宋体"/>
          <w:sz w:val="28"/>
          <w:szCs w:val="28"/>
        </w:rPr>
        <w:t>第四十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【工程质量管理】</w:t>
      </w:r>
      <w:r>
        <w:rPr>
          <w:rStyle w:val="15"/>
          <w:rFonts w:hint="eastAsia" w:ascii="宋体" w:hAnsi="宋体" w:eastAsia="宋体" w:cs="宋体"/>
          <w:sz w:val="28"/>
          <w:szCs w:val="28"/>
        </w:rPr>
        <w:tab/>
      </w:r>
    </w:p>
    <w:bookmarkEnd w:id="221"/>
    <w:bookmarkEnd w:id="222"/>
    <w:bookmarkEnd w:id="223"/>
    <w:bookmarkEnd w:id="224"/>
    <w:bookmarkEnd w:id="225"/>
    <w:p>
      <w:pPr>
        <w:spacing w:line="360" w:lineRule="exact"/>
        <w:ind w:firstLine="560" w:firstLineChars="200"/>
        <w:rPr>
          <w:sz w:val="28"/>
          <w:szCs w:val="28"/>
        </w:rPr>
      </w:pPr>
      <w:r>
        <w:rPr>
          <w:rFonts w:hint="eastAsia"/>
          <w:sz w:val="28"/>
          <w:szCs w:val="28"/>
          <w:lang w:eastAsia="zh-CN"/>
        </w:rPr>
        <w:t>本市取消强制监理制度。</w:t>
      </w:r>
      <w:r>
        <w:rPr>
          <w:rFonts w:hint="eastAsia"/>
          <w:sz w:val="28"/>
          <w:szCs w:val="28"/>
        </w:rPr>
        <w:t>社会投资低风险工程建设项目的建设单位可以委托监理单位或者聘请注册建筑师等专业技术人员担任内部监理，加强企业内部质量管理。社会投资低风险工程建设项目的具体范围由市住房城乡建设部门确定。</w:t>
      </w:r>
    </w:p>
    <w:p>
      <w:pPr>
        <w:spacing w:line="360" w:lineRule="exact"/>
        <w:ind w:firstLine="560" w:firstLineChars="200"/>
        <w:rPr>
          <w:sz w:val="28"/>
          <w:szCs w:val="28"/>
        </w:rPr>
      </w:pPr>
      <w:r>
        <w:rPr>
          <w:rFonts w:hint="eastAsia"/>
          <w:sz w:val="28"/>
          <w:szCs w:val="28"/>
        </w:rPr>
        <w:t>从事施工图审查、施工现场监理的专业技术人员以及工程质量安全监督管理人员应当具备国家、省相关规定的专业资格要求，并具备本科以上学历。</w:t>
      </w:r>
    </w:p>
    <w:p>
      <w:pPr>
        <w:spacing w:line="360" w:lineRule="exact"/>
        <w:ind w:firstLine="560" w:firstLineChars="200"/>
        <w:rPr>
          <w:sz w:val="28"/>
          <w:szCs w:val="28"/>
        </w:rPr>
      </w:pPr>
      <w:r>
        <w:rPr>
          <w:rFonts w:hint="eastAsia"/>
          <w:sz w:val="28"/>
          <w:szCs w:val="28"/>
        </w:rPr>
        <w:t>培育工程质量保险市场，完善工程质量保证机制。对于可以不聘用工程监理、建设单位不具备工程建设项目管理能力的建设项目，建设单位可以通过购买工程质量潜在缺陷保险，由保险公司委托风险管理机构对工程建设项目实施管理。探索建筑师负责制职业责任保险制度，支持保险企业开发建筑师负责制职业责任保险产品。</w:t>
      </w:r>
    </w:p>
    <w:p>
      <w:pPr>
        <w:spacing w:line="360" w:lineRule="exact"/>
        <w:ind w:firstLine="560" w:firstLineChars="200"/>
        <w:rPr>
          <w:sz w:val="28"/>
          <w:szCs w:val="28"/>
        </w:rPr>
      </w:pPr>
      <w:r>
        <w:rPr>
          <w:rFonts w:hint="eastAsia"/>
          <w:sz w:val="28"/>
          <w:szCs w:val="28"/>
        </w:rPr>
        <w:t>本市新出让的居住用地住宅项目及新立项建设的保障性住房项目，应当将投保工程质量潜在缺陷保险列入土地出让合同。</w:t>
      </w:r>
    </w:p>
    <w:p>
      <w:pPr>
        <w:spacing w:line="360" w:lineRule="exact"/>
        <w:ind w:firstLine="562" w:firstLineChars="200"/>
        <w:rPr>
          <w:rStyle w:val="15"/>
          <w:rFonts w:ascii="宋体" w:hAnsi="宋体" w:eastAsia="宋体" w:cs="宋体"/>
          <w:sz w:val="28"/>
          <w:szCs w:val="28"/>
        </w:rPr>
      </w:pPr>
      <w:bookmarkStart w:id="226" w:name="_Toc7183"/>
      <w:bookmarkStart w:id="227" w:name="_Toc16380"/>
      <w:bookmarkStart w:id="228" w:name="_Toc12955"/>
      <w:bookmarkStart w:id="229" w:name="_Toc30944"/>
      <w:bookmarkStart w:id="230" w:name="_Toc13838"/>
      <w:r>
        <w:rPr>
          <w:rStyle w:val="15"/>
          <w:rFonts w:hint="eastAsia" w:ascii="宋体" w:hAnsi="宋体" w:eastAsia="宋体" w:cs="宋体"/>
          <w:sz w:val="28"/>
          <w:szCs w:val="28"/>
        </w:rPr>
        <w:t>第四十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 【纳税便利】</w:t>
      </w:r>
      <w:r>
        <w:rPr>
          <w:rStyle w:val="15"/>
          <w:rFonts w:hint="eastAsia" w:ascii="宋体" w:hAnsi="宋体" w:eastAsia="宋体" w:cs="宋体"/>
          <w:sz w:val="28"/>
          <w:szCs w:val="28"/>
        </w:rPr>
        <w:tab/>
      </w:r>
    </w:p>
    <w:bookmarkEnd w:id="226"/>
    <w:bookmarkEnd w:id="227"/>
    <w:bookmarkEnd w:id="228"/>
    <w:bookmarkEnd w:id="229"/>
    <w:bookmarkEnd w:id="230"/>
    <w:p>
      <w:pPr>
        <w:spacing w:line="360" w:lineRule="exact"/>
        <w:ind w:firstLine="560" w:firstLineChars="200"/>
        <w:rPr>
          <w:rFonts w:hint="eastAsia"/>
          <w:sz w:val="28"/>
          <w:szCs w:val="28"/>
        </w:rPr>
      </w:pPr>
      <w:r>
        <w:rPr>
          <w:rFonts w:hint="eastAsia"/>
          <w:sz w:val="28"/>
          <w:szCs w:val="28"/>
        </w:rPr>
        <w:t>税务机关应当持续优化纳税服务，在确保信息安全的前提下，构建面向纳税人和缴费人的统一税费申报平台；推动社保、医保、住房公积金等税费合并申报及缴纳，精简办税资料和流程，减少市场主体缴纳次数和办理时间；简化增值税等税收优惠政策申报程序，在法定要求外原则上不再设置流转环节；充分运用信息化手段，及时对市场主体进行纳税提醒和风险提示；拓宽办税渠道，推进税费事项网上办掌上办，拓展非接触式办税缴费服务，推广使用电子发票，逐步实现全程网上办税，提高纳税便利化。</w:t>
      </w:r>
    </w:p>
    <w:p>
      <w:pPr>
        <w:spacing w:line="360" w:lineRule="exact"/>
        <w:ind w:firstLine="560" w:firstLineChars="200"/>
        <w:rPr>
          <w:sz w:val="28"/>
          <w:szCs w:val="28"/>
        </w:rPr>
      </w:pPr>
      <w:r>
        <w:rPr>
          <w:rFonts w:hint="eastAsia"/>
          <w:sz w:val="28"/>
          <w:szCs w:val="28"/>
        </w:rPr>
        <w:t>严格落实国家各项减税降费政策，积极开展宣传辅导，确保各项政策落实到位</w:t>
      </w:r>
      <w:r>
        <w:rPr>
          <w:rFonts w:hint="eastAsia"/>
          <w:sz w:val="28"/>
          <w:szCs w:val="28"/>
          <w:lang w:eastAsia="zh-CN"/>
        </w:rPr>
        <w:t>。</w:t>
      </w:r>
      <w:r>
        <w:rPr>
          <w:rFonts w:hint="eastAsia"/>
          <w:sz w:val="28"/>
          <w:szCs w:val="28"/>
        </w:rPr>
        <w:t>海关、税务等部门应当保障市场主体依法享受减税、免税、出口退税等有关税收优惠，降低企业税收负担。不得违反法律规定开征、停征、多征、少征、提前征收、延缓征收或者摊派税款。</w:t>
      </w:r>
    </w:p>
    <w:p>
      <w:pPr>
        <w:spacing w:line="360" w:lineRule="exact"/>
        <w:ind w:firstLine="562" w:firstLineChars="200"/>
        <w:rPr>
          <w:rStyle w:val="15"/>
          <w:rFonts w:ascii="宋体" w:hAnsi="宋体" w:eastAsia="宋体" w:cs="宋体"/>
          <w:sz w:val="28"/>
          <w:szCs w:val="28"/>
        </w:rPr>
      </w:pPr>
      <w:bookmarkStart w:id="231" w:name="_Toc26100"/>
      <w:bookmarkStart w:id="232" w:name="_Toc27241"/>
      <w:bookmarkStart w:id="233" w:name="_Toc31008"/>
      <w:bookmarkStart w:id="234" w:name="_Toc24652"/>
      <w:bookmarkStart w:id="235" w:name="_Toc25838"/>
      <w:r>
        <w:rPr>
          <w:rStyle w:val="15"/>
          <w:rFonts w:hint="eastAsia" w:ascii="宋体" w:hAnsi="宋体" w:eastAsia="宋体" w:cs="宋体"/>
          <w:sz w:val="28"/>
          <w:szCs w:val="28"/>
        </w:rPr>
        <w:t>第四十</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条 【不动产登记】</w:t>
      </w:r>
      <w:r>
        <w:rPr>
          <w:rStyle w:val="15"/>
          <w:rFonts w:hint="eastAsia" w:ascii="宋体" w:hAnsi="宋体" w:eastAsia="宋体" w:cs="宋体"/>
          <w:sz w:val="28"/>
          <w:szCs w:val="28"/>
        </w:rPr>
        <w:tab/>
      </w:r>
    </w:p>
    <w:bookmarkEnd w:id="231"/>
    <w:bookmarkEnd w:id="232"/>
    <w:bookmarkEnd w:id="233"/>
    <w:bookmarkEnd w:id="234"/>
    <w:bookmarkEnd w:id="235"/>
    <w:p>
      <w:pPr>
        <w:spacing w:line="360" w:lineRule="exact"/>
        <w:ind w:firstLine="560" w:firstLineChars="200"/>
        <w:rPr>
          <w:rFonts w:hint="eastAsia"/>
          <w:sz w:val="28"/>
          <w:szCs w:val="28"/>
        </w:rPr>
      </w:pPr>
      <w:r>
        <w:rPr>
          <w:rFonts w:hint="eastAsia"/>
          <w:sz w:val="28"/>
          <w:szCs w:val="28"/>
        </w:rPr>
        <w:t>不动产登记</w:t>
      </w:r>
      <w:r>
        <w:rPr>
          <w:rFonts w:hint="eastAsia"/>
          <w:sz w:val="28"/>
          <w:szCs w:val="28"/>
          <w:lang w:eastAsia="zh-CN"/>
        </w:rPr>
        <w:t>部门</w:t>
      </w:r>
      <w:r>
        <w:rPr>
          <w:rFonts w:hint="eastAsia"/>
          <w:sz w:val="28"/>
          <w:szCs w:val="28"/>
        </w:rPr>
        <w:t>应当压缩不动产登记办理时限和优化不动产登记流程，加强与税务、公安、民政、社保等部门和金融机构等单位的信息共享，实施不动产登记、交易和缴税并行办理，提供不动产登记信息网上查询和现场自助查询服务。单位和个人可以根据国家和本市不动产登记资料查询的相关规定，按照不动产坐落位置、不动产权属证书号、不动产单元号等索引信息免费查询非住宅类、且权利人为法人和非法人组织的不动产权利人信息等登记信息和地籍图信息，但涉及国家秘密的除外。对于不动产是否存在权利负担、司法限制等信息，申请人可以</w:t>
      </w:r>
      <w:r>
        <w:rPr>
          <w:rFonts w:hint="eastAsia"/>
          <w:sz w:val="28"/>
          <w:szCs w:val="28"/>
          <w:highlight w:val="none"/>
        </w:rPr>
        <w:t>自助</w:t>
      </w:r>
      <w:r>
        <w:rPr>
          <w:rFonts w:hint="eastAsia"/>
          <w:sz w:val="28"/>
          <w:szCs w:val="28"/>
        </w:rPr>
        <w:t>免费获取。</w:t>
      </w:r>
    </w:p>
    <w:p>
      <w:pPr>
        <w:spacing w:line="360" w:lineRule="exact"/>
        <w:ind w:firstLine="560" w:firstLineChars="200"/>
        <w:rPr>
          <w:rFonts w:hint="eastAsia"/>
          <w:sz w:val="28"/>
          <w:szCs w:val="28"/>
        </w:rPr>
      </w:pPr>
      <w:r>
        <w:rPr>
          <w:rFonts w:hint="eastAsia"/>
          <w:sz w:val="28"/>
          <w:szCs w:val="28"/>
        </w:rPr>
        <w:t>不动产登记</w:t>
      </w:r>
      <w:r>
        <w:rPr>
          <w:rFonts w:hint="eastAsia"/>
          <w:sz w:val="28"/>
          <w:szCs w:val="28"/>
          <w:lang w:eastAsia="zh-CN"/>
        </w:rPr>
        <w:t>部门</w:t>
      </w:r>
      <w:r>
        <w:rPr>
          <w:rFonts w:hint="eastAsia"/>
          <w:sz w:val="28"/>
          <w:szCs w:val="28"/>
        </w:rPr>
        <w:t>应当与公用企事业单位、金融机构等加强协作，逐步实现电力、供排水、燃气、网络过户与不动产登记联动办理，由不动产登记部门统一受理，一次性收取全部材料并推送至供水、供电、供气等公用事业服务单位并联办理相关业务。</w:t>
      </w:r>
    </w:p>
    <w:p>
      <w:pPr>
        <w:spacing w:line="360" w:lineRule="exact"/>
        <w:ind w:firstLine="560" w:firstLineChars="200"/>
        <w:rPr>
          <w:sz w:val="28"/>
          <w:szCs w:val="28"/>
        </w:rPr>
      </w:pPr>
      <w:r>
        <w:rPr>
          <w:rFonts w:hint="eastAsia"/>
          <w:sz w:val="28"/>
          <w:szCs w:val="28"/>
        </w:rPr>
        <w:t>本市新建社会投资简易低风险工程建设项目的竣工验收和不动产登记同步申请，免缴不动产登记费，不动产登记后企业可以一次性获取联合验收意见书和不动产权证电子证照。</w:t>
      </w:r>
    </w:p>
    <w:p>
      <w:pPr>
        <w:spacing w:line="360" w:lineRule="exact"/>
        <w:ind w:firstLine="560" w:firstLineChars="200"/>
        <w:rPr>
          <w:sz w:val="28"/>
          <w:szCs w:val="28"/>
        </w:rPr>
      </w:pPr>
      <w:r>
        <w:rPr>
          <w:rFonts w:hint="eastAsia"/>
          <w:sz w:val="28"/>
          <w:szCs w:val="28"/>
        </w:rPr>
        <w:t>本市推广在商业银行申请不动产抵押登记等便利化改革，探索开展跨境融资抵押业务。</w:t>
      </w:r>
    </w:p>
    <w:p>
      <w:pPr>
        <w:spacing w:line="360" w:lineRule="exact"/>
        <w:ind w:firstLine="562" w:firstLineChars="200"/>
        <w:rPr>
          <w:rStyle w:val="15"/>
          <w:rFonts w:ascii="宋体" w:hAnsi="宋体" w:eastAsia="宋体" w:cs="宋体"/>
          <w:sz w:val="28"/>
          <w:szCs w:val="28"/>
        </w:rPr>
      </w:pPr>
      <w:bookmarkStart w:id="236" w:name="_Toc15565"/>
      <w:bookmarkStart w:id="237" w:name="_Toc16379"/>
      <w:bookmarkStart w:id="238" w:name="_Toc28387"/>
      <w:bookmarkStart w:id="239" w:name="_Toc5126"/>
      <w:bookmarkStart w:id="240" w:name="_Toc236"/>
      <w:r>
        <w:rPr>
          <w:rStyle w:val="15"/>
          <w:rFonts w:hint="eastAsia" w:ascii="宋体" w:hAnsi="宋体" w:eastAsia="宋体" w:cs="宋体"/>
          <w:sz w:val="28"/>
          <w:szCs w:val="28"/>
        </w:rPr>
        <w:t>第四十</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条 【跨境贸易便利】</w:t>
      </w:r>
      <w:r>
        <w:rPr>
          <w:rStyle w:val="15"/>
          <w:rFonts w:hint="eastAsia" w:ascii="宋体" w:hAnsi="宋体" w:eastAsia="宋体" w:cs="宋体"/>
          <w:sz w:val="28"/>
          <w:szCs w:val="28"/>
        </w:rPr>
        <w:tab/>
      </w:r>
    </w:p>
    <w:bookmarkEnd w:id="236"/>
    <w:bookmarkEnd w:id="237"/>
    <w:bookmarkEnd w:id="238"/>
    <w:bookmarkEnd w:id="239"/>
    <w:bookmarkEnd w:id="240"/>
    <w:p>
      <w:pPr>
        <w:spacing w:line="360" w:lineRule="exact"/>
        <w:ind w:firstLine="560" w:firstLineChars="200"/>
        <w:rPr>
          <w:sz w:val="28"/>
          <w:szCs w:val="28"/>
        </w:rPr>
      </w:pPr>
      <w:r>
        <w:rPr>
          <w:rFonts w:hint="eastAsia"/>
          <w:sz w:val="28"/>
          <w:szCs w:val="28"/>
        </w:rPr>
        <w:t>市商务部门应当按照国家促进跨境贸易便利化的要求，对进出口货物申报、舱单申报和运输工具申报业务提供</w:t>
      </w:r>
      <w:r>
        <w:rPr>
          <w:rFonts w:hint="eastAsia"/>
          <w:sz w:val="28"/>
          <w:szCs w:val="28"/>
          <w:lang w:eastAsia="zh-CN"/>
        </w:rPr>
        <w:t>“</w:t>
      </w:r>
      <w:r>
        <w:rPr>
          <w:rFonts w:hint="eastAsia"/>
          <w:sz w:val="28"/>
          <w:szCs w:val="28"/>
        </w:rPr>
        <w:t>单一窗口</w:t>
      </w:r>
      <w:r>
        <w:rPr>
          <w:rFonts w:hint="eastAsia"/>
          <w:sz w:val="28"/>
          <w:szCs w:val="28"/>
          <w:lang w:eastAsia="zh-CN"/>
        </w:rPr>
        <w:t>”</w:t>
      </w:r>
      <w:r>
        <w:rPr>
          <w:rFonts w:hint="eastAsia"/>
          <w:sz w:val="28"/>
          <w:szCs w:val="28"/>
        </w:rPr>
        <w:t>服务，建立口岸跨部门、跨区域管理协调机制，依托国际贸易“单一窗口”，</w:t>
      </w:r>
      <w:r>
        <w:rPr>
          <w:rFonts w:hint="eastAsia"/>
          <w:sz w:val="28"/>
          <w:szCs w:val="28"/>
          <w:lang w:eastAsia="zh-CN"/>
        </w:rPr>
        <w:t>除涉及</w:t>
      </w:r>
      <w:r>
        <w:rPr>
          <w:rFonts w:hint="eastAsia"/>
          <w:sz w:val="28"/>
          <w:szCs w:val="28"/>
        </w:rPr>
        <w:t>国家秘密的特殊情况外</w:t>
      </w:r>
      <w:r>
        <w:rPr>
          <w:rFonts w:hint="eastAsia"/>
          <w:sz w:val="28"/>
          <w:szCs w:val="28"/>
          <w:lang w:eastAsia="zh-CN"/>
        </w:rPr>
        <w:t>，</w:t>
      </w:r>
      <w:r>
        <w:rPr>
          <w:rFonts w:hint="eastAsia"/>
          <w:sz w:val="28"/>
          <w:szCs w:val="28"/>
          <w:lang w:val="en-US" w:eastAsia="zh-CN"/>
        </w:rPr>
        <w:t>探索</w:t>
      </w:r>
      <w:r>
        <w:rPr>
          <w:rFonts w:hint="eastAsia"/>
          <w:sz w:val="28"/>
          <w:szCs w:val="28"/>
        </w:rPr>
        <w:t>利用大数据、区块链、移动互联网等现代信息技术，整合跨境贸易数据资源，为市场主体、监管部门等提供跨境贸易综合服务</w:t>
      </w:r>
      <w:r>
        <w:rPr>
          <w:rFonts w:hint="eastAsia"/>
          <w:sz w:val="28"/>
          <w:szCs w:val="28"/>
          <w:lang w:eastAsia="zh-CN"/>
        </w:rPr>
        <w:t>，</w:t>
      </w:r>
      <w:r>
        <w:rPr>
          <w:rFonts w:hint="eastAsia"/>
          <w:sz w:val="28"/>
          <w:szCs w:val="28"/>
        </w:rPr>
        <w:t>推进各环节信息互联互通，降低进出口环节合规成本，提升跨境贸易便利化水平。</w:t>
      </w:r>
    </w:p>
    <w:p>
      <w:pPr>
        <w:spacing w:line="360" w:lineRule="exact"/>
        <w:ind w:firstLine="560" w:firstLineChars="200"/>
        <w:rPr>
          <w:rFonts w:hint="eastAsia"/>
          <w:sz w:val="28"/>
          <w:szCs w:val="28"/>
        </w:rPr>
      </w:pPr>
      <w:r>
        <w:rPr>
          <w:rFonts w:hint="eastAsia"/>
          <w:sz w:val="28"/>
          <w:szCs w:val="28"/>
        </w:rPr>
        <w:t>通过国际贸易单一窗口，为申报人提供进出口货物申报、运输工具申报、税费支付、贸易许可和原产地证书申领等全流程电子化服务，并</w:t>
      </w:r>
      <w:r>
        <w:rPr>
          <w:rFonts w:hint="eastAsia"/>
          <w:sz w:val="28"/>
          <w:szCs w:val="28"/>
          <w:lang w:val="en-US" w:eastAsia="zh-CN"/>
        </w:rPr>
        <w:t>探索</w:t>
      </w:r>
      <w:r>
        <w:rPr>
          <w:rFonts w:hint="eastAsia"/>
          <w:sz w:val="28"/>
          <w:szCs w:val="28"/>
        </w:rPr>
        <w:t>推广贸易融资、信用保险、出口退税等地方特色应用。</w:t>
      </w:r>
    </w:p>
    <w:p>
      <w:pPr>
        <w:spacing w:line="360" w:lineRule="exact"/>
        <w:ind w:firstLine="560" w:firstLineChars="200"/>
        <w:rPr>
          <w:sz w:val="28"/>
          <w:szCs w:val="28"/>
        </w:rPr>
      </w:pPr>
      <w:r>
        <w:rPr>
          <w:rFonts w:hint="eastAsia"/>
          <w:sz w:val="28"/>
          <w:szCs w:val="28"/>
        </w:rPr>
        <w:t>海关、商务等有关政府部门应当创新口岸监管和服务模式</w:t>
      </w:r>
      <w:r>
        <w:rPr>
          <w:rFonts w:hint="eastAsia"/>
          <w:sz w:val="28"/>
          <w:szCs w:val="28"/>
          <w:lang w:eastAsia="zh-CN"/>
        </w:rPr>
        <w:t>，</w:t>
      </w:r>
      <w:r>
        <w:rPr>
          <w:rFonts w:hint="eastAsia"/>
          <w:sz w:val="28"/>
          <w:szCs w:val="28"/>
        </w:rPr>
        <w:t>依法精简进出口环节审批事项和单证，优化通关流程，能够退出口岸验核的，全部退出；对符合规定条件的市场主体，实行先验放后检测、先放行后缴税、先放行后改单管理。压缩货物口岸监管和港航物流作业时间，实现通关与物流各环节的货物状态和支付信息可查询，便利企业开展各环节作业。鼓励企业提前申报通关，提前办理单证审核，对于提前申报通关存在差错的，按照有关容错机制处理。</w:t>
      </w:r>
    </w:p>
    <w:p>
      <w:pPr>
        <w:spacing w:line="360" w:lineRule="exact"/>
        <w:ind w:firstLine="560" w:firstLineChars="200"/>
        <w:rPr>
          <w:sz w:val="28"/>
          <w:szCs w:val="28"/>
        </w:rPr>
      </w:pPr>
      <w:r>
        <w:rPr>
          <w:rFonts w:hint="eastAsia"/>
          <w:sz w:val="28"/>
          <w:szCs w:val="28"/>
        </w:rPr>
        <w:t>各收费主体应当在国际贸易单一窗口公开收费目录和收费标准，不得在目录以外收取费用，实现口岸相关市场收费“一站式”查询和办理。有关部门应当加强口岸收费管理，完善目录清单动态管理机制、口岸收费监管协作机制和清理口岸收费联动工作机制。</w:t>
      </w:r>
    </w:p>
    <w:p>
      <w:pPr>
        <w:spacing w:line="360" w:lineRule="exact"/>
        <w:ind w:firstLine="562" w:firstLineChars="200"/>
        <w:rPr>
          <w:rStyle w:val="15"/>
          <w:rFonts w:ascii="宋体" w:hAnsi="宋体" w:eastAsia="宋体" w:cs="宋体"/>
          <w:sz w:val="28"/>
          <w:szCs w:val="28"/>
        </w:rPr>
      </w:pPr>
      <w:bookmarkStart w:id="241" w:name="_Toc6331"/>
      <w:bookmarkStart w:id="242" w:name="_Toc18197"/>
      <w:bookmarkStart w:id="243" w:name="_Toc1767"/>
      <w:bookmarkStart w:id="244" w:name="_Toc16855"/>
      <w:bookmarkStart w:id="245" w:name="_Toc1428"/>
      <w:r>
        <w:rPr>
          <w:rStyle w:val="15"/>
          <w:rFonts w:hint="eastAsia" w:ascii="宋体" w:hAnsi="宋体" w:eastAsia="宋体" w:cs="宋体"/>
          <w:sz w:val="28"/>
          <w:szCs w:val="28"/>
        </w:rPr>
        <w:t>第四十</w:t>
      </w:r>
      <w:r>
        <w:rPr>
          <w:rStyle w:val="15"/>
          <w:rFonts w:hint="eastAsia" w:ascii="宋体" w:hAnsi="宋体" w:eastAsia="宋体" w:cs="宋体"/>
          <w:sz w:val="28"/>
          <w:szCs w:val="28"/>
          <w:lang w:eastAsia="zh-CN"/>
        </w:rPr>
        <w:t>六</w:t>
      </w:r>
      <w:r>
        <w:rPr>
          <w:rStyle w:val="15"/>
          <w:rFonts w:hint="eastAsia" w:ascii="宋体" w:hAnsi="宋体" w:eastAsia="宋体" w:cs="宋体"/>
          <w:sz w:val="28"/>
          <w:szCs w:val="28"/>
        </w:rPr>
        <w:t>条 【突发事件扶持】</w:t>
      </w:r>
    </w:p>
    <w:bookmarkEnd w:id="241"/>
    <w:bookmarkEnd w:id="242"/>
    <w:bookmarkEnd w:id="243"/>
    <w:bookmarkEnd w:id="244"/>
    <w:bookmarkEnd w:id="245"/>
    <w:p>
      <w:pPr>
        <w:spacing w:line="360" w:lineRule="exact"/>
        <w:ind w:firstLine="560" w:firstLineChars="200"/>
        <w:rPr>
          <w:sz w:val="28"/>
          <w:szCs w:val="28"/>
        </w:rPr>
      </w:pPr>
      <w:r>
        <w:rPr>
          <w:rFonts w:hint="eastAsia"/>
          <w:sz w:val="28"/>
          <w:szCs w:val="28"/>
        </w:rPr>
        <w:t>发生突发事件的，</w:t>
      </w:r>
      <w:r>
        <w:rPr>
          <w:rFonts w:hint="eastAsia"/>
          <w:sz w:val="28"/>
          <w:szCs w:val="28"/>
          <w:lang w:eastAsia="zh-CN"/>
        </w:rPr>
        <w:t>市、区（县）</w:t>
      </w:r>
      <w:r>
        <w:rPr>
          <w:rFonts w:hint="eastAsia"/>
          <w:sz w:val="28"/>
          <w:szCs w:val="28"/>
        </w:rPr>
        <w:t>人民政府及其相关部门应当采取以下措施，维护生产秩序和产业供应链稳定，保障市场主体的财产安全和自主经营权利：</w:t>
      </w:r>
    </w:p>
    <w:p>
      <w:pPr>
        <w:spacing w:line="360" w:lineRule="exact"/>
        <w:ind w:firstLine="560" w:firstLineChars="200"/>
        <w:rPr>
          <w:sz w:val="28"/>
          <w:szCs w:val="28"/>
        </w:rPr>
      </w:pPr>
      <w:r>
        <w:rPr>
          <w:rFonts w:hint="eastAsia"/>
          <w:sz w:val="28"/>
          <w:szCs w:val="28"/>
        </w:rPr>
        <w:t>（一）建立突发事件动态分析评估和反馈机制，对易遭遇风险的行业、企业、设施、场所制定安全保护应急处理方案，纳入应急预案；</w:t>
      </w:r>
    </w:p>
    <w:p>
      <w:pPr>
        <w:spacing w:line="360" w:lineRule="exact"/>
        <w:ind w:firstLine="560" w:firstLineChars="200"/>
        <w:rPr>
          <w:sz w:val="28"/>
          <w:szCs w:val="28"/>
        </w:rPr>
      </w:pPr>
      <w:r>
        <w:rPr>
          <w:rFonts w:hint="eastAsia"/>
          <w:sz w:val="28"/>
          <w:szCs w:val="28"/>
        </w:rPr>
        <w:t>（二）建立有效的社会动员机制，鼓励金融机构对受突发事件影响较大的市场主体给予延期还贷、展期续贷、降低利率和减免利息支持；鼓励市场主体开展互助，采取调整薪酬、弹性工时、轮岗轮休等方式，稳定劳动关系，维持运行并及时复工复产；</w:t>
      </w:r>
    </w:p>
    <w:p>
      <w:pPr>
        <w:spacing w:line="360" w:lineRule="exact"/>
        <w:ind w:firstLine="560" w:firstLineChars="200"/>
        <w:rPr>
          <w:sz w:val="28"/>
          <w:szCs w:val="28"/>
        </w:rPr>
      </w:pPr>
      <w:r>
        <w:rPr>
          <w:rFonts w:hint="eastAsia"/>
          <w:sz w:val="28"/>
          <w:szCs w:val="28"/>
        </w:rPr>
        <w:t>（三）组织评估突发事件及应急措施对本地区经济的影响，对重点行业或者损失较大的行业，可以引入第三方专业机构发布评估报告，精准制定实施救助、补偿、补贴、减免、返还、安置等措施，为企业寻求法律救济提供必要帮助；</w:t>
      </w:r>
    </w:p>
    <w:p>
      <w:pPr>
        <w:spacing w:line="360" w:lineRule="exact"/>
        <w:ind w:firstLine="560" w:firstLineChars="200"/>
        <w:rPr>
          <w:sz w:val="28"/>
          <w:szCs w:val="28"/>
        </w:rPr>
      </w:pPr>
      <w:r>
        <w:rPr>
          <w:rFonts w:hint="eastAsia"/>
          <w:sz w:val="28"/>
          <w:szCs w:val="28"/>
        </w:rPr>
        <w:t>（四）对突发事件中临时征收征用的应急物资，应当及时返还；无法返还的，应当依法补偿。</w:t>
      </w:r>
    </w:p>
    <w:p>
      <w:pPr>
        <w:spacing w:line="360" w:lineRule="exact"/>
        <w:ind w:firstLine="562" w:firstLineChars="200"/>
        <w:rPr>
          <w:rStyle w:val="15"/>
          <w:rFonts w:ascii="宋体" w:hAnsi="宋体" w:eastAsia="宋体" w:cs="宋体"/>
          <w:sz w:val="28"/>
          <w:szCs w:val="28"/>
        </w:rPr>
      </w:pPr>
      <w:bookmarkStart w:id="246" w:name="_Toc20098"/>
      <w:bookmarkStart w:id="247" w:name="_Toc28972"/>
      <w:bookmarkStart w:id="248" w:name="_Toc28104"/>
      <w:bookmarkStart w:id="249" w:name="_Toc24168"/>
      <w:bookmarkStart w:id="250" w:name="_Toc13955"/>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七</w:t>
      </w:r>
      <w:r>
        <w:rPr>
          <w:rStyle w:val="15"/>
          <w:rFonts w:hint="eastAsia" w:ascii="宋体" w:hAnsi="宋体" w:eastAsia="宋体" w:cs="宋体"/>
          <w:sz w:val="28"/>
          <w:szCs w:val="28"/>
        </w:rPr>
        <w:t>条 【政策兑现】</w:t>
      </w:r>
    </w:p>
    <w:bookmarkEnd w:id="246"/>
    <w:bookmarkEnd w:id="247"/>
    <w:bookmarkEnd w:id="248"/>
    <w:bookmarkEnd w:id="249"/>
    <w:bookmarkEnd w:id="250"/>
    <w:p>
      <w:pPr>
        <w:spacing w:line="360" w:lineRule="exact"/>
        <w:ind w:firstLine="560" w:firstLineChars="200"/>
        <w:rPr>
          <w:rFonts w:hint="eastAsia"/>
          <w:sz w:val="28"/>
          <w:szCs w:val="28"/>
        </w:rPr>
      </w:pPr>
      <w:r>
        <w:rPr>
          <w:rFonts w:hint="eastAsia"/>
          <w:sz w:val="28"/>
          <w:szCs w:val="28"/>
        </w:rPr>
        <w:t>本市推行政策兑现事项集成服务模式。市政务服务管理部门或者区人民政府指定的部门应当牵头机关、事业单位全面梳理需要使用财政资金支付的行政奖励、资助、补贴等各项优惠政策和产业促进政策，编制政策兑现事项清单，纳入政务服务事项管理，</w:t>
      </w:r>
      <w:r>
        <w:rPr>
          <w:rFonts w:hint="eastAsia"/>
          <w:sz w:val="28"/>
          <w:szCs w:val="28"/>
          <w:highlight w:val="none"/>
        </w:rPr>
        <w:t>在市</w:t>
      </w:r>
      <w:r>
        <w:rPr>
          <w:rFonts w:hint="eastAsia"/>
          <w:sz w:val="28"/>
          <w:szCs w:val="28"/>
        </w:rPr>
        <w:t>、</w:t>
      </w:r>
      <w:r>
        <w:rPr>
          <w:rFonts w:hint="eastAsia"/>
          <w:sz w:val="28"/>
          <w:szCs w:val="28"/>
          <w:lang w:eastAsia="zh-CN"/>
        </w:rPr>
        <w:t>区（县）</w:t>
      </w:r>
      <w:r>
        <w:rPr>
          <w:rFonts w:hint="eastAsia"/>
          <w:sz w:val="28"/>
          <w:szCs w:val="28"/>
        </w:rPr>
        <w:t>政务服务大厅开设政策兑现服务窗口（专栏）</w:t>
      </w:r>
      <w:r>
        <w:rPr>
          <w:rFonts w:hint="eastAsia"/>
          <w:sz w:val="28"/>
          <w:szCs w:val="28"/>
          <w:lang w:eastAsia="zh-CN"/>
        </w:rPr>
        <w:t>，</w:t>
      </w:r>
      <w:r>
        <w:rPr>
          <w:rFonts w:hint="eastAsia"/>
          <w:sz w:val="28"/>
          <w:szCs w:val="28"/>
        </w:rPr>
        <w:t>建立政策兑现“一站式”服务平台</w:t>
      </w:r>
      <w:r>
        <w:rPr>
          <w:rFonts w:hint="eastAsia"/>
          <w:sz w:val="28"/>
          <w:szCs w:val="28"/>
          <w:lang w:eastAsia="zh-CN"/>
        </w:rPr>
        <w:t>，</w:t>
      </w:r>
      <w:r>
        <w:rPr>
          <w:rFonts w:hint="eastAsia"/>
          <w:sz w:val="28"/>
          <w:szCs w:val="28"/>
        </w:rPr>
        <w:t>实施集成服务。</w:t>
      </w:r>
    </w:p>
    <w:p>
      <w:pPr>
        <w:spacing w:line="360" w:lineRule="exact"/>
        <w:ind w:firstLine="560" w:firstLineChars="200"/>
        <w:rPr>
          <w:sz w:val="28"/>
          <w:szCs w:val="28"/>
        </w:rPr>
      </w:pPr>
      <w:r>
        <w:rPr>
          <w:rFonts w:hint="eastAsia"/>
          <w:sz w:val="28"/>
          <w:szCs w:val="28"/>
        </w:rPr>
        <w:t>本市推行“免申即享”的惠企政策，通过</w:t>
      </w:r>
      <w:r>
        <w:rPr>
          <w:rFonts w:hint="eastAsia"/>
          <w:sz w:val="28"/>
          <w:szCs w:val="28"/>
          <w:lang w:eastAsia="zh-CN"/>
        </w:rPr>
        <w:t>大数据</w:t>
      </w:r>
      <w:r>
        <w:rPr>
          <w:rFonts w:hint="eastAsia"/>
          <w:sz w:val="28"/>
          <w:szCs w:val="28"/>
        </w:rPr>
        <w:t>信息共享</w:t>
      </w:r>
      <w:r>
        <w:rPr>
          <w:rFonts w:hint="eastAsia"/>
          <w:sz w:val="28"/>
          <w:szCs w:val="28"/>
          <w:lang w:eastAsia="zh-CN"/>
        </w:rPr>
        <w:t>、</w:t>
      </w:r>
      <w:r>
        <w:rPr>
          <w:rFonts w:hint="eastAsia"/>
          <w:sz w:val="28"/>
          <w:szCs w:val="28"/>
          <w:lang w:val="en-US" w:eastAsia="zh-CN"/>
        </w:rPr>
        <w:t>AI智能匹配等</w:t>
      </w:r>
      <w:r>
        <w:rPr>
          <w:rFonts w:hint="eastAsia"/>
          <w:sz w:val="28"/>
          <w:szCs w:val="28"/>
        </w:rPr>
        <w:t>方式，实现符合条件的企业免予申报、直接享受政策。对确需企业提出申请的惠企政策，应当合理设置并公开申请条件，简化申报手续，加快实现一次申报、全程网办、快速兑现。</w:t>
      </w:r>
    </w:p>
    <w:p>
      <w:pPr>
        <w:spacing w:line="360" w:lineRule="exact"/>
        <w:ind w:firstLine="560" w:firstLineChars="200"/>
        <w:rPr>
          <w:sz w:val="28"/>
          <w:szCs w:val="28"/>
        </w:rPr>
      </w:pPr>
      <w:r>
        <w:rPr>
          <w:rFonts w:hint="eastAsia"/>
          <w:sz w:val="28"/>
          <w:szCs w:val="28"/>
        </w:rPr>
        <w:t>应当组织相关部门定期对政策兑现事项涉及的优惠政策和产业促进政策进行评估，及时更新政策兑现事项清单，并对相关部门的政策兑现事项实施监督考核。</w:t>
      </w:r>
    </w:p>
    <w:p>
      <w:pPr>
        <w:spacing w:line="360" w:lineRule="exact"/>
        <w:ind w:firstLine="562" w:firstLineChars="200"/>
        <w:rPr>
          <w:rStyle w:val="15"/>
          <w:rFonts w:ascii="宋体" w:hAnsi="宋体" w:eastAsia="宋体" w:cs="宋体"/>
          <w:sz w:val="28"/>
          <w:szCs w:val="28"/>
        </w:rPr>
      </w:pPr>
      <w:bookmarkStart w:id="251" w:name="_Toc4223"/>
      <w:bookmarkStart w:id="252" w:name="_Toc15013"/>
      <w:bookmarkStart w:id="253" w:name="_Toc21206"/>
      <w:bookmarkStart w:id="254" w:name="_Toc15506"/>
      <w:bookmarkStart w:id="255" w:name="_Toc8548"/>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条 【好差评】</w:t>
      </w:r>
    </w:p>
    <w:bookmarkEnd w:id="251"/>
    <w:bookmarkEnd w:id="252"/>
    <w:bookmarkEnd w:id="253"/>
    <w:bookmarkEnd w:id="254"/>
    <w:bookmarkEnd w:id="255"/>
    <w:p>
      <w:pPr>
        <w:spacing w:line="360" w:lineRule="exact"/>
        <w:ind w:firstLine="560" w:firstLineChars="200"/>
        <w:rPr>
          <w:rFonts w:hint="eastAsia"/>
          <w:sz w:val="28"/>
          <w:szCs w:val="28"/>
          <w:lang w:eastAsia="zh-CN"/>
        </w:rPr>
      </w:pPr>
      <w:r>
        <w:rPr>
          <w:rFonts w:hint="eastAsia"/>
          <w:sz w:val="28"/>
          <w:szCs w:val="28"/>
          <w:lang w:eastAsia="zh-CN"/>
        </w:rPr>
        <w:t>本市</w:t>
      </w:r>
      <w:r>
        <w:rPr>
          <w:rFonts w:hint="eastAsia"/>
          <w:sz w:val="28"/>
          <w:szCs w:val="28"/>
        </w:rPr>
        <w:t>实施覆盖本市全部政务服务事项、被评价对象、服务渠道</w:t>
      </w:r>
      <w:r>
        <w:rPr>
          <w:rFonts w:hint="eastAsia"/>
          <w:sz w:val="28"/>
          <w:szCs w:val="28"/>
          <w:lang w:eastAsia="zh-CN"/>
        </w:rPr>
        <w:t>的</w:t>
      </w:r>
      <w:r>
        <w:rPr>
          <w:rFonts w:hint="eastAsia"/>
          <w:sz w:val="28"/>
          <w:szCs w:val="28"/>
        </w:rPr>
        <w:t>政务服务“好差评”制度。市场主体可以对有关政府部门及其工作人员办理政务服务事项的情况进行评价</w:t>
      </w:r>
      <w:r>
        <w:rPr>
          <w:rFonts w:hint="eastAsia"/>
          <w:sz w:val="28"/>
          <w:szCs w:val="28"/>
          <w:lang w:eastAsia="zh-CN"/>
        </w:rPr>
        <w:t>。</w:t>
      </w:r>
    </w:p>
    <w:p>
      <w:pPr>
        <w:spacing w:line="360" w:lineRule="exact"/>
        <w:ind w:firstLine="560" w:firstLineChars="200"/>
        <w:rPr>
          <w:rFonts w:hint="eastAsia"/>
          <w:sz w:val="28"/>
          <w:szCs w:val="28"/>
        </w:rPr>
      </w:pPr>
      <w:r>
        <w:rPr>
          <w:rFonts w:hint="eastAsia"/>
          <w:sz w:val="28"/>
          <w:szCs w:val="28"/>
        </w:rPr>
        <w:t>各级人民政府及其有关部门应当建立差评和投诉问题调查核实、督促整改和反馈机制。对实名</w:t>
      </w:r>
      <w:r>
        <w:rPr>
          <w:rFonts w:hint="eastAsia"/>
          <w:sz w:val="28"/>
          <w:szCs w:val="28"/>
          <w:highlight w:val="none"/>
        </w:rPr>
        <w:t>差</w:t>
      </w:r>
      <w:r>
        <w:rPr>
          <w:rFonts w:hint="eastAsia"/>
          <w:sz w:val="28"/>
          <w:szCs w:val="28"/>
        </w:rPr>
        <w:t>评事项，业务办理单位应当在一个工作日内联系核实。对于情况清楚、诉求合理的事项，立即整改；对于情况复杂、一时难以解决的事项，限期整改。整改情况及时向企业和群众反馈。政务服务主管部门应当对实名</w:t>
      </w:r>
      <w:r>
        <w:rPr>
          <w:rFonts w:hint="eastAsia"/>
          <w:sz w:val="28"/>
          <w:szCs w:val="28"/>
          <w:highlight w:val="none"/>
        </w:rPr>
        <w:t>差</w:t>
      </w:r>
      <w:r>
        <w:rPr>
          <w:rFonts w:hint="eastAsia"/>
          <w:sz w:val="28"/>
          <w:szCs w:val="28"/>
        </w:rPr>
        <w:t>评整改情况进行跟踪回访。</w:t>
      </w:r>
    </w:p>
    <w:p>
      <w:pPr>
        <w:spacing w:line="360" w:lineRule="exact"/>
        <w:ind w:firstLine="560" w:firstLineChars="200"/>
        <w:rPr>
          <w:rFonts w:hint="eastAsia"/>
          <w:sz w:val="28"/>
          <w:szCs w:val="28"/>
        </w:rPr>
      </w:pPr>
      <w:r>
        <w:rPr>
          <w:rFonts w:hint="eastAsia"/>
          <w:sz w:val="28"/>
          <w:szCs w:val="28"/>
        </w:rPr>
        <w:t>“好差评”评价情况纳入政务服务质量通报。具体办法由市政务服务</w:t>
      </w:r>
      <w:r>
        <w:rPr>
          <w:rFonts w:hint="eastAsia"/>
          <w:sz w:val="28"/>
          <w:szCs w:val="28"/>
          <w:lang w:eastAsia="zh-CN"/>
        </w:rPr>
        <w:t>数据管理</w:t>
      </w:r>
      <w:r>
        <w:rPr>
          <w:rFonts w:hint="eastAsia"/>
          <w:sz w:val="28"/>
          <w:szCs w:val="28"/>
        </w:rPr>
        <w:t>部门制定并向社会公布。</w:t>
      </w:r>
    </w:p>
    <w:p>
      <w:pPr>
        <w:spacing w:line="360" w:lineRule="exact"/>
        <w:ind w:firstLine="562" w:firstLineChars="200"/>
        <w:rPr>
          <w:rStyle w:val="15"/>
          <w:rFonts w:ascii="宋体" w:hAnsi="宋体" w:eastAsia="宋体" w:cs="宋体"/>
          <w:sz w:val="28"/>
          <w:szCs w:val="28"/>
        </w:rPr>
      </w:pPr>
      <w:bookmarkStart w:id="256" w:name="_Toc15801"/>
      <w:bookmarkStart w:id="257" w:name="_Toc21847"/>
      <w:bookmarkStart w:id="258" w:name="_Toc20424"/>
      <w:bookmarkStart w:id="259" w:name="_Toc13630"/>
      <w:bookmarkStart w:id="260" w:name="_Toc11827"/>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九</w:t>
      </w:r>
      <w:r>
        <w:rPr>
          <w:rStyle w:val="15"/>
          <w:rFonts w:hint="eastAsia" w:ascii="宋体" w:hAnsi="宋体" w:eastAsia="宋体" w:cs="宋体"/>
          <w:sz w:val="28"/>
          <w:szCs w:val="28"/>
        </w:rPr>
        <w:t>条 【政府履约】</w:t>
      </w:r>
    </w:p>
    <w:bookmarkEnd w:id="256"/>
    <w:bookmarkEnd w:id="257"/>
    <w:bookmarkEnd w:id="258"/>
    <w:bookmarkEnd w:id="259"/>
    <w:bookmarkEnd w:id="260"/>
    <w:p>
      <w:pPr>
        <w:spacing w:line="360" w:lineRule="exact"/>
        <w:ind w:firstLine="560" w:firstLineChars="200"/>
        <w:rPr>
          <w:sz w:val="28"/>
          <w:szCs w:val="28"/>
        </w:rPr>
      </w:pPr>
      <w:r>
        <w:rPr>
          <w:rFonts w:hint="eastAsia"/>
          <w:sz w:val="28"/>
          <w:szCs w:val="28"/>
        </w:rPr>
        <w:t>各级人民政府及其有关部门应当履行向市场主体依法作出的政策承诺以及依法订立的各类合同，不得违反合同约定拖欠市场主体的货物、工程、服务等</w:t>
      </w:r>
      <w:r>
        <w:rPr>
          <w:rFonts w:hint="eastAsia"/>
          <w:sz w:val="28"/>
          <w:szCs w:val="28"/>
          <w:highlight w:val="none"/>
        </w:rPr>
        <w:t>账款</w:t>
      </w:r>
      <w:r>
        <w:rPr>
          <w:rFonts w:hint="eastAsia"/>
          <w:sz w:val="28"/>
          <w:szCs w:val="28"/>
        </w:rPr>
        <w:t>，不得以行政区划调整、政府换届、机构或者职能调整以及相关责任人更替等为由违约、毁约</w:t>
      </w:r>
      <w:r>
        <w:rPr>
          <w:rFonts w:hint="eastAsia"/>
          <w:sz w:val="28"/>
          <w:szCs w:val="28"/>
          <w:lang w:eastAsia="zh-CN"/>
        </w:rPr>
        <w:t>，</w:t>
      </w:r>
      <w:r>
        <w:rPr>
          <w:rFonts w:hint="eastAsia"/>
          <w:sz w:val="28"/>
          <w:szCs w:val="28"/>
        </w:rPr>
        <w:t>不得违背市场主体真实意愿延长付款期限。</w:t>
      </w:r>
    </w:p>
    <w:p>
      <w:pPr>
        <w:spacing w:line="360" w:lineRule="exact"/>
        <w:ind w:firstLine="560" w:firstLineChars="200"/>
        <w:rPr>
          <w:sz w:val="28"/>
          <w:szCs w:val="28"/>
        </w:rPr>
      </w:pPr>
      <w:r>
        <w:rPr>
          <w:rFonts w:hint="eastAsia"/>
          <w:sz w:val="28"/>
          <w:szCs w:val="28"/>
        </w:rPr>
        <w:t>各级人民政府及其有关部门因国家利益、社会公共利益等确需调整规划或者改变政策承诺、合同约定的，应当依照法定权限和程序进行，并依法对市场主体受到的损失予以及时、合理的补偿。</w:t>
      </w:r>
    </w:p>
    <w:p>
      <w:pPr>
        <w:spacing w:line="360" w:lineRule="exact"/>
        <w:ind w:firstLine="560" w:firstLineChars="200"/>
        <w:rPr>
          <w:rFonts w:ascii="黑体" w:hAnsi="黑体" w:eastAsia="黑体" w:cs="黑体"/>
          <w:bCs/>
          <w:sz w:val="32"/>
          <w:szCs w:val="32"/>
        </w:rPr>
      </w:pPr>
      <w:r>
        <w:rPr>
          <w:rFonts w:hint="eastAsia"/>
          <w:sz w:val="28"/>
          <w:szCs w:val="28"/>
        </w:rPr>
        <w:t>市场主体以应收账款申请担保融资，向国家机关、事业单位和企业等应付款方提出确权请求的，应付款方应当及时确认债权债务关系。</w:t>
      </w:r>
    </w:p>
    <w:p>
      <w:pPr>
        <w:pStyle w:val="2"/>
        <w:jc w:val="center"/>
        <w:rPr>
          <w:rFonts w:ascii="黑体" w:hAnsi="黑体" w:eastAsia="黑体" w:cs="黑体"/>
          <w:b w:val="0"/>
          <w:bCs/>
          <w:sz w:val="32"/>
          <w:szCs w:val="32"/>
        </w:rPr>
      </w:pPr>
      <w:bookmarkStart w:id="261" w:name="_Toc3055"/>
      <w:bookmarkStart w:id="262" w:name="_Toc28366"/>
      <w:bookmarkStart w:id="263" w:name="_Toc26642"/>
      <w:bookmarkStart w:id="264" w:name="_Toc32366"/>
      <w:bookmarkStart w:id="265" w:name="_Toc21279"/>
      <w:r>
        <w:rPr>
          <w:rFonts w:hint="eastAsia" w:ascii="黑体" w:hAnsi="黑体" w:eastAsia="黑体" w:cs="黑体"/>
          <w:b w:val="0"/>
          <w:bCs/>
          <w:sz w:val="32"/>
          <w:szCs w:val="32"/>
        </w:rPr>
        <w:t>第四章 公共服务</w:t>
      </w:r>
      <w:bookmarkEnd w:id="261"/>
      <w:bookmarkEnd w:id="262"/>
      <w:bookmarkEnd w:id="263"/>
      <w:bookmarkEnd w:id="264"/>
      <w:bookmarkEnd w:id="265"/>
    </w:p>
    <w:p>
      <w:pPr>
        <w:spacing w:line="360" w:lineRule="exact"/>
        <w:ind w:firstLine="562" w:firstLineChars="200"/>
        <w:rPr>
          <w:rStyle w:val="15"/>
          <w:rFonts w:ascii="宋体" w:hAnsi="宋体" w:eastAsia="宋体" w:cs="宋体"/>
          <w:sz w:val="28"/>
          <w:szCs w:val="28"/>
        </w:rPr>
      </w:pPr>
      <w:bookmarkStart w:id="266" w:name="_Toc13669"/>
      <w:bookmarkStart w:id="267" w:name="_Toc12463"/>
      <w:bookmarkStart w:id="268" w:name="_Toc23940"/>
      <w:bookmarkStart w:id="269" w:name="_Toc21172"/>
      <w:bookmarkStart w:id="270" w:name="_Toc5618"/>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十条 【政企沟通】</w:t>
      </w:r>
    </w:p>
    <w:bookmarkEnd w:id="266"/>
    <w:bookmarkEnd w:id="267"/>
    <w:bookmarkEnd w:id="268"/>
    <w:bookmarkEnd w:id="269"/>
    <w:bookmarkEnd w:id="270"/>
    <w:p>
      <w:pPr>
        <w:spacing w:line="360" w:lineRule="exact"/>
        <w:ind w:firstLine="560"/>
        <w:rPr>
          <w:sz w:val="28"/>
          <w:szCs w:val="28"/>
        </w:rPr>
      </w:pPr>
      <w:r>
        <w:rPr>
          <w:rFonts w:hint="eastAsia"/>
          <w:sz w:val="28"/>
          <w:szCs w:val="28"/>
        </w:rPr>
        <w:t>各级人民政府及其有关部门应当建立常态化的政企沟通机制，充分尊重市场主体意愿，采取多种方式及时听取市场主体意见和诉求，为市场主体提供政策信息，协调解决市场主体的困难和问题。</w:t>
      </w:r>
    </w:p>
    <w:p>
      <w:pPr>
        <w:spacing w:line="360" w:lineRule="exact"/>
        <w:ind w:firstLine="560" w:firstLineChars="200"/>
        <w:rPr>
          <w:sz w:val="28"/>
          <w:szCs w:val="28"/>
        </w:rPr>
      </w:pPr>
      <w:r>
        <w:rPr>
          <w:rFonts w:hint="eastAsia"/>
          <w:sz w:val="28"/>
          <w:szCs w:val="28"/>
          <w:lang w:eastAsia="zh-CN"/>
        </w:rPr>
        <w:t>市、区（县）</w:t>
      </w:r>
      <w:r>
        <w:rPr>
          <w:rFonts w:hint="eastAsia"/>
          <w:sz w:val="28"/>
          <w:szCs w:val="28"/>
        </w:rPr>
        <w:t>人民政府及其有关部门应当建立健全</w:t>
      </w:r>
      <w:r>
        <w:rPr>
          <w:rFonts w:hint="eastAsia"/>
          <w:sz w:val="28"/>
          <w:szCs w:val="28"/>
          <w:lang w:eastAsia="zh-CN"/>
        </w:rPr>
        <w:t>上下</w:t>
      </w:r>
      <w:r>
        <w:rPr>
          <w:rFonts w:hint="eastAsia"/>
          <w:sz w:val="28"/>
          <w:szCs w:val="28"/>
        </w:rPr>
        <w:t>联动的企业服务机制，为市场主体办理政务服务事项提供免费的咨询、指导、协调服务。各</w:t>
      </w:r>
      <w:r>
        <w:rPr>
          <w:rFonts w:hint="eastAsia"/>
          <w:sz w:val="28"/>
          <w:szCs w:val="28"/>
          <w:lang w:eastAsia="zh-CN"/>
        </w:rPr>
        <w:t>区（县）</w:t>
      </w:r>
      <w:r>
        <w:rPr>
          <w:rFonts w:hint="eastAsia"/>
          <w:sz w:val="28"/>
          <w:szCs w:val="28"/>
        </w:rPr>
        <w:t>人民政府应当建立网格化企业服务模式，在乡镇、街道、园区及商务楼宇等设立企业服务专员，为协调解决企业诉求提供服务。</w:t>
      </w:r>
    </w:p>
    <w:p>
      <w:pPr>
        <w:spacing w:line="360" w:lineRule="exact"/>
        <w:ind w:firstLine="560" w:firstLineChars="200"/>
        <w:rPr>
          <w:rFonts w:hint="eastAsia"/>
          <w:sz w:val="28"/>
          <w:szCs w:val="28"/>
        </w:rPr>
      </w:pPr>
      <w:r>
        <w:rPr>
          <w:rFonts w:hint="eastAsia"/>
          <w:sz w:val="28"/>
          <w:szCs w:val="28"/>
          <w:highlight w:val="none"/>
        </w:rPr>
        <w:t>市</w:t>
      </w:r>
      <w:r>
        <w:rPr>
          <w:rFonts w:hint="eastAsia"/>
          <w:sz w:val="28"/>
          <w:szCs w:val="28"/>
          <w:highlight w:val="none"/>
          <w:lang w:eastAsia="zh-CN"/>
        </w:rPr>
        <w:t>工业和</w:t>
      </w:r>
      <w:r>
        <w:rPr>
          <w:rFonts w:hint="eastAsia"/>
          <w:sz w:val="28"/>
          <w:szCs w:val="28"/>
          <w:highlight w:val="none"/>
        </w:rPr>
        <w:t>信息化部门</w:t>
      </w:r>
      <w:r>
        <w:rPr>
          <w:rFonts w:hint="eastAsia"/>
          <w:sz w:val="28"/>
          <w:szCs w:val="28"/>
          <w:highlight w:val="none"/>
          <w:lang w:val="en-US" w:eastAsia="zh-CN"/>
        </w:rPr>
        <w:t>探索</w:t>
      </w:r>
      <w:r>
        <w:rPr>
          <w:rFonts w:hint="eastAsia"/>
          <w:sz w:val="28"/>
          <w:szCs w:val="28"/>
        </w:rPr>
        <w:t>开展全市企业服务体系建设，</w:t>
      </w:r>
      <w:r>
        <w:rPr>
          <w:rFonts w:hint="eastAsia"/>
          <w:sz w:val="28"/>
          <w:szCs w:val="28"/>
          <w:lang w:val="en-US" w:eastAsia="zh-CN"/>
        </w:rPr>
        <w:t>建立</w:t>
      </w:r>
      <w:r>
        <w:rPr>
          <w:rFonts w:hint="eastAsia"/>
          <w:sz w:val="28"/>
          <w:szCs w:val="28"/>
        </w:rPr>
        <w:t>企业</w:t>
      </w:r>
      <w:r>
        <w:rPr>
          <w:rFonts w:hint="eastAsia"/>
          <w:sz w:val="28"/>
          <w:szCs w:val="28"/>
          <w:lang w:eastAsia="zh-CN"/>
        </w:rPr>
        <w:t>诉求响应一站式</w:t>
      </w:r>
      <w:r>
        <w:rPr>
          <w:rFonts w:hint="eastAsia"/>
          <w:sz w:val="28"/>
          <w:szCs w:val="28"/>
        </w:rPr>
        <w:t>服务</w:t>
      </w:r>
      <w:r>
        <w:rPr>
          <w:rFonts w:hint="eastAsia"/>
          <w:sz w:val="28"/>
          <w:szCs w:val="28"/>
          <w:lang w:eastAsia="zh-CN"/>
        </w:rPr>
        <w:t>平台</w:t>
      </w:r>
      <w:r>
        <w:rPr>
          <w:rFonts w:hint="eastAsia"/>
          <w:sz w:val="28"/>
          <w:szCs w:val="28"/>
        </w:rPr>
        <w:t>，实现涉企政策统一发布、专业服务机构集中入驻、企业诉求集中受理。完善诉求快速处理反馈机制，一般问题五个工作日办结，疑难问题十五个工作日办结，无法办理的应当向企业说明情况。</w:t>
      </w:r>
    </w:p>
    <w:p>
      <w:pPr>
        <w:spacing w:line="360" w:lineRule="exact"/>
        <w:ind w:firstLine="560" w:firstLineChars="200"/>
        <w:rPr>
          <w:sz w:val="28"/>
          <w:szCs w:val="28"/>
        </w:rPr>
      </w:pPr>
      <w:r>
        <w:rPr>
          <w:rFonts w:hint="eastAsia"/>
          <w:sz w:val="28"/>
          <w:szCs w:val="28"/>
          <w:lang w:eastAsia="zh-CN"/>
        </w:rPr>
        <w:t>对于</w:t>
      </w:r>
      <w:r>
        <w:rPr>
          <w:rFonts w:hint="eastAsia"/>
          <w:sz w:val="28"/>
          <w:szCs w:val="28"/>
        </w:rPr>
        <w:t>市场主体通过12345服务热线电话、部门电话、政府网站、政务新媒体等</w:t>
      </w:r>
      <w:r>
        <w:rPr>
          <w:rFonts w:hint="eastAsia"/>
          <w:sz w:val="28"/>
          <w:szCs w:val="28"/>
          <w:highlight w:val="none"/>
          <w:lang w:eastAsia="zh-CN"/>
        </w:rPr>
        <w:t>渠道</w:t>
      </w:r>
      <w:r>
        <w:rPr>
          <w:rFonts w:hint="eastAsia"/>
          <w:sz w:val="28"/>
          <w:szCs w:val="28"/>
        </w:rPr>
        <w:t>提出</w:t>
      </w:r>
      <w:r>
        <w:rPr>
          <w:rFonts w:hint="eastAsia"/>
          <w:sz w:val="28"/>
          <w:szCs w:val="28"/>
          <w:lang w:eastAsia="zh-CN"/>
        </w:rPr>
        <w:t>的</w:t>
      </w:r>
      <w:r>
        <w:rPr>
          <w:rFonts w:hint="eastAsia"/>
          <w:sz w:val="28"/>
          <w:szCs w:val="28"/>
        </w:rPr>
        <w:t>有关营商环境的咨询和投诉举报</w:t>
      </w:r>
      <w:r>
        <w:rPr>
          <w:rFonts w:hint="eastAsia"/>
          <w:sz w:val="28"/>
          <w:szCs w:val="28"/>
          <w:lang w:eastAsia="zh-CN"/>
        </w:rPr>
        <w:t>，</w:t>
      </w:r>
      <w:r>
        <w:rPr>
          <w:rFonts w:hint="eastAsia"/>
          <w:sz w:val="28"/>
          <w:szCs w:val="28"/>
        </w:rPr>
        <w:t>有关政府部门、市政公用企事业单位应当按照规定的时限协调解决、答复；无法解决的，应当及时告知并说明情况。</w:t>
      </w:r>
    </w:p>
    <w:p>
      <w:pPr>
        <w:spacing w:line="360" w:lineRule="exact"/>
        <w:ind w:firstLine="562" w:firstLineChars="200"/>
        <w:rPr>
          <w:rStyle w:val="15"/>
          <w:rFonts w:ascii="宋体" w:hAnsi="宋体" w:eastAsia="宋体" w:cs="宋体"/>
          <w:sz w:val="28"/>
          <w:szCs w:val="28"/>
        </w:rPr>
      </w:pPr>
      <w:bookmarkStart w:id="271" w:name="_Toc3988"/>
      <w:bookmarkStart w:id="272" w:name="_Toc27841"/>
      <w:bookmarkStart w:id="273" w:name="_Toc16178"/>
      <w:bookmarkStart w:id="274" w:name="_Toc6336"/>
      <w:bookmarkStart w:id="275" w:name="_Toc28073"/>
      <w:r>
        <w:rPr>
          <w:rStyle w:val="15"/>
          <w:rFonts w:hint="eastAsia" w:ascii="宋体" w:hAnsi="宋体" w:eastAsia="宋体" w:cs="宋体"/>
          <w:sz w:val="28"/>
          <w:szCs w:val="28"/>
        </w:rPr>
        <w:t>第五十</w:t>
      </w:r>
      <w:r>
        <w:rPr>
          <w:rStyle w:val="15"/>
          <w:rFonts w:hint="eastAsia" w:ascii="宋体" w:hAnsi="宋体" w:eastAsia="宋体" w:cs="宋体"/>
          <w:sz w:val="28"/>
          <w:szCs w:val="28"/>
          <w:lang w:eastAsia="zh-CN"/>
        </w:rPr>
        <w:t>一</w:t>
      </w:r>
      <w:r>
        <w:rPr>
          <w:rStyle w:val="15"/>
          <w:rFonts w:hint="eastAsia" w:ascii="宋体" w:hAnsi="宋体" w:eastAsia="宋体" w:cs="宋体"/>
          <w:sz w:val="28"/>
          <w:szCs w:val="28"/>
        </w:rPr>
        <w:t>条 【</w:t>
      </w:r>
      <w:r>
        <w:rPr>
          <w:rStyle w:val="15"/>
          <w:rFonts w:hint="eastAsia" w:ascii="宋体" w:hAnsi="宋体" w:eastAsia="宋体" w:cs="宋体"/>
          <w:sz w:val="28"/>
          <w:szCs w:val="28"/>
          <w:lang w:eastAsia="zh-CN"/>
        </w:rPr>
        <w:t>公用企事业单位</w:t>
      </w:r>
      <w:r>
        <w:rPr>
          <w:rStyle w:val="15"/>
          <w:rFonts w:hint="eastAsia" w:ascii="宋体" w:hAnsi="宋体" w:eastAsia="宋体" w:cs="宋体"/>
          <w:sz w:val="28"/>
          <w:szCs w:val="28"/>
        </w:rPr>
        <w:t>服务】</w:t>
      </w:r>
    </w:p>
    <w:bookmarkEnd w:id="271"/>
    <w:bookmarkEnd w:id="272"/>
    <w:bookmarkEnd w:id="273"/>
    <w:bookmarkEnd w:id="274"/>
    <w:bookmarkEnd w:id="275"/>
    <w:p>
      <w:pPr>
        <w:spacing w:line="360" w:lineRule="exact"/>
        <w:ind w:firstLine="560" w:firstLineChars="200"/>
        <w:rPr>
          <w:sz w:val="28"/>
          <w:szCs w:val="28"/>
        </w:rPr>
      </w:pPr>
      <w:r>
        <w:rPr>
          <w:rFonts w:hint="eastAsia"/>
          <w:sz w:val="28"/>
          <w:szCs w:val="28"/>
        </w:rPr>
        <w:t>本市鼓励供水、供电、供气、通信网络</w:t>
      </w:r>
      <w:r>
        <w:rPr>
          <w:rFonts w:hint="eastAsia"/>
          <w:sz w:val="28"/>
          <w:szCs w:val="28"/>
          <w:lang w:eastAsia="zh-CN"/>
        </w:rPr>
        <w:t>、交通、邮政、</w:t>
      </w:r>
      <w:r>
        <w:rPr>
          <w:rFonts w:hint="eastAsia"/>
          <w:sz w:val="28"/>
          <w:szCs w:val="28"/>
          <w:lang w:val="en-US" w:eastAsia="zh-CN"/>
        </w:rPr>
        <w:t>广</w:t>
      </w:r>
      <w:r>
        <w:rPr>
          <w:rFonts w:hint="eastAsia"/>
          <w:sz w:val="28"/>
          <w:szCs w:val="28"/>
        </w:rPr>
        <w:t>播电视等公用企事业单位为市场主体提供全程免费代办服务。鼓励公用企事业单位全面实施网上办理、移动支付等便利业务，优化流程、减少申报材料和压缩办理时限。</w:t>
      </w:r>
    </w:p>
    <w:p>
      <w:pPr>
        <w:spacing w:line="360" w:lineRule="exact"/>
        <w:ind w:firstLine="560" w:firstLineChars="200"/>
        <w:rPr>
          <w:sz w:val="28"/>
          <w:szCs w:val="28"/>
        </w:rPr>
      </w:pPr>
      <w:r>
        <w:rPr>
          <w:rFonts w:hint="eastAsia"/>
          <w:sz w:val="28"/>
          <w:szCs w:val="28"/>
        </w:rPr>
        <w:t>公用企事业单位应当在经营场所的显著位置和官方网站向社会公开业务服务范围、标准、收费、流程、完成时限等信息。推广进行网上办理，</w:t>
      </w:r>
      <w:r>
        <w:rPr>
          <w:rFonts w:hint="eastAsia"/>
          <w:sz w:val="28"/>
          <w:szCs w:val="28"/>
          <w:lang w:eastAsia="zh-CN"/>
        </w:rPr>
        <w:t>简化办理</w:t>
      </w:r>
      <w:r>
        <w:rPr>
          <w:rFonts w:hint="eastAsia"/>
          <w:sz w:val="28"/>
          <w:szCs w:val="28"/>
        </w:rPr>
        <w:t>流程、压减申报材料和办理时限，减少收费环节，降低</w:t>
      </w:r>
      <w:r>
        <w:rPr>
          <w:rFonts w:hint="eastAsia"/>
          <w:sz w:val="28"/>
          <w:szCs w:val="28"/>
          <w:highlight w:val="none"/>
        </w:rPr>
        <w:t>报装</w:t>
      </w:r>
      <w:r>
        <w:rPr>
          <w:rFonts w:hint="eastAsia"/>
          <w:sz w:val="28"/>
          <w:szCs w:val="28"/>
        </w:rPr>
        <w:t>成本，并提供相关延伸服务和一站式服务。</w:t>
      </w:r>
    </w:p>
    <w:p>
      <w:pPr>
        <w:spacing w:line="360" w:lineRule="exact"/>
        <w:ind w:firstLine="560" w:firstLineChars="200"/>
        <w:rPr>
          <w:sz w:val="28"/>
          <w:szCs w:val="28"/>
        </w:rPr>
      </w:pPr>
      <w:r>
        <w:rPr>
          <w:rFonts w:hint="eastAsia"/>
          <w:sz w:val="28"/>
          <w:szCs w:val="28"/>
        </w:rPr>
        <w:t>公用企事业单位同步申请相关市政接入的，自然资源、</w:t>
      </w:r>
      <w:r>
        <w:rPr>
          <w:rFonts w:hint="eastAsia"/>
          <w:sz w:val="28"/>
          <w:szCs w:val="28"/>
          <w:lang w:eastAsia="zh-CN"/>
        </w:rPr>
        <w:t>城管</w:t>
      </w:r>
      <w:r>
        <w:rPr>
          <w:rFonts w:hint="eastAsia"/>
          <w:sz w:val="28"/>
          <w:szCs w:val="28"/>
        </w:rPr>
        <w:t>、</w:t>
      </w:r>
      <w:r>
        <w:rPr>
          <w:rFonts w:hint="eastAsia"/>
          <w:sz w:val="28"/>
          <w:szCs w:val="28"/>
          <w:highlight w:val="none"/>
          <w:lang w:eastAsia="zh-CN"/>
        </w:rPr>
        <w:t>农业</w:t>
      </w:r>
      <w:r>
        <w:rPr>
          <w:rFonts w:hint="eastAsia"/>
          <w:sz w:val="28"/>
          <w:szCs w:val="28"/>
          <w:lang w:eastAsia="zh-CN"/>
        </w:rPr>
        <w:t>农村、</w:t>
      </w:r>
      <w:r>
        <w:rPr>
          <w:rFonts w:hint="eastAsia"/>
          <w:sz w:val="28"/>
          <w:szCs w:val="28"/>
        </w:rPr>
        <w:t>交通运输等部门应当予以支持并提供便利。公用企事业单位不得将工程规划审批和施工审批作为办理水、电、气的前置条件；不得设置与技术规范无关等非必要前置条件。</w:t>
      </w:r>
    </w:p>
    <w:p>
      <w:pPr>
        <w:spacing w:line="360" w:lineRule="exact"/>
        <w:ind w:firstLine="560" w:firstLineChars="200"/>
        <w:rPr>
          <w:sz w:val="28"/>
          <w:szCs w:val="28"/>
        </w:rPr>
      </w:pPr>
      <w:r>
        <w:rPr>
          <w:rFonts w:hint="eastAsia"/>
          <w:sz w:val="28"/>
          <w:szCs w:val="28"/>
        </w:rPr>
        <w:t>市场主体</w:t>
      </w:r>
      <w:r>
        <w:rPr>
          <w:rFonts w:hint="eastAsia"/>
          <w:sz w:val="28"/>
          <w:szCs w:val="28"/>
          <w:highlight w:val="none"/>
        </w:rPr>
        <w:t>报装</w:t>
      </w:r>
      <w:r>
        <w:rPr>
          <w:rFonts w:hint="eastAsia"/>
          <w:sz w:val="28"/>
          <w:szCs w:val="28"/>
        </w:rPr>
        <w:t>水、电、气需要在红线外新增配套设施建设的，由供水、供电、供气、排水等公用事业服务单位负责投资建设。小型市政公共服务接入工程涉及占用挖掘道路、占用城市绿地、伐移城市树木等审批事项的，实行告知承诺制。</w:t>
      </w:r>
    </w:p>
    <w:p>
      <w:pPr>
        <w:spacing w:line="360" w:lineRule="exact"/>
        <w:ind w:firstLine="560" w:firstLineChars="200"/>
        <w:rPr>
          <w:rFonts w:hint="eastAsia"/>
          <w:sz w:val="28"/>
          <w:szCs w:val="28"/>
        </w:rPr>
      </w:pPr>
      <w:r>
        <w:rPr>
          <w:rFonts w:hint="eastAsia"/>
          <w:sz w:val="28"/>
          <w:szCs w:val="28"/>
        </w:rPr>
        <w:t>公用事业服务单位应当保障</w:t>
      </w:r>
      <w:r>
        <w:rPr>
          <w:rFonts w:hint="eastAsia"/>
          <w:sz w:val="28"/>
          <w:szCs w:val="28"/>
          <w:lang w:eastAsia="zh-CN"/>
        </w:rPr>
        <w:t>服务</w:t>
      </w:r>
      <w:r>
        <w:rPr>
          <w:rFonts w:hint="eastAsia"/>
          <w:sz w:val="28"/>
          <w:szCs w:val="28"/>
        </w:rPr>
        <w:t>设施正常、稳定运行，确保供电</w:t>
      </w:r>
      <w:r>
        <w:rPr>
          <w:rFonts w:hint="eastAsia"/>
          <w:sz w:val="28"/>
          <w:szCs w:val="28"/>
          <w:lang w:eastAsia="zh-CN"/>
        </w:rPr>
        <w:t>、供水、供气等</w:t>
      </w:r>
      <w:r>
        <w:rPr>
          <w:rFonts w:hint="eastAsia"/>
          <w:sz w:val="28"/>
          <w:szCs w:val="28"/>
        </w:rPr>
        <w:t>质量符合国家规定。非因不可抗力等客观原因，公用企事业单位应当保证公共服务的稳定供应。</w:t>
      </w:r>
    </w:p>
    <w:p>
      <w:pPr>
        <w:spacing w:line="360" w:lineRule="exact"/>
        <w:ind w:firstLine="560" w:firstLineChars="200"/>
        <w:rPr>
          <w:sz w:val="28"/>
          <w:szCs w:val="28"/>
        </w:rPr>
      </w:pPr>
      <w:r>
        <w:rPr>
          <w:rFonts w:hint="eastAsia"/>
          <w:sz w:val="28"/>
          <w:szCs w:val="28"/>
          <w:lang w:eastAsia="zh-CN"/>
        </w:rPr>
        <w:t>市电力主管</w:t>
      </w:r>
      <w:r>
        <w:rPr>
          <w:rFonts w:hint="eastAsia"/>
          <w:sz w:val="28"/>
          <w:szCs w:val="28"/>
        </w:rPr>
        <w:t>部门应当加强对供电公用事业服务单位年供电可靠率的监督，建立考核机制，并根据考核情况予以奖惩。</w:t>
      </w:r>
    </w:p>
    <w:p>
      <w:pPr>
        <w:spacing w:line="360" w:lineRule="exact"/>
        <w:ind w:firstLine="562" w:firstLineChars="200"/>
        <w:rPr>
          <w:rStyle w:val="15"/>
          <w:rFonts w:hint="eastAsia" w:ascii="宋体" w:hAnsi="宋体" w:eastAsia="宋体" w:cs="宋体"/>
          <w:sz w:val="28"/>
          <w:szCs w:val="28"/>
        </w:rPr>
      </w:pPr>
      <w:bookmarkStart w:id="276" w:name="_Toc23754"/>
      <w:bookmarkStart w:id="277" w:name="_Toc5137"/>
      <w:bookmarkStart w:id="278" w:name="_Toc11072"/>
      <w:bookmarkStart w:id="279" w:name="_Toc6854"/>
      <w:bookmarkStart w:id="280" w:name="_Toc18143"/>
      <w:r>
        <w:rPr>
          <w:rStyle w:val="15"/>
          <w:rFonts w:hint="eastAsia" w:ascii="宋体" w:hAnsi="宋体" w:eastAsia="宋体" w:cs="宋体"/>
          <w:sz w:val="28"/>
          <w:szCs w:val="28"/>
        </w:rPr>
        <w:t>第五十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【政府和公用</w:t>
      </w:r>
      <w:r>
        <w:rPr>
          <w:rStyle w:val="15"/>
          <w:rFonts w:hint="eastAsia" w:ascii="宋体" w:hAnsi="宋体" w:eastAsia="宋体" w:cs="宋体"/>
          <w:sz w:val="28"/>
          <w:szCs w:val="28"/>
          <w:lang w:eastAsia="zh-CN"/>
        </w:rPr>
        <w:t>企</w:t>
      </w:r>
      <w:r>
        <w:rPr>
          <w:rStyle w:val="15"/>
          <w:rFonts w:hint="eastAsia" w:ascii="宋体" w:hAnsi="宋体" w:eastAsia="宋体" w:cs="宋体"/>
          <w:sz w:val="28"/>
          <w:szCs w:val="28"/>
        </w:rPr>
        <w:t>事业单位协调联动机制】</w:t>
      </w:r>
    </w:p>
    <w:bookmarkEnd w:id="276"/>
    <w:bookmarkEnd w:id="277"/>
    <w:bookmarkEnd w:id="278"/>
    <w:bookmarkEnd w:id="279"/>
    <w:bookmarkEnd w:id="280"/>
    <w:p>
      <w:pPr>
        <w:spacing w:line="360" w:lineRule="exact"/>
        <w:ind w:firstLine="560" w:firstLineChars="200"/>
        <w:rPr>
          <w:rFonts w:hint="eastAsia"/>
          <w:sz w:val="28"/>
          <w:szCs w:val="28"/>
          <w:lang w:val="en-US" w:eastAsia="zh-CN"/>
        </w:rPr>
      </w:pPr>
      <w:r>
        <w:rPr>
          <w:rFonts w:hint="eastAsia"/>
          <w:sz w:val="28"/>
          <w:szCs w:val="28"/>
          <w:lang w:val="en-US" w:eastAsia="zh-CN"/>
        </w:rPr>
        <w:t>市、区（县）人民政府要建立部门主导、公用企事业单位协同配合的政府部门和公用企事业单位协调联动机制，要统筹带动公用企事业单位提升公共服务质效，强化对公用企事业单位服务效能、服务质量监管，</w:t>
      </w:r>
      <w:r>
        <w:rPr>
          <w:rFonts w:hint="eastAsia"/>
          <w:sz w:val="28"/>
          <w:szCs w:val="28"/>
          <w:highlight w:val="none"/>
          <w:lang w:val="en-US" w:eastAsia="zh-CN"/>
        </w:rPr>
        <w:t>更好服务</w:t>
      </w:r>
      <w:r>
        <w:rPr>
          <w:rFonts w:hint="eastAsia"/>
          <w:sz w:val="28"/>
          <w:szCs w:val="28"/>
          <w:lang w:val="en-US" w:eastAsia="zh-CN"/>
        </w:rPr>
        <w:t>市场主体。</w:t>
      </w:r>
    </w:p>
    <w:p>
      <w:pPr>
        <w:spacing w:line="360" w:lineRule="exact"/>
        <w:ind w:firstLine="560" w:firstLineChars="200"/>
        <w:rPr>
          <w:rFonts w:hint="eastAsia"/>
          <w:sz w:val="28"/>
          <w:szCs w:val="28"/>
        </w:rPr>
      </w:pPr>
      <w:r>
        <w:rPr>
          <w:rFonts w:hint="eastAsia"/>
          <w:sz w:val="28"/>
          <w:szCs w:val="28"/>
          <w:lang w:val="en-US" w:eastAsia="zh-CN"/>
        </w:rPr>
        <w:t>公用企事业单位要积极配合政府部门出台的各项改革措施和规范要求，主动积极配合政府部门优化营商环境工作，牢固树立大局意识、责任意识和服务意识，不</w:t>
      </w:r>
      <w:r>
        <w:rPr>
          <w:rFonts w:hint="eastAsia"/>
          <w:sz w:val="28"/>
          <w:szCs w:val="28"/>
        </w:rPr>
        <w:t>断提高服务质量，规范服务行为，接受全社会</w:t>
      </w:r>
      <w:r>
        <w:rPr>
          <w:rFonts w:hint="eastAsia"/>
          <w:sz w:val="28"/>
          <w:szCs w:val="28"/>
          <w:lang w:eastAsia="zh-CN"/>
        </w:rPr>
        <w:t>的</w:t>
      </w:r>
      <w:r>
        <w:rPr>
          <w:rFonts w:hint="eastAsia"/>
          <w:sz w:val="28"/>
          <w:szCs w:val="28"/>
        </w:rPr>
        <w:t>监督</w:t>
      </w:r>
      <w:r>
        <w:rPr>
          <w:rFonts w:hint="eastAsia"/>
          <w:sz w:val="28"/>
          <w:szCs w:val="28"/>
          <w:lang w:eastAsia="zh-CN"/>
        </w:rPr>
        <w:t>。</w:t>
      </w:r>
    </w:p>
    <w:p>
      <w:pPr>
        <w:spacing w:line="360" w:lineRule="exact"/>
        <w:ind w:firstLine="562" w:firstLineChars="200"/>
        <w:rPr>
          <w:rStyle w:val="15"/>
          <w:rFonts w:ascii="宋体" w:hAnsi="宋体" w:eastAsia="宋体" w:cs="宋体"/>
          <w:sz w:val="28"/>
          <w:szCs w:val="28"/>
        </w:rPr>
      </w:pPr>
      <w:bookmarkStart w:id="281" w:name="_Toc8789"/>
      <w:bookmarkStart w:id="282" w:name="_Toc4913"/>
      <w:bookmarkStart w:id="283" w:name="_Toc14975"/>
      <w:bookmarkStart w:id="284" w:name="_Toc16177"/>
      <w:bookmarkStart w:id="285" w:name="_Toc1430"/>
      <w:r>
        <w:rPr>
          <w:rStyle w:val="15"/>
          <w:rFonts w:hint="eastAsia" w:ascii="宋体" w:hAnsi="宋体" w:eastAsia="宋体" w:cs="宋体"/>
          <w:sz w:val="28"/>
          <w:szCs w:val="28"/>
        </w:rPr>
        <w:t>第五十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 【金融机构服务】</w:t>
      </w:r>
    </w:p>
    <w:bookmarkEnd w:id="281"/>
    <w:bookmarkEnd w:id="282"/>
    <w:bookmarkEnd w:id="283"/>
    <w:bookmarkEnd w:id="284"/>
    <w:bookmarkEnd w:id="285"/>
    <w:p>
      <w:pPr>
        <w:spacing w:line="360" w:lineRule="exact"/>
        <w:ind w:firstLine="560" w:firstLineChars="200"/>
        <w:rPr>
          <w:sz w:val="28"/>
          <w:szCs w:val="28"/>
        </w:rPr>
      </w:pPr>
      <w:r>
        <w:rPr>
          <w:rFonts w:hint="eastAsia"/>
          <w:sz w:val="28"/>
          <w:szCs w:val="28"/>
          <w:lang w:eastAsia="zh-CN"/>
        </w:rPr>
        <w:t>本市</w:t>
      </w:r>
      <w:r>
        <w:rPr>
          <w:rFonts w:hint="eastAsia"/>
          <w:sz w:val="28"/>
          <w:szCs w:val="28"/>
        </w:rPr>
        <w:t>支持金融机构拓展金融市场</w:t>
      </w:r>
      <w:r>
        <w:rPr>
          <w:rFonts w:hint="eastAsia"/>
          <w:sz w:val="28"/>
          <w:szCs w:val="28"/>
          <w:highlight w:val="none"/>
        </w:rPr>
        <w:t>新功能</w:t>
      </w:r>
      <w:r>
        <w:rPr>
          <w:rFonts w:hint="eastAsia"/>
          <w:sz w:val="28"/>
          <w:szCs w:val="28"/>
        </w:rPr>
        <w:t>，完善创业创新金融服务平台，为市场主体提供综合金融服务。支持商业银行探索符合市场主体创新创业、生产经营需求的授信准入、风险评级、审查批准和贷后管理制度模式，提高市场主体信贷管理水平。支持小额贷款公司、融资担保公司、融资租赁公司、商业保理公司等地方金融机构按照相关规定开发特色金融产品和服务，为市场主体提供融资便利。鼓励政策性融资担保、再担保机构与商业性融资担保机构合作开展中小微企业融资担保业务。</w:t>
      </w:r>
    </w:p>
    <w:p>
      <w:pPr>
        <w:spacing w:line="360" w:lineRule="exact"/>
        <w:ind w:firstLine="560" w:firstLineChars="200"/>
        <w:rPr>
          <w:sz w:val="28"/>
          <w:szCs w:val="28"/>
        </w:rPr>
      </w:pPr>
      <w:r>
        <w:rPr>
          <w:rFonts w:hint="eastAsia"/>
          <w:sz w:val="28"/>
          <w:szCs w:val="28"/>
        </w:rPr>
        <w:t>金融机构应当按照国家相关规定规范收费行为，提高服务收费透明度，不得违规向服务对象收取不合理费用或者变相收费。</w:t>
      </w:r>
    </w:p>
    <w:p>
      <w:pPr>
        <w:spacing w:line="360" w:lineRule="exact"/>
        <w:ind w:firstLine="560" w:firstLineChars="200"/>
        <w:rPr>
          <w:sz w:val="28"/>
          <w:szCs w:val="28"/>
        </w:rPr>
      </w:pPr>
      <w:r>
        <w:rPr>
          <w:rFonts w:hint="eastAsia"/>
          <w:sz w:val="28"/>
          <w:szCs w:val="28"/>
        </w:rPr>
        <w:t>商业银行等金融机构开展贷款业务时不得实施下列行为：</w:t>
      </w:r>
    </w:p>
    <w:p>
      <w:pPr>
        <w:spacing w:line="360" w:lineRule="exact"/>
        <w:ind w:firstLine="560" w:firstLineChars="200"/>
        <w:rPr>
          <w:sz w:val="28"/>
          <w:szCs w:val="28"/>
        </w:rPr>
      </w:pPr>
      <w:r>
        <w:rPr>
          <w:rFonts w:hint="eastAsia"/>
          <w:sz w:val="28"/>
          <w:szCs w:val="28"/>
        </w:rPr>
        <w:t>（一）设置不合理的授信条件；</w:t>
      </w:r>
    </w:p>
    <w:p>
      <w:pPr>
        <w:spacing w:line="360" w:lineRule="exact"/>
        <w:ind w:firstLine="560" w:firstLineChars="200"/>
        <w:rPr>
          <w:sz w:val="28"/>
          <w:szCs w:val="28"/>
        </w:rPr>
      </w:pPr>
      <w:r>
        <w:rPr>
          <w:rFonts w:hint="eastAsia"/>
          <w:sz w:val="28"/>
          <w:szCs w:val="28"/>
        </w:rPr>
        <w:t>（二）针对民营企业、中小微企业设置歧视性门槛；</w:t>
      </w:r>
    </w:p>
    <w:p>
      <w:pPr>
        <w:spacing w:line="360" w:lineRule="exact"/>
        <w:ind w:firstLine="560" w:firstLineChars="200"/>
        <w:rPr>
          <w:sz w:val="28"/>
          <w:szCs w:val="28"/>
        </w:rPr>
      </w:pPr>
      <w:r>
        <w:rPr>
          <w:rFonts w:hint="eastAsia"/>
          <w:sz w:val="28"/>
          <w:szCs w:val="28"/>
        </w:rPr>
        <w:t>（三）强制约定将企业的部分贷款转为存款；</w:t>
      </w:r>
    </w:p>
    <w:p>
      <w:pPr>
        <w:spacing w:line="360" w:lineRule="exact"/>
        <w:ind w:firstLine="560" w:firstLineChars="200"/>
        <w:rPr>
          <w:sz w:val="28"/>
          <w:szCs w:val="28"/>
        </w:rPr>
      </w:pPr>
      <w:r>
        <w:rPr>
          <w:rFonts w:hint="eastAsia"/>
          <w:sz w:val="28"/>
          <w:szCs w:val="28"/>
        </w:rPr>
        <w:t>（四）以存款作为审批和发放贷款的前提条件。</w:t>
      </w:r>
    </w:p>
    <w:p>
      <w:pPr>
        <w:spacing w:line="360" w:lineRule="exact"/>
        <w:ind w:firstLine="560" w:firstLineChars="200"/>
        <w:rPr>
          <w:sz w:val="28"/>
          <w:szCs w:val="28"/>
        </w:rPr>
      </w:pPr>
      <w:r>
        <w:rPr>
          <w:rFonts w:hint="eastAsia"/>
          <w:sz w:val="28"/>
          <w:szCs w:val="28"/>
        </w:rPr>
        <w:t>市</w:t>
      </w:r>
      <w:r>
        <w:rPr>
          <w:rFonts w:hint="eastAsia"/>
          <w:sz w:val="28"/>
          <w:szCs w:val="28"/>
          <w:lang w:eastAsia="zh-CN"/>
        </w:rPr>
        <w:t>金融工作</w:t>
      </w:r>
      <w:r>
        <w:rPr>
          <w:rFonts w:hint="eastAsia"/>
          <w:sz w:val="28"/>
          <w:szCs w:val="28"/>
        </w:rPr>
        <w:t>部门应当加强对金融机构在金融服务方面的指导和监督，完善资本监管、行为监管、功能监管方式，提高金融服务水平。</w:t>
      </w:r>
    </w:p>
    <w:p>
      <w:pPr>
        <w:spacing w:line="360" w:lineRule="exact"/>
        <w:ind w:firstLine="562" w:firstLineChars="200"/>
        <w:rPr>
          <w:rStyle w:val="15"/>
          <w:rFonts w:ascii="宋体" w:hAnsi="宋体" w:eastAsia="宋体" w:cs="宋体"/>
          <w:sz w:val="28"/>
          <w:szCs w:val="28"/>
        </w:rPr>
      </w:pPr>
      <w:bookmarkStart w:id="286" w:name="_Toc1962"/>
      <w:bookmarkStart w:id="287" w:name="_Toc32500"/>
      <w:bookmarkStart w:id="288" w:name="_Toc23203"/>
      <w:bookmarkStart w:id="289" w:name="_Toc17737"/>
      <w:bookmarkStart w:id="290" w:name="_Toc17946"/>
      <w:r>
        <w:rPr>
          <w:rStyle w:val="15"/>
          <w:rFonts w:hint="eastAsia" w:ascii="宋体" w:hAnsi="宋体" w:eastAsia="宋体" w:cs="宋体"/>
          <w:sz w:val="28"/>
          <w:szCs w:val="28"/>
        </w:rPr>
        <w:t>第五十</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条 【动产登记】</w:t>
      </w:r>
    </w:p>
    <w:bookmarkEnd w:id="286"/>
    <w:bookmarkEnd w:id="287"/>
    <w:bookmarkEnd w:id="288"/>
    <w:bookmarkEnd w:id="289"/>
    <w:bookmarkEnd w:id="290"/>
    <w:p>
      <w:pPr>
        <w:spacing w:line="360" w:lineRule="exact"/>
        <w:ind w:firstLine="560" w:firstLineChars="200"/>
        <w:rPr>
          <w:sz w:val="28"/>
          <w:szCs w:val="28"/>
        </w:rPr>
      </w:pPr>
      <w:r>
        <w:rPr>
          <w:rFonts w:hint="eastAsia"/>
          <w:sz w:val="28"/>
          <w:szCs w:val="28"/>
          <w:lang w:eastAsia="zh-CN"/>
        </w:rPr>
        <w:t>本市</w:t>
      </w:r>
      <w:r>
        <w:rPr>
          <w:rFonts w:hint="eastAsia"/>
          <w:sz w:val="28"/>
          <w:szCs w:val="28"/>
        </w:rPr>
        <w:t>实行统一的动产和权利担保登记制度，推动建立担保物处置平台，实现市场主体在统一平台上办理动产和权利担保登记。市场主体办理动产担保登记，可以对担保物进行概括性描述。</w:t>
      </w:r>
    </w:p>
    <w:p>
      <w:pPr>
        <w:spacing w:line="360" w:lineRule="exact"/>
        <w:ind w:firstLine="560" w:firstLineChars="200"/>
        <w:rPr>
          <w:sz w:val="28"/>
          <w:szCs w:val="28"/>
        </w:rPr>
      </w:pPr>
      <w:r>
        <w:rPr>
          <w:rFonts w:hint="eastAsia"/>
          <w:sz w:val="28"/>
          <w:szCs w:val="28"/>
        </w:rPr>
        <w:t>动产担保双方当事人可以约定担保权益涵盖担保物本身及其未来的产品、收益、替代品等资产。</w:t>
      </w:r>
    </w:p>
    <w:p>
      <w:pPr>
        <w:spacing w:line="360" w:lineRule="exact"/>
        <w:ind w:firstLine="562" w:firstLineChars="200"/>
        <w:rPr>
          <w:rStyle w:val="15"/>
          <w:rFonts w:ascii="宋体" w:hAnsi="宋体" w:eastAsia="宋体" w:cs="宋体"/>
          <w:sz w:val="28"/>
          <w:szCs w:val="28"/>
        </w:rPr>
      </w:pPr>
      <w:bookmarkStart w:id="291" w:name="_Toc8614"/>
      <w:bookmarkStart w:id="292" w:name="_Toc26543"/>
      <w:bookmarkStart w:id="293" w:name="_Toc18434"/>
      <w:bookmarkStart w:id="294" w:name="_Toc30780"/>
      <w:bookmarkStart w:id="295" w:name="_Toc20293"/>
      <w:r>
        <w:rPr>
          <w:rStyle w:val="15"/>
          <w:rFonts w:hint="eastAsia" w:ascii="宋体" w:hAnsi="宋体" w:eastAsia="宋体" w:cs="宋体"/>
          <w:sz w:val="28"/>
          <w:szCs w:val="28"/>
        </w:rPr>
        <w:t>第五十</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条 【融资担保基金支持】</w:t>
      </w:r>
    </w:p>
    <w:bookmarkEnd w:id="291"/>
    <w:bookmarkEnd w:id="292"/>
    <w:bookmarkEnd w:id="293"/>
    <w:bookmarkEnd w:id="294"/>
    <w:bookmarkEnd w:id="295"/>
    <w:p>
      <w:pPr>
        <w:spacing w:line="360" w:lineRule="exact"/>
        <w:ind w:firstLine="560" w:firstLineChars="200"/>
        <w:rPr>
          <w:rFonts w:hint="eastAsia"/>
          <w:sz w:val="28"/>
          <w:szCs w:val="28"/>
        </w:rPr>
      </w:pPr>
      <w:r>
        <w:rPr>
          <w:rFonts w:hint="eastAsia"/>
          <w:sz w:val="28"/>
          <w:szCs w:val="28"/>
          <w:lang w:eastAsia="zh-CN"/>
        </w:rPr>
        <w:t>市人民政府应当</w:t>
      </w:r>
      <w:r>
        <w:rPr>
          <w:rFonts w:hint="eastAsia"/>
          <w:sz w:val="28"/>
          <w:szCs w:val="28"/>
        </w:rPr>
        <w:t>健全地方财政支持市场主体发展机制，建立健全融资担保体系，建立信贷风险补偿和奖励机制</w:t>
      </w:r>
      <w:r>
        <w:rPr>
          <w:rFonts w:hint="eastAsia"/>
          <w:sz w:val="28"/>
          <w:szCs w:val="28"/>
          <w:lang w:eastAsia="zh-CN"/>
        </w:rPr>
        <w:t>，</w:t>
      </w:r>
      <w:r>
        <w:rPr>
          <w:rFonts w:hint="eastAsia"/>
          <w:sz w:val="28"/>
          <w:szCs w:val="28"/>
        </w:rPr>
        <w:t>采用</w:t>
      </w:r>
      <w:r>
        <w:rPr>
          <w:rFonts w:hint="eastAsia"/>
          <w:sz w:val="28"/>
          <w:szCs w:val="28"/>
          <w:lang w:eastAsia="zh-CN"/>
        </w:rPr>
        <w:t>信贷</w:t>
      </w:r>
      <w:r>
        <w:rPr>
          <w:rFonts w:hint="eastAsia"/>
          <w:sz w:val="28"/>
          <w:szCs w:val="28"/>
        </w:rPr>
        <w:t>风险补偿、融资担保</w:t>
      </w:r>
      <w:r>
        <w:rPr>
          <w:rFonts w:hint="eastAsia"/>
          <w:sz w:val="28"/>
          <w:szCs w:val="28"/>
          <w:lang w:eastAsia="zh-CN"/>
        </w:rPr>
        <w:t>、</w:t>
      </w:r>
      <w:r>
        <w:rPr>
          <w:rFonts w:hint="eastAsia"/>
          <w:sz w:val="28"/>
          <w:szCs w:val="28"/>
        </w:rPr>
        <w:t>风险分担等方式加强对中小微企业融资支持。</w:t>
      </w:r>
    </w:p>
    <w:p>
      <w:pPr>
        <w:spacing w:line="360" w:lineRule="exact"/>
        <w:ind w:firstLine="560" w:firstLineChars="200"/>
        <w:rPr>
          <w:sz w:val="28"/>
          <w:szCs w:val="28"/>
        </w:rPr>
      </w:pPr>
      <w:r>
        <w:rPr>
          <w:rFonts w:hint="eastAsia"/>
          <w:sz w:val="28"/>
          <w:szCs w:val="28"/>
          <w:lang w:eastAsia="zh-CN"/>
        </w:rPr>
        <w:t>本市</w:t>
      </w:r>
      <w:r>
        <w:rPr>
          <w:rFonts w:hint="eastAsia"/>
          <w:sz w:val="28"/>
          <w:szCs w:val="28"/>
        </w:rPr>
        <w:t>设立中小微企业政策性融资担保基金，为中小微企业融资提供增信服务。</w:t>
      </w:r>
      <w:r>
        <w:rPr>
          <w:rFonts w:hint="eastAsia"/>
          <w:sz w:val="28"/>
          <w:szCs w:val="28"/>
          <w:lang w:eastAsia="zh-CN"/>
        </w:rPr>
        <w:t>推动</w:t>
      </w:r>
      <w:r>
        <w:rPr>
          <w:rFonts w:hint="eastAsia"/>
          <w:sz w:val="28"/>
          <w:szCs w:val="28"/>
        </w:rPr>
        <w:t>建立知识产权质押投融资风险补偿机制，为符合条件的知识产权质押投融资失败项目提供一定比例的补偿。</w:t>
      </w:r>
    </w:p>
    <w:p>
      <w:pPr>
        <w:spacing w:line="360" w:lineRule="exact"/>
        <w:ind w:firstLine="560" w:firstLineChars="200"/>
        <w:rPr>
          <w:sz w:val="28"/>
          <w:szCs w:val="28"/>
        </w:rPr>
      </w:pPr>
      <w:r>
        <w:rPr>
          <w:rFonts w:hint="eastAsia"/>
          <w:sz w:val="28"/>
          <w:szCs w:val="28"/>
        </w:rPr>
        <w:t>本市推进公共数据开放及大数据普惠金融应用，依法与金融机构共享市场监管、税务、不动产登记、环保等政务数据和电力、供排水、燃气、网络等公用事业数据，并依法保护商业秘密、个人信息。</w:t>
      </w:r>
    </w:p>
    <w:p>
      <w:pPr>
        <w:spacing w:line="360" w:lineRule="exact"/>
        <w:ind w:firstLine="562" w:firstLineChars="200"/>
        <w:rPr>
          <w:rStyle w:val="15"/>
          <w:rFonts w:ascii="宋体" w:hAnsi="宋体" w:eastAsia="宋体" w:cs="宋体"/>
          <w:sz w:val="28"/>
          <w:szCs w:val="28"/>
        </w:rPr>
      </w:pPr>
      <w:bookmarkStart w:id="296" w:name="_Toc8524"/>
      <w:bookmarkStart w:id="297" w:name="_Toc8808"/>
      <w:bookmarkStart w:id="298" w:name="_Toc29075"/>
      <w:bookmarkStart w:id="299" w:name="_Toc12421"/>
      <w:bookmarkStart w:id="300" w:name="_Toc13092"/>
      <w:r>
        <w:rPr>
          <w:rStyle w:val="15"/>
          <w:rFonts w:hint="eastAsia" w:ascii="宋体" w:hAnsi="宋体" w:eastAsia="宋体" w:cs="宋体"/>
          <w:sz w:val="28"/>
          <w:szCs w:val="28"/>
        </w:rPr>
        <w:t>第五十</w:t>
      </w:r>
      <w:r>
        <w:rPr>
          <w:rStyle w:val="15"/>
          <w:rFonts w:hint="eastAsia" w:ascii="宋体" w:hAnsi="宋体" w:eastAsia="宋体" w:cs="宋体"/>
          <w:sz w:val="28"/>
          <w:szCs w:val="28"/>
          <w:lang w:eastAsia="zh-CN"/>
        </w:rPr>
        <w:t>六</w:t>
      </w:r>
      <w:r>
        <w:rPr>
          <w:rStyle w:val="15"/>
          <w:rFonts w:hint="eastAsia" w:ascii="宋体" w:hAnsi="宋体" w:eastAsia="宋体" w:cs="宋体"/>
          <w:sz w:val="28"/>
          <w:szCs w:val="28"/>
        </w:rPr>
        <w:t>条 【产业项目管理机制】</w:t>
      </w:r>
    </w:p>
    <w:bookmarkEnd w:id="296"/>
    <w:bookmarkEnd w:id="297"/>
    <w:bookmarkEnd w:id="298"/>
    <w:bookmarkEnd w:id="299"/>
    <w:bookmarkEnd w:id="300"/>
    <w:p>
      <w:pPr>
        <w:spacing w:line="360" w:lineRule="exact"/>
        <w:ind w:firstLine="560" w:firstLineChars="200"/>
        <w:rPr>
          <w:sz w:val="28"/>
          <w:szCs w:val="28"/>
        </w:rPr>
      </w:pPr>
      <w:r>
        <w:rPr>
          <w:rFonts w:hint="eastAsia"/>
          <w:sz w:val="28"/>
          <w:szCs w:val="28"/>
        </w:rPr>
        <w:t>本市实行重大产业项目目录制管理，并定期动态调整。</w:t>
      </w:r>
      <w:r>
        <w:rPr>
          <w:rFonts w:hint="eastAsia"/>
          <w:sz w:val="28"/>
          <w:szCs w:val="28"/>
          <w:lang w:eastAsia="zh-CN"/>
        </w:rPr>
        <w:t>市、区（县）</w:t>
      </w:r>
      <w:r>
        <w:rPr>
          <w:rFonts w:hint="eastAsia"/>
          <w:sz w:val="28"/>
          <w:szCs w:val="28"/>
        </w:rPr>
        <w:t>人民政府应当建立重大项目联系制度和协调处理机制，为企业提供全流程服务保障。</w:t>
      </w:r>
    </w:p>
    <w:p>
      <w:pPr>
        <w:spacing w:line="360" w:lineRule="exact"/>
        <w:ind w:firstLine="560" w:firstLineChars="200"/>
        <w:rPr>
          <w:sz w:val="28"/>
          <w:szCs w:val="28"/>
        </w:rPr>
      </w:pPr>
      <w:r>
        <w:rPr>
          <w:rFonts w:hint="eastAsia"/>
          <w:sz w:val="28"/>
          <w:szCs w:val="28"/>
          <w:highlight w:val="none"/>
          <w:lang w:eastAsia="zh-CN"/>
        </w:rPr>
        <w:t>市工业和信息化部门</w:t>
      </w:r>
      <w:r>
        <w:rPr>
          <w:rFonts w:hint="eastAsia"/>
          <w:sz w:val="28"/>
          <w:szCs w:val="28"/>
        </w:rPr>
        <w:t>应当推进市级投资促进平台建设，制定发布</w:t>
      </w:r>
      <w:r>
        <w:rPr>
          <w:rFonts w:hint="eastAsia"/>
          <w:sz w:val="28"/>
          <w:szCs w:val="28"/>
          <w:lang w:val="en-US" w:eastAsia="zh-CN"/>
        </w:rPr>
        <w:t>本市</w:t>
      </w:r>
      <w:r>
        <w:rPr>
          <w:rFonts w:hint="eastAsia"/>
          <w:sz w:val="28"/>
          <w:szCs w:val="28"/>
        </w:rPr>
        <w:t>产业地图，推进建设重点项目信息库和载体资源库，推动项目与产业地图精准匹配。</w:t>
      </w:r>
    </w:p>
    <w:p>
      <w:pPr>
        <w:spacing w:line="360" w:lineRule="exact"/>
        <w:ind w:firstLine="560" w:firstLineChars="200"/>
        <w:rPr>
          <w:sz w:val="28"/>
          <w:szCs w:val="28"/>
        </w:rPr>
      </w:pPr>
      <w:r>
        <w:rPr>
          <w:rFonts w:hint="eastAsia"/>
          <w:sz w:val="28"/>
          <w:szCs w:val="28"/>
        </w:rPr>
        <w:t>市</w:t>
      </w:r>
      <w:r>
        <w:rPr>
          <w:rFonts w:hint="eastAsia"/>
          <w:sz w:val="28"/>
          <w:szCs w:val="28"/>
          <w:lang w:val="en-US" w:eastAsia="zh-CN"/>
        </w:rPr>
        <w:t>投资和促进</w:t>
      </w:r>
      <w:r>
        <w:rPr>
          <w:rFonts w:hint="eastAsia"/>
          <w:sz w:val="28"/>
          <w:szCs w:val="28"/>
        </w:rPr>
        <w:t>部门应当推动完善招商促进网络。</w:t>
      </w:r>
    </w:p>
    <w:p>
      <w:pPr>
        <w:spacing w:line="360" w:lineRule="exact"/>
        <w:ind w:firstLine="562" w:firstLineChars="200"/>
        <w:rPr>
          <w:rStyle w:val="15"/>
          <w:rFonts w:ascii="宋体" w:hAnsi="宋体" w:eastAsia="宋体" w:cs="宋体"/>
          <w:sz w:val="28"/>
          <w:szCs w:val="28"/>
        </w:rPr>
      </w:pPr>
      <w:bookmarkStart w:id="301" w:name="_Toc27294"/>
      <w:bookmarkStart w:id="302" w:name="_Toc14733"/>
      <w:bookmarkStart w:id="303" w:name="_Toc1735"/>
      <w:bookmarkStart w:id="304" w:name="_Toc21807"/>
      <w:bookmarkStart w:id="305" w:name="_Toc19109"/>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七</w:t>
      </w:r>
      <w:r>
        <w:rPr>
          <w:rStyle w:val="15"/>
          <w:rFonts w:hint="eastAsia" w:ascii="宋体" w:hAnsi="宋体" w:eastAsia="宋体" w:cs="宋体"/>
          <w:sz w:val="28"/>
          <w:szCs w:val="28"/>
        </w:rPr>
        <w:t>条 【公共法律服务】</w:t>
      </w:r>
    </w:p>
    <w:bookmarkEnd w:id="301"/>
    <w:bookmarkEnd w:id="302"/>
    <w:bookmarkEnd w:id="303"/>
    <w:bookmarkEnd w:id="304"/>
    <w:bookmarkEnd w:id="305"/>
    <w:p>
      <w:pPr>
        <w:spacing w:line="360" w:lineRule="exact"/>
        <w:ind w:firstLine="560" w:firstLineChars="200"/>
        <w:rPr>
          <w:sz w:val="28"/>
          <w:szCs w:val="28"/>
        </w:rPr>
      </w:pPr>
      <w:r>
        <w:rPr>
          <w:rFonts w:hint="eastAsia"/>
          <w:sz w:val="28"/>
          <w:szCs w:val="28"/>
          <w:lang w:eastAsia="zh-CN"/>
        </w:rPr>
        <w:t>市、区（县）</w:t>
      </w:r>
      <w:r>
        <w:rPr>
          <w:rFonts w:hint="eastAsia"/>
          <w:sz w:val="28"/>
          <w:szCs w:val="28"/>
        </w:rPr>
        <w:t>人民政府及有关部门应当创新公共法律服务管理体制和工作机制，加快推进公共法律服务体系建设，推进基本公共法律服务均衡发展，整合律师、公证、司法鉴定、调解、仲裁等公共法律服务资源，促进公共法律服务多元化专业化。完善市、区</w:t>
      </w:r>
      <w:r>
        <w:rPr>
          <w:rFonts w:hint="eastAsia"/>
          <w:sz w:val="28"/>
          <w:szCs w:val="28"/>
          <w:lang w:eastAsia="zh-CN"/>
        </w:rPr>
        <w:t>（</w:t>
      </w:r>
      <w:r>
        <w:rPr>
          <w:rFonts w:hint="eastAsia"/>
          <w:sz w:val="28"/>
          <w:szCs w:val="28"/>
          <w:lang w:val="en-US" w:eastAsia="zh-CN"/>
        </w:rPr>
        <w:t>县</w:t>
      </w:r>
      <w:r>
        <w:rPr>
          <w:rFonts w:hint="eastAsia"/>
          <w:sz w:val="28"/>
          <w:szCs w:val="28"/>
          <w:lang w:eastAsia="zh-CN"/>
        </w:rPr>
        <w:t>）</w:t>
      </w:r>
      <w:r>
        <w:rPr>
          <w:rFonts w:hint="eastAsia"/>
          <w:sz w:val="28"/>
          <w:szCs w:val="28"/>
        </w:rPr>
        <w:t>、</w:t>
      </w:r>
      <w:r>
        <w:rPr>
          <w:rFonts w:hint="eastAsia"/>
          <w:sz w:val="28"/>
          <w:szCs w:val="28"/>
          <w:lang w:val="en-US" w:eastAsia="zh-CN"/>
        </w:rPr>
        <w:t>镇（</w:t>
      </w:r>
      <w:r>
        <w:rPr>
          <w:rFonts w:hint="eastAsia"/>
          <w:sz w:val="28"/>
          <w:szCs w:val="28"/>
        </w:rPr>
        <w:t>街道</w:t>
      </w:r>
      <w:r>
        <w:rPr>
          <w:rFonts w:hint="eastAsia"/>
          <w:sz w:val="28"/>
          <w:szCs w:val="28"/>
          <w:lang w:val="en-US" w:eastAsia="zh-CN"/>
        </w:rPr>
        <w:t>）</w:t>
      </w:r>
      <w:r>
        <w:rPr>
          <w:rFonts w:hint="eastAsia"/>
          <w:sz w:val="28"/>
          <w:szCs w:val="28"/>
        </w:rPr>
        <w:t>、</w:t>
      </w:r>
      <w:r>
        <w:rPr>
          <w:rFonts w:hint="eastAsia"/>
          <w:sz w:val="28"/>
          <w:szCs w:val="28"/>
          <w:lang w:val="en-US" w:eastAsia="zh-CN"/>
        </w:rPr>
        <w:t>村（</w:t>
      </w:r>
      <w:r>
        <w:rPr>
          <w:rFonts w:hint="eastAsia"/>
          <w:sz w:val="28"/>
          <w:szCs w:val="28"/>
        </w:rPr>
        <w:t>社区</w:t>
      </w:r>
      <w:r>
        <w:rPr>
          <w:rFonts w:hint="eastAsia"/>
          <w:sz w:val="28"/>
          <w:szCs w:val="28"/>
          <w:lang w:val="en-US" w:eastAsia="zh-CN"/>
        </w:rPr>
        <w:t>）</w:t>
      </w:r>
      <w:r>
        <w:rPr>
          <w:rFonts w:hint="eastAsia"/>
          <w:sz w:val="28"/>
          <w:szCs w:val="28"/>
        </w:rPr>
        <w:t>四级公共法律服务平台，以公共法律服务中心、公共法律服务热线等为载体，提供便捷高效、均等普惠的公共法律服务。</w:t>
      </w:r>
    </w:p>
    <w:p>
      <w:pPr>
        <w:spacing w:line="360" w:lineRule="exact"/>
        <w:ind w:firstLine="560" w:firstLineChars="200"/>
        <w:rPr>
          <w:sz w:val="28"/>
          <w:szCs w:val="28"/>
        </w:rPr>
      </w:pPr>
      <w:r>
        <w:rPr>
          <w:rFonts w:hint="eastAsia"/>
          <w:sz w:val="28"/>
          <w:szCs w:val="28"/>
        </w:rPr>
        <w:t>司法行政部门持续全面落实办理公证“最多跑一次</w:t>
      </w:r>
      <w:r>
        <w:rPr>
          <w:rFonts w:hint="eastAsia"/>
          <w:sz w:val="28"/>
          <w:szCs w:val="28"/>
          <w:lang w:eastAsia="zh-CN"/>
        </w:rPr>
        <w:t>”</w:t>
      </w:r>
      <w:r>
        <w:rPr>
          <w:rFonts w:hint="eastAsia"/>
          <w:sz w:val="28"/>
          <w:szCs w:val="28"/>
        </w:rPr>
        <w:t>服务，推动简易</w:t>
      </w:r>
      <w:r>
        <w:rPr>
          <w:rFonts w:hint="eastAsia"/>
          <w:sz w:val="28"/>
          <w:szCs w:val="28"/>
          <w:highlight w:val="none"/>
        </w:rPr>
        <w:t>公证</w:t>
      </w:r>
      <w:r>
        <w:rPr>
          <w:rFonts w:hint="eastAsia"/>
          <w:sz w:val="28"/>
          <w:szCs w:val="28"/>
        </w:rPr>
        <w:t>事项、优化公证服务方式，为各类市场主体提供规范、便利、高效的</w:t>
      </w:r>
      <w:r>
        <w:rPr>
          <w:rFonts w:hint="eastAsia"/>
          <w:sz w:val="28"/>
          <w:szCs w:val="28"/>
          <w:highlight w:val="none"/>
        </w:rPr>
        <w:t>公证</w:t>
      </w:r>
      <w:r>
        <w:rPr>
          <w:rFonts w:hint="eastAsia"/>
          <w:sz w:val="28"/>
          <w:szCs w:val="28"/>
        </w:rPr>
        <w:t>法律服务</w:t>
      </w:r>
      <w:r>
        <w:rPr>
          <w:rFonts w:hint="eastAsia"/>
          <w:sz w:val="28"/>
          <w:szCs w:val="28"/>
          <w:lang w:eastAsia="zh-CN"/>
        </w:rPr>
        <w:t>，</w:t>
      </w:r>
      <w:r>
        <w:rPr>
          <w:rFonts w:hint="eastAsia"/>
          <w:sz w:val="28"/>
          <w:szCs w:val="28"/>
        </w:rPr>
        <w:t>实现简易公证事项和公证信息查询的“自助办、网上办、一次办”。</w:t>
      </w:r>
    </w:p>
    <w:p>
      <w:pPr>
        <w:spacing w:line="360" w:lineRule="exact"/>
        <w:ind w:firstLine="560" w:firstLineChars="200"/>
        <w:rPr>
          <w:rFonts w:hint="eastAsia"/>
          <w:sz w:val="28"/>
          <w:szCs w:val="28"/>
        </w:rPr>
      </w:pPr>
      <w:r>
        <w:rPr>
          <w:rFonts w:hint="eastAsia"/>
          <w:sz w:val="28"/>
          <w:szCs w:val="28"/>
          <w:lang w:eastAsia="zh-CN"/>
        </w:rPr>
        <w:t>市</w:t>
      </w:r>
      <w:r>
        <w:rPr>
          <w:rFonts w:hint="eastAsia"/>
          <w:sz w:val="28"/>
          <w:szCs w:val="28"/>
        </w:rPr>
        <w:t>司法部门应当推动和指导法律专业机构为市场主体提供法律咨询、合同审查、知识产权保护、股权设计、融资、税务、劳动用工、涉外纠纷等全链条的高水平法律服务。</w:t>
      </w:r>
    </w:p>
    <w:p>
      <w:pPr>
        <w:spacing w:line="360" w:lineRule="exact"/>
        <w:ind w:firstLine="560" w:firstLineChars="200"/>
        <w:rPr>
          <w:sz w:val="28"/>
          <w:szCs w:val="28"/>
        </w:rPr>
      </w:pPr>
      <w:r>
        <w:rPr>
          <w:rFonts w:hint="eastAsia"/>
          <w:sz w:val="28"/>
          <w:szCs w:val="28"/>
          <w:lang w:eastAsia="zh-CN"/>
        </w:rPr>
        <w:t>本市</w:t>
      </w:r>
      <w:r>
        <w:rPr>
          <w:rFonts w:hint="eastAsia"/>
          <w:sz w:val="28"/>
          <w:szCs w:val="28"/>
        </w:rPr>
        <w:t>鼓励鉴定机构优化鉴定流程，提高鉴定效率。与委托人有约定时限的，在约定的时限内完成鉴定；没有约定的，一般应当在三十个工作日内完成鉴定，但重大复杂或者法律、法规、部门规章有专门规定的除外。</w:t>
      </w:r>
    </w:p>
    <w:p>
      <w:pPr>
        <w:spacing w:line="360" w:lineRule="exact"/>
        <w:ind w:firstLine="560" w:firstLineChars="200"/>
        <w:rPr>
          <w:sz w:val="28"/>
          <w:szCs w:val="28"/>
        </w:rPr>
      </w:pPr>
      <w:r>
        <w:rPr>
          <w:rFonts w:hint="eastAsia"/>
          <w:sz w:val="28"/>
          <w:szCs w:val="28"/>
          <w:lang w:eastAsia="zh-CN"/>
        </w:rPr>
        <w:t>本市</w:t>
      </w:r>
      <w:r>
        <w:rPr>
          <w:rFonts w:hint="eastAsia"/>
          <w:sz w:val="28"/>
          <w:szCs w:val="28"/>
        </w:rPr>
        <w:t>鼓励律师创新法律服务模式，通过专业化的法律服务，帮助中小企业有效防范法律风险，及时高效地解决各类纠纷。建立律师、基层法律服务工作者、社区工作者、志愿者参与人民调解工作机制，提高依法调解能力，高效化解民商事纠纷。</w:t>
      </w:r>
    </w:p>
    <w:p>
      <w:pPr>
        <w:spacing w:line="360" w:lineRule="exact"/>
        <w:ind w:firstLine="560" w:firstLineChars="200"/>
        <w:rPr>
          <w:sz w:val="28"/>
          <w:szCs w:val="28"/>
        </w:rPr>
      </w:pPr>
      <w:r>
        <w:rPr>
          <w:rFonts w:hint="eastAsia"/>
          <w:sz w:val="28"/>
          <w:szCs w:val="28"/>
        </w:rPr>
        <w:t>推进海外法律服务平台建设，完善律师参与境外投资决策、项目评估和风险防控的相关机制，为市场主体提供涉外法律服务。</w:t>
      </w:r>
    </w:p>
    <w:p>
      <w:pPr>
        <w:spacing w:line="360" w:lineRule="exact"/>
        <w:ind w:firstLine="562" w:firstLineChars="200"/>
        <w:rPr>
          <w:rStyle w:val="15"/>
          <w:rFonts w:ascii="宋体" w:hAnsi="宋体" w:eastAsia="宋体" w:cs="宋体"/>
          <w:sz w:val="28"/>
          <w:szCs w:val="28"/>
        </w:rPr>
      </w:pPr>
      <w:bookmarkStart w:id="306" w:name="_Toc31269"/>
      <w:bookmarkStart w:id="307" w:name="_Toc21770"/>
      <w:bookmarkStart w:id="308" w:name="_Toc32253"/>
      <w:bookmarkStart w:id="309" w:name="_Toc250"/>
      <w:bookmarkStart w:id="310" w:name="_Toc20544"/>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条 【行业协会商会】</w:t>
      </w:r>
    </w:p>
    <w:bookmarkEnd w:id="306"/>
    <w:bookmarkEnd w:id="307"/>
    <w:bookmarkEnd w:id="308"/>
    <w:bookmarkEnd w:id="309"/>
    <w:bookmarkEnd w:id="310"/>
    <w:p>
      <w:pPr>
        <w:spacing w:line="360" w:lineRule="exact"/>
        <w:ind w:firstLine="560" w:firstLineChars="200"/>
        <w:rPr>
          <w:sz w:val="28"/>
          <w:szCs w:val="28"/>
        </w:rPr>
      </w:pPr>
      <w:r>
        <w:rPr>
          <w:rFonts w:hint="eastAsia"/>
          <w:sz w:val="28"/>
          <w:szCs w:val="28"/>
          <w:lang w:val="en-US" w:eastAsia="zh-CN"/>
        </w:rPr>
        <w:t>本市</w:t>
      </w:r>
      <w:r>
        <w:rPr>
          <w:rFonts w:hint="eastAsia"/>
          <w:sz w:val="28"/>
          <w:szCs w:val="28"/>
        </w:rPr>
        <w:t>各级行政机关与其主办、主管、联系、挂靠的行业协会商会，以及其他列入公务员法实施范围和参照公务员法管理的单位与其主办、主管、联系、挂靠的行业协会商会，应当</w:t>
      </w:r>
      <w:r>
        <w:rPr>
          <w:rFonts w:hint="eastAsia"/>
          <w:sz w:val="28"/>
          <w:szCs w:val="28"/>
          <w:highlight w:val="none"/>
          <w:lang w:eastAsia="zh-CN"/>
        </w:rPr>
        <w:t>按照</w:t>
      </w:r>
      <w:r>
        <w:rPr>
          <w:rFonts w:hint="eastAsia"/>
          <w:sz w:val="28"/>
          <w:szCs w:val="28"/>
        </w:rPr>
        <w:t>国家规定，全面落实机构、职能、资产财务、人员管理、党建外事等事项分离。</w:t>
      </w:r>
    </w:p>
    <w:p>
      <w:pPr>
        <w:spacing w:line="360" w:lineRule="exact"/>
        <w:ind w:firstLine="560" w:firstLineChars="200"/>
        <w:rPr>
          <w:sz w:val="28"/>
          <w:szCs w:val="28"/>
        </w:rPr>
      </w:pPr>
      <w:r>
        <w:rPr>
          <w:rFonts w:hint="eastAsia"/>
          <w:sz w:val="28"/>
          <w:szCs w:val="28"/>
        </w:rPr>
        <w:t>建立健全行业协会商会法人治理结构，鼓励行业协会商会制定行规行约，发挥行业协会商会在制定技术标准、开拓国际市场、应对贸易摩擦等方面的积极作用。</w:t>
      </w:r>
    </w:p>
    <w:p>
      <w:pPr>
        <w:spacing w:line="360" w:lineRule="exact"/>
        <w:ind w:firstLine="560" w:firstLineChars="200"/>
        <w:rPr>
          <w:sz w:val="28"/>
          <w:szCs w:val="28"/>
        </w:rPr>
      </w:pPr>
      <w:r>
        <w:rPr>
          <w:rFonts w:hint="eastAsia"/>
          <w:sz w:val="28"/>
          <w:szCs w:val="28"/>
        </w:rPr>
        <w:t>本市倡导和鼓励行业协会、商会设立市场主体维权服务平台，参与和支持企业维权，提升维权效率和管理水平。行业协会商会应当依法收集并反映会员合理诉求，维护市场秩序。</w:t>
      </w:r>
    </w:p>
    <w:p>
      <w:pPr>
        <w:spacing w:line="360" w:lineRule="exact"/>
        <w:ind w:firstLine="560" w:firstLineChars="200"/>
        <w:rPr>
          <w:sz w:val="28"/>
          <w:szCs w:val="28"/>
        </w:rPr>
      </w:pPr>
      <w:r>
        <w:rPr>
          <w:rFonts w:hint="eastAsia"/>
          <w:sz w:val="28"/>
          <w:szCs w:val="28"/>
        </w:rPr>
        <w:t>行业协会商会及其工作人员不得对</w:t>
      </w:r>
      <w:r>
        <w:rPr>
          <w:rFonts w:hint="eastAsia"/>
          <w:sz w:val="28"/>
          <w:szCs w:val="28"/>
          <w:lang w:val="en-US" w:eastAsia="zh-CN"/>
        </w:rPr>
        <w:t>已</w:t>
      </w:r>
      <w:r>
        <w:rPr>
          <w:rFonts w:hint="eastAsia"/>
          <w:sz w:val="28"/>
          <w:szCs w:val="28"/>
        </w:rPr>
        <w:t>取消的资格资质变相进行认定，不得违规收取费用、出具虚假证明或者报告、谋取不正当利益，不得干扰市场主体正常生产经营或者扰乱市场秩序，不得组织市场主体从事法律法规禁止的排除、限制</w:t>
      </w:r>
      <w:r>
        <w:rPr>
          <w:rFonts w:hint="eastAsia"/>
          <w:sz w:val="28"/>
          <w:szCs w:val="28"/>
          <w:highlight w:val="none"/>
          <w:lang w:eastAsia="zh-CN"/>
        </w:rPr>
        <w:t>竞争</w:t>
      </w:r>
      <w:r>
        <w:rPr>
          <w:rFonts w:hint="eastAsia"/>
          <w:sz w:val="28"/>
          <w:szCs w:val="28"/>
        </w:rPr>
        <w:t>行为。</w:t>
      </w:r>
    </w:p>
    <w:p>
      <w:pPr>
        <w:spacing w:line="360" w:lineRule="exact"/>
        <w:ind w:firstLine="562" w:firstLineChars="200"/>
        <w:rPr>
          <w:rStyle w:val="15"/>
          <w:rFonts w:ascii="宋体" w:hAnsi="宋体" w:eastAsia="宋体" w:cs="宋体"/>
          <w:sz w:val="28"/>
          <w:szCs w:val="28"/>
        </w:rPr>
      </w:pPr>
      <w:bookmarkStart w:id="311" w:name="_Toc5804"/>
      <w:bookmarkStart w:id="312" w:name="_Toc32275"/>
      <w:bookmarkStart w:id="313" w:name="_Toc32589"/>
      <w:bookmarkStart w:id="314" w:name="_Toc3371"/>
      <w:bookmarkStart w:id="315" w:name="_Toc2193"/>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九</w:t>
      </w:r>
      <w:r>
        <w:rPr>
          <w:rStyle w:val="15"/>
          <w:rFonts w:hint="eastAsia" w:ascii="宋体" w:hAnsi="宋体" w:eastAsia="宋体" w:cs="宋体"/>
          <w:sz w:val="28"/>
          <w:szCs w:val="28"/>
        </w:rPr>
        <w:t>条 【</w:t>
      </w:r>
      <w:r>
        <w:rPr>
          <w:rStyle w:val="15"/>
          <w:rFonts w:hint="eastAsia" w:ascii="宋体" w:hAnsi="宋体" w:eastAsia="宋体" w:cs="宋体"/>
          <w:sz w:val="28"/>
          <w:szCs w:val="28"/>
          <w:lang w:eastAsia="zh-CN"/>
        </w:rPr>
        <w:t>就业服务</w:t>
      </w:r>
      <w:r>
        <w:rPr>
          <w:rStyle w:val="15"/>
          <w:rFonts w:hint="eastAsia" w:ascii="宋体" w:hAnsi="宋体" w:eastAsia="宋体" w:cs="宋体"/>
          <w:sz w:val="28"/>
          <w:szCs w:val="28"/>
        </w:rPr>
        <w:t>】</w:t>
      </w:r>
    </w:p>
    <w:bookmarkEnd w:id="311"/>
    <w:bookmarkEnd w:id="312"/>
    <w:bookmarkEnd w:id="313"/>
    <w:bookmarkEnd w:id="314"/>
    <w:bookmarkEnd w:id="315"/>
    <w:p>
      <w:pPr>
        <w:spacing w:line="360" w:lineRule="exact"/>
        <w:ind w:firstLine="560" w:firstLineChars="200"/>
        <w:rPr>
          <w:rFonts w:hint="eastAsia"/>
          <w:sz w:val="28"/>
          <w:szCs w:val="28"/>
        </w:rPr>
      </w:pPr>
      <w:r>
        <w:rPr>
          <w:rFonts w:hint="eastAsia"/>
          <w:sz w:val="28"/>
          <w:szCs w:val="28"/>
        </w:rPr>
        <w:t>人力资源保障部门应当为市场主体提供用工指导、政策咨询、劳动关系协调等服务，引导有需求的市场主体通过用工余缺调剂开展共享用工，提高人力资源配置效率。支持市场主体采用灵活用工机制，用人单位因生产经营特点不能实行法定标准工时制度且符合特殊工时制度适用范围，经协商实行不定时或者综合计算工时工作制度的，可以实行告知承诺制。引导有需求的企业开展共享用工合作，引导市场主体加强内部集体协商制度建设。</w:t>
      </w:r>
    </w:p>
    <w:p>
      <w:pPr>
        <w:spacing w:line="360" w:lineRule="exact"/>
        <w:ind w:firstLine="560" w:firstLineChars="200"/>
        <w:rPr>
          <w:rFonts w:hint="eastAsia"/>
          <w:sz w:val="28"/>
          <w:szCs w:val="28"/>
        </w:rPr>
      </w:pPr>
      <w:r>
        <w:rPr>
          <w:rFonts w:hint="eastAsia"/>
          <w:sz w:val="28"/>
          <w:szCs w:val="28"/>
          <w:highlight w:val="none"/>
          <w:lang w:eastAsia="zh-CN"/>
        </w:rPr>
        <w:t>人力资源社会保障部门应当</w:t>
      </w:r>
      <w:r>
        <w:rPr>
          <w:rFonts w:hint="eastAsia"/>
          <w:sz w:val="28"/>
          <w:szCs w:val="28"/>
        </w:rPr>
        <w:t>加强劳动者职业技能培训，构建技能人才“终身培训体系”，培育技艺精湛、门类齐全、结构合理、素质优良的“汕头工匠”；鼓励和支持企业建立首席技师制度，完善首席</w:t>
      </w:r>
      <w:r>
        <w:rPr>
          <w:rFonts w:hint="eastAsia"/>
          <w:sz w:val="28"/>
          <w:szCs w:val="28"/>
          <w:highlight w:val="none"/>
        </w:rPr>
        <w:t>技师</w:t>
      </w:r>
      <w:r>
        <w:rPr>
          <w:rFonts w:hint="eastAsia"/>
          <w:sz w:val="28"/>
          <w:szCs w:val="28"/>
        </w:rPr>
        <w:t>认定、聘用和考核等机制。</w:t>
      </w:r>
    </w:p>
    <w:p>
      <w:pPr>
        <w:spacing w:line="360" w:lineRule="exact"/>
        <w:ind w:firstLine="560" w:firstLineChars="200"/>
        <w:rPr>
          <w:rFonts w:hint="eastAsia"/>
          <w:sz w:val="28"/>
          <w:szCs w:val="28"/>
        </w:rPr>
      </w:pPr>
      <w:r>
        <w:rPr>
          <w:rFonts w:hint="eastAsia"/>
          <w:sz w:val="28"/>
          <w:szCs w:val="28"/>
        </w:rPr>
        <w:t>人力资源社会保障部门应当完善劳动者失业保障和就业服务的相关制度和程序，按照国家规定取消水平评价类技能人员职业资格，推行社会化职业技能等级认定，推动劳动者入职体检结果互认。</w:t>
      </w:r>
    </w:p>
    <w:p>
      <w:pPr>
        <w:pStyle w:val="2"/>
        <w:jc w:val="center"/>
        <w:rPr>
          <w:rFonts w:ascii="黑体" w:hAnsi="黑体" w:eastAsia="黑体" w:cs="黑体"/>
          <w:b w:val="0"/>
          <w:bCs/>
          <w:sz w:val="32"/>
          <w:szCs w:val="32"/>
        </w:rPr>
      </w:pPr>
      <w:bookmarkStart w:id="316" w:name="_Toc16573"/>
      <w:bookmarkStart w:id="317" w:name="_Toc25670"/>
      <w:bookmarkStart w:id="318" w:name="_Toc27878"/>
      <w:bookmarkStart w:id="319" w:name="_Toc22986"/>
      <w:bookmarkStart w:id="320" w:name="_Toc1052"/>
      <w:r>
        <w:rPr>
          <w:rFonts w:hint="eastAsia" w:ascii="黑体" w:hAnsi="黑体" w:eastAsia="黑体" w:cs="黑体"/>
          <w:b w:val="0"/>
          <w:bCs/>
          <w:sz w:val="32"/>
          <w:szCs w:val="32"/>
        </w:rPr>
        <w:t>第五章 监管执法</w:t>
      </w:r>
      <w:bookmarkEnd w:id="316"/>
      <w:bookmarkEnd w:id="317"/>
      <w:bookmarkEnd w:id="318"/>
      <w:bookmarkEnd w:id="319"/>
      <w:bookmarkEnd w:id="320"/>
    </w:p>
    <w:p>
      <w:pPr>
        <w:spacing w:line="360" w:lineRule="exact"/>
        <w:ind w:firstLine="562" w:firstLineChars="200"/>
        <w:outlineLvl w:val="1"/>
        <w:rPr>
          <w:rStyle w:val="15"/>
          <w:rFonts w:ascii="宋体" w:hAnsi="宋体" w:eastAsia="宋体" w:cs="宋体"/>
          <w:sz w:val="28"/>
          <w:szCs w:val="28"/>
        </w:rPr>
      </w:pPr>
      <w:bookmarkStart w:id="321" w:name="_Toc20622"/>
      <w:bookmarkStart w:id="322" w:name="_Toc26210"/>
      <w:bookmarkStart w:id="323" w:name="_Toc4175"/>
      <w:bookmarkStart w:id="324" w:name="_Toc1051"/>
      <w:bookmarkStart w:id="325" w:name="_Toc26897"/>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六</w:t>
      </w:r>
      <w:r>
        <w:rPr>
          <w:rStyle w:val="15"/>
          <w:rFonts w:hint="eastAsia" w:ascii="宋体" w:hAnsi="宋体" w:eastAsia="宋体" w:cs="宋体"/>
          <w:sz w:val="28"/>
          <w:szCs w:val="28"/>
        </w:rPr>
        <w:t>十条 【</w:t>
      </w:r>
      <w:r>
        <w:rPr>
          <w:rStyle w:val="15"/>
          <w:rFonts w:hint="eastAsia" w:ascii="宋体" w:hAnsi="宋体" w:eastAsia="宋体" w:cs="宋体"/>
          <w:sz w:val="28"/>
          <w:szCs w:val="28"/>
          <w:lang w:val="en-US" w:eastAsia="zh-CN"/>
        </w:rPr>
        <w:t>监管原则</w:t>
      </w:r>
      <w:r>
        <w:rPr>
          <w:rStyle w:val="15"/>
          <w:rFonts w:hint="eastAsia" w:ascii="宋体" w:hAnsi="宋体" w:eastAsia="宋体" w:cs="宋体"/>
          <w:sz w:val="28"/>
          <w:szCs w:val="28"/>
        </w:rPr>
        <w:t>】</w:t>
      </w:r>
      <w:bookmarkEnd w:id="321"/>
      <w:bookmarkEnd w:id="322"/>
      <w:bookmarkEnd w:id="323"/>
      <w:bookmarkEnd w:id="324"/>
      <w:r>
        <w:rPr>
          <w:rStyle w:val="15"/>
          <w:rFonts w:hint="eastAsia" w:ascii="宋体" w:hAnsi="宋体" w:eastAsia="宋体" w:cs="宋体"/>
          <w:sz w:val="28"/>
          <w:szCs w:val="28"/>
        </w:rPr>
        <w:tab/>
      </w:r>
    </w:p>
    <w:bookmarkEnd w:id="325"/>
    <w:p>
      <w:pPr>
        <w:spacing w:line="360" w:lineRule="exact"/>
        <w:ind w:firstLine="560" w:firstLineChars="200"/>
        <w:rPr>
          <w:b/>
          <w:bCs/>
          <w:sz w:val="28"/>
          <w:szCs w:val="28"/>
        </w:rPr>
      </w:pPr>
      <w:r>
        <w:rPr>
          <w:rFonts w:hint="eastAsia"/>
          <w:sz w:val="28"/>
          <w:szCs w:val="28"/>
        </w:rPr>
        <w:t>本市各级人民政府</w:t>
      </w:r>
      <w:r>
        <w:rPr>
          <w:rFonts w:hint="eastAsia"/>
          <w:sz w:val="28"/>
          <w:szCs w:val="28"/>
          <w:highlight w:val="none"/>
          <w:lang w:eastAsia="zh-CN"/>
        </w:rPr>
        <w:t>及其</w:t>
      </w:r>
      <w:r>
        <w:rPr>
          <w:rFonts w:hint="eastAsia"/>
          <w:sz w:val="28"/>
          <w:szCs w:val="28"/>
        </w:rPr>
        <w:t>有关部门应当依法履行监管职责，创新监管方式，坚持公平公正监管、信用监管、综合监管，做到严格规范公正文明执法。</w:t>
      </w:r>
    </w:p>
    <w:p>
      <w:pPr>
        <w:spacing w:line="360" w:lineRule="exact"/>
        <w:ind w:firstLine="562" w:firstLineChars="200"/>
        <w:outlineLvl w:val="1"/>
        <w:rPr>
          <w:rStyle w:val="15"/>
          <w:rFonts w:ascii="宋体" w:hAnsi="宋体" w:eastAsia="宋体" w:cs="宋体"/>
          <w:sz w:val="28"/>
          <w:szCs w:val="28"/>
        </w:rPr>
      </w:pPr>
      <w:bookmarkStart w:id="326" w:name="_Toc11724"/>
      <w:bookmarkStart w:id="327" w:name="_Toc20277"/>
      <w:bookmarkStart w:id="328" w:name="_Toc2545"/>
      <w:bookmarkStart w:id="329" w:name="_Toc14782"/>
      <w:bookmarkStart w:id="330" w:name="_Toc13375"/>
      <w:r>
        <w:rPr>
          <w:rStyle w:val="15"/>
          <w:rFonts w:hint="eastAsia" w:ascii="宋体" w:hAnsi="宋体" w:eastAsia="宋体" w:cs="宋体"/>
          <w:sz w:val="28"/>
          <w:szCs w:val="28"/>
        </w:rPr>
        <w:t>第六十</w:t>
      </w:r>
      <w:r>
        <w:rPr>
          <w:rStyle w:val="15"/>
          <w:rFonts w:hint="eastAsia" w:ascii="宋体" w:hAnsi="宋体" w:eastAsia="宋体" w:cs="宋体"/>
          <w:sz w:val="28"/>
          <w:szCs w:val="28"/>
          <w:lang w:eastAsia="zh-CN"/>
        </w:rPr>
        <w:t>一</w:t>
      </w:r>
      <w:r>
        <w:rPr>
          <w:rStyle w:val="15"/>
          <w:rFonts w:hint="eastAsia" w:ascii="宋体" w:hAnsi="宋体" w:eastAsia="宋体" w:cs="宋体"/>
          <w:sz w:val="28"/>
          <w:szCs w:val="28"/>
        </w:rPr>
        <w:t>条 【</w:t>
      </w:r>
      <w:r>
        <w:rPr>
          <w:rStyle w:val="15"/>
          <w:rFonts w:hint="eastAsia" w:ascii="宋体" w:hAnsi="宋体" w:eastAsia="宋体" w:cs="宋体"/>
          <w:sz w:val="28"/>
          <w:szCs w:val="28"/>
          <w:lang w:eastAsia="zh-CN"/>
        </w:rPr>
        <w:t>权责清单制度</w:t>
      </w:r>
      <w:r>
        <w:rPr>
          <w:rStyle w:val="15"/>
          <w:rFonts w:hint="eastAsia" w:ascii="宋体" w:hAnsi="宋体" w:eastAsia="宋体" w:cs="宋体"/>
          <w:sz w:val="28"/>
          <w:szCs w:val="28"/>
        </w:rPr>
        <w:t>】</w:t>
      </w:r>
      <w:bookmarkEnd w:id="326"/>
      <w:bookmarkEnd w:id="327"/>
      <w:bookmarkEnd w:id="328"/>
      <w:bookmarkEnd w:id="329"/>
    </w:p>
    <w:bookmarkEnd w:id="330"/>
    <w:p>
      <w:pPr>
        <w:spacing w:line="360" w:lineRule="exact"/>
        <w:ind w:firstLine="560" w:firstLineChars="200"/>
        <w:rPr>
          <w:sz w:val="28"/>
          <w:szCs w:val="28"/>
        </w:rPr>
      </w:pPr>
      <w:r>
        <w:rPr>
          <w:rFonts w:hint="eastAsia"/>
          <w:sz w:val="28"/>
          <w:szCs w:val="28"/>
        </w:rPr>
        <w:t>本市各级人民政府</w:t>
      </w:r>
      <w:r>
        <w:rPr>
          <w:rFonts w:hint="eastAsia"/>
          <w:sz w:val="28"/>
          <w:szCs w:val="28"/>
          <w:highlight w:val="none"/>
          <w:lang w:eastAsia="zh-CN"/>
        </w:rPr>
        <w:t>及其</w:t>
      </w:r>
      <w:r>
        <w:rPr>
          <w:rFonts w:hint="eastAsia"/>
          <w:sz w:val="28"/>
          <w:szCs w:val="28"/>
        </w:rPr>
        <w:t>有关部门应当建立权力清单和责任清单，将行使的各项行政职权及其依据、行使主体、运行流程、对应责任等，以清单形式向社会公布，接受社会监督。</w:t>
      </w:r>
    </w:p>
    <w:p>
      <w:pPr>
        <w:spacing w:line="360" w:lineRule="exact"/>
        <w:ind w:firstLine="560" w:firstLineChars="200"/>
        <w:rPr>
          <w:sz w:val="28"/>
          <w:szCs w:val="28"/>
        </w:rPr>
      </w:pPr>
      <w:r>
        <w:rPr>
          <w:rFonts w:hint="eastAsia"/>
          <w:sz w:val="28"/>
          <w:szCs w:val="28"/>
        </w:rPr>
        <w:t>编制的权力清单和责任清单应当明确监管执法事项、依据、主体、权限、内容、方法、程序和处罚措施等内容。</w:t>
      </w:r>
    </w:p>
    <w:p>
      <w:pPr>
        <w:spacing w:line="360" w:lineRule="exact"/>
        <w:ind w:firstLine="560" w:firstLineChars="200"/>
        <w:rPr>
          <w:sz w:val="28"/>
          <w:szCs w:val="28"/>
        </w:rPr>
      </w:pPr>
      <w:r>
        <w:rPr>
          <w:rFonts w:hint="eastAsia"/>
          <w:sz w:val="28"/>
          <w:szCs w:val="28"/>
        </w:rPr>
        <w:t>市</w:t>
      </w:r>
      <w:r>
        <w:rPr>
          <w:rFonts w:hint="eastAsia"/>
          <w:sz w:val="28"/>
          <w:szCs w:val="28"/>
          <w:lang w:eastAsia="zh-CN"/>
        </w:rPr>
        <w:t>政务服务数据管理</w:t>
      </w:r>
      <w:r>
        <w:rPr>
          <w:rFonts w:hint="eastAsia"/>
          <w:sz w:val="28"/>
          <w:szCs w:val="28"/>
        </w:rPr>
        <w:t>部门应当会同相关行政管理部门编制监管事项目录清单，明确监管主体、监管对象、监管措施、处理方式等，并向社会公开。监管事项目录清单实行动态调整。</w:t>
      </w:r>
    </w:p>
    <w:p>
      <w:pPr>
        <w:spacing w:line="360" w:lineRule="exact"/>
        <w:ind w:firstLine="562" w:firstLineChars="200"/>
        <w:outlineLvl w:val="1"/>
        <w:rPr>
          <w:rStyle w:val="15"/>
          <w:rFonts w:ascii="宋体" w:hAnsi="宋体" w:eastAsia="宋体" w:cs="宋体"/>
          <w:sz w:val="28"/>
          <w:szCs w:val="28"/>
        </w:rPr>
      </w:pPr>
      <w:bookmarkStart w:id="331" w:name="_Toc27861"/>
      <w:bookmarkStart w:id="332" w:name="_Toc3810"/>
      <w:bookmarkStart w:id="333" w:name="_Toc2572"/>
      <w:bookmarkStart w:id="334" w:name="_Toc9038"/>
      <w:bookmarkStart w:id="335" w:name="_Toc10230"/>
      <w:r>
        <w:rPr>
          <w:rStyle w:val="15"/>
          <w:rFonts w:hint="eastAsia" w:ascii="宋体" w:hAnsi="宋体" w:eastAsia="宋体" w:cs="宋体"/>
          <w:sz w:val="28"/>
          <w:szCs w:val="28"/>
        </w:rPr>
        <w:t>第六十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【信用分级分类监管】</w:t>
      </w:r>
      <w:bookmarkEnd w:id="331"/>
      <w:bookmarkEnd w:id="332"/>
      <w:bookmarkEnd w:id="333"/>
      <w:bookmarkEnd w:id="334"/>
    </w:p>
    <w:bookmarkEnd w:id="335"/>
    <w:p>
      <w:pPr>
        <w:spacing w:line="360" w:lineRule="exact"/>
        <w:ind w:firstLine="560" w:firstLineChars="200"/>
        <w:rPr>
          <w:rFonts w:hint="eastAsia"/>
          <w:sz w:val="28"/>
          <w:szCs w:val="28"/>
        </w:rPr>
      </w:pPr>
      <w:r>
        <w:rPr>
          <w:rFonts w:hint="eastAsia"/>
          <w:sz w:val="28"/>
          <w:szCs w:val="28"/>
        </w:rPr>
        <w:t>本市推行以信用为基础的分级分类监管制度。基于监管对象信用状况及风险程度等，对市场主体实施差异化分级分类监督管理。</w:t>
      </w:r>
      <w:r>
        <w:rPr>
          <w:rFonts w:hint="eastAsia"/>
          <w:sz w:val="28"/>
          <w:szCs w:val="28"/>
          <w:lang w:val="en-US" w:eastAsia="zh-CN"/>
        </w:rPr>
        <w:t>对</w:t>
      </w:r>
      <w:r>
        <w:rPr>
          <w:rFonts w:hint="eastAsia"/>
          <w:sz w:val="28"/>
          <w:szCs w:val="28"/>
        </w:rPr>
        <w:t>信用较好、风险较低的市场主体，应当减少检查比例和频次；违法失信、风险较高的市场主体，应当提高检查比例和频次。实施分类监管的部门和履行相应公共事务管理职能的组织，应当制定分类监管实施细则，并向社会公布。</w:t>
      </w:r>
    </w:p>
    <w:p>
      <w:pPr>
        <w:spacing w:line="360" w:lineRule="exact"/>
        <w:ind w:firstLine="560" w:firstLineChars="200"/>
        <w:rPr>
          <w:rFonts w:hint="eastAsia"/>
          <w:sz w:val="28"/>
          <w:szCs w:val="28"/>
        </w:rPr>
      </w:pPr>
      <w:r>
        <w:rPr>
          <w:rFonts w:hint="eastAsia"/>
          <w:sz w:val="28"/>
          <w:szCs w:val="28"/>
        </w:rPr>
        <w:t>市有关部门以公共信用信息评价结果等为依据，制定本行业、本领域信用分级分类监管标准。建立相应的激励、预警、惩戒等机制。对直接涉及公共安全和人民群众生命健康等特殊行业、重点领域，依法实行全覆盖全过程重点监管。</w:t>
      </w:r>
    </w:p>
    <w:p>
      <w:pPr>
        <w:spacing w:line="360" w:lineRule="exact"/>
        <w:ind w:firstLine="562" w:firstLineChars="200"/>
        <w:outlineLvl w:val="1"/>
        <w:rPr>
          <w:rStyle w:val="15"/>
          <w:rFonts w:ascii="宋体" w:hAnsi="宋体" w:eastAsia="宋体" w:cs="宋体"/>
          <w:sz w:val="28"/>
          <w:szCs w:val="28"/>
        </w:rPr>
      </w:pPr>
      <w:bookmarkStart w:id="336" w:name="_Toc16367"/>
      <w:bookmarkStart w:id="337" w:name="_Toc3298"/>
      <w:bookmarkStart w:id="338" w:name="_Toc1316"/>
      <w:bookmarkStart w:id="339" w:name="_Toc4250"/>
      <w:bookmarkStart w:id="340" w:name="_Toc26430"/>
      <w:r>
        <w:rPr>
          <w:rStyle w:val="15"/>
          <w:rFonts w:hint="eastAsia" w:ascii="宋体" w:hAnsi="宋体" w:eastAsia="宋体" w:cs="宋体"/>
          <w:sz w:val="28"/>
          <w:szCs w:val="28"/>
        </w:rPr>
        <w:t>第六十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 【信用奖惩和修复】</w:t>
      </w:r>
      <w:bookmarkEnd w:id="336"/>
      <w:bookmarkEnd w:id="337"/>
      <w:bookmarkEnd w:id="338"/>
      <w:bookmarkEnd w:id="339"/>
      <w:r>
        <w:rPr>
          <w:rStyle w:val="15"/>
          <w:rFonts w:hint="eastAsia" w:ascii="宋体" w:hAnsi="宋体" w:eastAsia="宋体" w:cs="宋体"/>
          <w:sz w:val="28"/>
          <w:szCs w:val="28"/>
        </w:rPr>
        <w:tab/>
      </w:r>
    </w:p>
    <w:bookmarkEnd w:id="340"/>
    <w:p>
      <w:pPr>
        <w:spacing w:line="360" w:lineRule="exact"/>
        <w:ind w:firstLine="560" w:firstLineChars="200"/>
        <w:rPr>
          <w:sz w:val="28"/>
          <w:szCs w:val="28"/>
        </w:rPr>
      </w:pPr>
      <w:r>
        <w:rPr>
          <w:rFonts w:hint="eastAsia"/>
          <w:sz w:val="28"/>
          <w:szCs w:val="28"/>
        </w:rPr>
        <w:t>本市建立守信联合激励对象和失信联合惩戒对象名单。相关部门应当制定守信主体激励措施清单以及失信主体惩戒措施清单，列明措施的实施对象、实施方式、实施主体、事实依据等内容，并向社会公布，依法实施守信联合激励和失信联合惩戒。</w:t>
      </w:r>
    </w:p>
    <w:p>
      <w:pPr>
        <w:spacing w:line="360" w:lineRule="exact"/>
        <w:ind w:firstLine="560" w:firstLineChars="200"/>
        <w:rPr>
          <w:rFonts w:hint="eastAsia"/>
          <w:sz w:val="28"/>
          <w:szCs w:val="28"/>
        </w:rPr>
      </w:pPr>
      <w:r>
        <w:rPr>
          <w:rFonts w:hint="eastAsia"/>
          <w:sz w:val="28"/>
          <w:szCs w:val="28"/>
        </w:rPr>
        <w:t>相关行政管理部门应当充分运</w:t>
      </w:r>
      <w:r>
        <w:rPr>
          <w:rFonts w:hint="eastAsia"/>
          <w:sz w:val="28"/>
          <w:szCs w:val="28"/>
          <w:highlight w:val="none"/>
          <w:lang w:eastAsia="zh-CN"/>
        </w:rPr>
        <w:t>用信用信</w:t>
      </w:r>
      <w:r>
        <w:rPr>
          <w:rFonts w:hint="eastAsia"/>
          <w:sz w:val="28"/>
          <w:szCs w:val="28"/>
        </w:rPr>
        <w:t>息，在实施行政许可过程中，对守信主体给予优先办理、简化程序等便利服务，同时严格规范联合惩戒名单认定，依法依规开展失信联合惩戒。</w:t>
      </w:r>
    </w:p>
    <w:p>
      <w:pPr>
        <w:spacing w:line="360" w:lineRule="exact"/>
        <w:ind w:firstLine="560" w:firstLineChars="200"/>
        <w:rPr>
          <w:sz w:val="28"/>
          <w:szCs w:val="28"/>
        </w:rPr>
      </w:pPr>
      <w:r>
        <w:rPr>
          <w:rFonts w:hint="eastAsia"/>
          <w:sz w:val="28"/>
          <w:szCs w:val="28"/>
        </w:rPr>
        <w:t>市</w:t>
      </w:r>
      <w:r>
        <w:rPr>
          <w:rFonts w:hint="eastAsia"/>
          <w:sz w:val="28"/>
          <w:szCs w:val="28"/>
          <w:lang w:val="en-US" w:eastAsia="zh-CN"/>
        </w:rPr>
        <w:t>发展改革</w:t>
      </w:r>
      <w:r>
        <w:rPr>
          <w:rFonts w:hint="eastAsia"/>
          <w:sz w:val="28"/>
          <w:szCs w:val="28"/>
        </w:rPr>
        <w:t>部门建立健全市场主体信用修复制度，明确失信的市场主体可以采取</w:t>
      </w:r>
      <w:r>
        <w:rPr>
          <w:rFonts w:hint="eastAsia"/>
          <w:sz w:val="28"/>
          <w:szCs w:val="28"/>
          <w:highlight w:val="none"/>
        </w:rPr>
        <w:t>作出</w:t>
      </w:r>
      <w:r>
        <w:rPr>
          <w:rFonts w:hint="eastAsia"/>
          <w:sz w:val="28"/>
          <w:szCs w:val="28"/>
        </w:rPr>
        <w:t>信用承诺、完成信用整改、通过信用核查、接受专题培训、提交信用报告、参加公益慈善活动等方式开展信用修复；对于完成信用修复的市场主体，有关政府部门应当及时停止公示其失信信息。</w:t>
      </w:r>
    </w:p>
    <w:p>
      <w:pPr>
        <w:spacing w:line="360" w:lineRule="exact"/>
        <w:ind w:firstLine="562" w:firstLineChars="200"/>
        <w:outlineLvl w:val="1"/>
        <w:rPr>
          <w:rStyle w:val="15"/>
          <w:rFonts w:ascii="宋体" w:hAnsi="宋体" w:eastAsia="宋体" w:cs="宋体"/>
          <w:sz w:val="28"/>
          <w:szCs w:val="24"/>
        </w:rPr>
      </w:pPr>
      <w:bookmarkStart w:id="341" w:name="_Toc26562"/>
      <w:bookmarkStart w:id="342" w:name="_Toc19466"/>
      <w:bookmarkStart w:id="343" w:name="_Toc30020"/>
      <w:bookmarkStart w:id="344" w:name="_Toc20961"/>
      <w:bookmarkStart w:id="345" w:name="_Toc19341"/>
      <w:r>
        <w:rPr>
          <w:rStyle w:val="15"/>
          <w:rFonts w:hint="eastAsia" w:ascii="宋体" w:hAnsi="宋体" w:eastAsia="宋体" w:cs="宋体"/>
          <w:sz w:val="28"/>
          <w:szCs w:val="24"/>
        </w:rPr>
        <w:t>第六十</w:t>
      </w:r>
      <w:r>
        <w:rPr>
          <w:rStyle w:val="15"/>
          <w:rFonts w:hint="eastAsia" w:ascii="宋体" w:hAnsi="宋体" w:eastAsia="宋体" w:cs="宋体"/>
          <w:sz w:val="28"/>
          <w:szCs w:val="24"/>
          <w:lang w:eastAsia="zh-CN"/>
        </w:rPr>
        <w:t>四</w:t>
      </w:r>
      <w:r>
        <w:rPr>
          <w:rStyle w:val="15"/>
          <w:rFonts w:hint="eastAsia" w:ascii="宋体" w:hAnsi="宋体" w:eastAsia="宋体" w:cs="宋体"/>
          <w:sz w:val="28"/>
          <w:szCs w:val="24"/>
        </w:rPr>
        <w:t>条 【包容审慎监管</w:t>
      </w:r>
      <w:r>
        <w:rPr>
          <w:rStyle w:val="15"/>
          <w:rFonts w:hint="eastAsia" w:ascii="宋体" w:hAnsi="宋体" w:eastAsia="宋体" w:cs="宋体"/>
          <w:sz w:val="28"/>
          <w:szCs w:val="24"/>
          <w:lang w:eastAsia="zh-CN"/>
        </w:rPr>
        <w:t>和</w:t>
      </w:r>
      <w:r>
        <w:rPr>
          <w:rStyle w:val="15"/>
          <w:rFonts w:hint="eastAsia" w:ascii="宋体" w:hAnsi="宋体" w:eastAsia="宋体" w:cs="宋体"/>
          <w:sz w:val="28"/>
          <w:szCs w:val="24"/>
        </w:rPr>
        <w:t>非现场监管</w:t>
      </w:r>
      <w:r>
        <w:rPr>
          <w:rStyle w:val="15"/>
          <w:rFonts w:hint="eastAsia" w:ascii="宋体" w:hAnsi="宋体" w:eastAsia="宋体" w:cs="宋体"/>
          <w:sz w:val="28"/>
          <w:szCs w:val="24"/>
        </w:rPr>
        <w:tab/>
      </w:r>
      <w:r>
        <w:rPr>
          <w:rStyle w:val="15"/>
          <w:rFonts w:hint="eastAsia" w:ascii="宋体" w:hAnsi="宋体" w:eastAsia="宋体" w:cs="宋体"/>
          <w:sz w:val="28"/>
          <w:szCs w:val="24"/>
        </w:rPr>
        <w:t>】</w:t>
      </w:r>
      <w:bookmarkEnd w:id="341"/>
      <w:bookmarkEnd w:id="342"/>
      <w:bookmarkEnd w:id="343"/>
      <w:bookmarkEnd w:id="344"/>
    </w:p>
    <w:bookmarkEnd w:id="345"/>
    <w:p>
      <w:pPr>
        <w:spacing w:line="360" w:lineRule="exact"/>
        <w:ind w:firstLine="560" w:firstLineChars="200"/>
        <w:rPr>
          <w:sz w:val="28"/>
          <w:szCs w:val="28"/>
        </w:rPr>
      </w:pPr>
      <w:r>
        <w:rPr>
          <w:rFonts w:hint="eastAsia"/>
          <w:sz w:val="28"/>
          <w:szCs w:val="28"/>
          <w:lang w:eastAsia="zh-CN"/>
        </w:rPr>
        <w:t>各级各</w:t>
      </w:r>
      <w:r>
        <w:rPr>
          <w:rFonts w:hint="eastAsia"/>
          <w:sz w:val="28"/>
          <w:szCs w:val="28"/>
        </w:rPr>
        <w:t>部门应当按照鼓励创新</w:t>
      </w:r>
      <w:r>
        <w:rPr>
          <w:rFonts w:hint="eastAsia"/>
          <w:sz w:val="28"/>
          <w:szCs w:val="28"/>
          <w:lang w:eastAsia="zh-CN"/>
        </w:rPr>
        <w:t>、</w:t>
      </w:r>
      <w:r>
        <w:rPr>
          <w:rFonts w:hint="eastAsia"/>
          <w:sz w:val="28"/>
          <w:szCs w:val="28"/>
        </w:rPr>
        <w:t>确保质量和安全的原则，对新技术、新产业、新业态、新模式等实行包容审慎监管，针对其性质、特点分类制定临时性、过渡性监管规则和措施，引导其健康规范发展。</w:t>
      </w:r>
    </w:p>
    <w:p>
      <w:pPr>
        <w:spacing w:line="360" w:lineRule="exact"/>
        <w:ind w:firstLine="0" w:firstLineChars="0"/>
        <w:rPr>
          <w:sz w:val="28"/>
          <w:szCs w:val="28"/>
        </w:rPr>
      </w:pPr>
      <w:r>
        <w:rPr>
          <w:rFonts w:hint="eastAsia"/>
          <w:sz w:val="28"/>
          <w:szCs w:val="28"/>
        </w:rPr>
        <w:t>建立健全市场主体轻微违法违规经营行为包容审慎监管制度，明确轻微违法违规经营行为的具体情形，并依法不予行政处罚。</w:t>
      </w:r>
    </w:p>
    <w:p>
      <w:pPr>
        <w:spacing w:line="360" w:lineRule="exact"/>
        <w:ind w:firstLine="560" w:firstLineChars="200"/>
        <w:rPr>
          <w:sz w:val="28"/>
          <w:szCs w:val="28"/>
        </w:rPr>
      </w:pPr>
      <w:r>
        <w:rPr>
          <w:rFonts w:hint="eastAsia"/>
          <w:sz w:val="28"/>
          <w:szCs w:val="28"/>
        </w:rPr>
        <w:t>市、区</w:t>
      </w:r>
      <w:r>
        <w:rPr>
          <w:rFonts w:hint="eastAsia"/>
          <w:sz w:val="28"/>
          <w:szCs w:val="28"/>
          <w:lang w:eastAsia="zh-CN"/>
        </w:rPr>
        <w:t>（县）</w:t>
      </w:r>
      <w:r>
        <w:rPr>
          <w:rFonts w:hint="eastAsia"/>
          <w:sz w:val="28"/>
          <w:szCs w:val="28"/>
        </w:rPr>
        <w:t>人民政府及其有关部门应当充分运用现代科技手段，实现各级各部门在线监管系统对接国家在线监管系统，做好监管业务数据、投诉举报数据以及第三方相关数据等信息归集共享和关联整合，为开展信用监管、“双随机、一公开”监管、联合执法等提供支撑。</w:t>
      </w:r>
    </w:p>
    <w:p>
      <w:pPr>
        <w:spacing w:line="360" w:lineRule="exact"/>
        <w:ind w:firstLine="560" w:firstLineChars="200"/>
        <w:rPr>
          <w:sz w:val="28"/>
          <w:szCs w:val="28"/>
        </w:rPr>
      </w:pPr>
      <w:r>
        <w:rPr>
          <w:rFonts w:hint="eastAsia"/>
          <w:sz w:val="28"/>
          <w:szCs w:val="28"/>
        </w:rPr>
        <w:t>市、区</w:t>
      </w:r>
      <w:r>
        <w:rPr>
          <w:rFonts w:hint="eastAsia"/>
          <w:sz w:val="28"/>
          <w:szCs w:val="28"/>
          <w:lang w:eastAsia="zh-CN"/>
        </w:rPr>
        <w:t>（县）</w:t>
      </w:r>
      <w:r>
        <w:rPr>
          <w:rFonts w:hint="eastAsia"/>
          <w:sz w:val="28"/>
          <w:szCs w:val="28"/>
        </w:rPr>
        <w:t>人民政府及其有关部门应当推行远程监管、移动监管、预警防控等非现场监管，推动监管事项全覆盖、监管过程全记录和监管数据可共享、可分析、可预警。</w:t>
      </w:r>
    </w:p>
    <w:p>
      <w:pPr>
        <w:spacing w:line="360" w:lineRule="exact"/>
        <w:ind w:firstLine="562" w:firstLineChars="200"/>
        <w:outlineLvl w:val="1"/>
        <w:rPr>
          <w:rStyle w:val="15"/>
          <w:rFonts w:ascii="宋体" w:hAnsi="宋体" w:eastAsia="宋体" w:cs="宋体"/>
          <w:sz w:val="28"/>
          <w:szCs w:val="24"/>
        </w:rPr>
      </w:pPr>
      <w:bookmarkStart w:id="346" w:name="_Toc3255"/>
      <w:bookmarkStart w:id="347" w:name="_Toc15479"/>
      <w:bookmarkStart w:id="348" w:name="_Toc19529"/>
      <w:bookmarkStart w:id="349" w:name="_Toc30583"/>
      <w:bookmarkStart w:id="350" w:name="_Toc9179"/>
      <w:r>
        <w:rPr>
          <w:rStyle w:val="15"/>
          <w:rFonts w:hint="eastAsia" w:ascii="宋体" w:hAnsi="宋体" w:eastAsia="宋体" w:cs="宋体"/>
          <w:sz w:val="28"/>
          <w:szCs w:val="24"/>
        </w:rPr>
        <w:t>第六十</w:t>
      </w:r>
      <w:r>
        <w:rPr>
          <w:rStyle w:val="15"/>
          <w:rFonts w:hint="eastAsia" w:ascii="宋体" w:hAnsi="宋体" w:eastAsia="宋体" w:cs="宋体"/>
          <w:sz w:val="28"/>
          <w:szCs w:val="24"/>
          <w:lang w:eastAsia="zh-CN"/>
        </w:rPr>
        <w:t>五</w:t>
      </w:r>
      <w:r>
        <w:rPr>
          <w:rStyle w:val="15"/>
          <w:rFonts w:hint="eastAsia" w:ascii="宋体" w:hAnsi="宋体" w:eastAsia="宋体" w:cs="宋体"/>
          <w:sz w:val="28"/>
          <w:szCs w:val="24"/>
        </w:rPr>
        <w:t>条 【规范行政执法</w:t>
      </w:r>
      <w:r>
        <w:rPr>
          <w:rStyle w:val="15"/>
          <w:rFonts w:hint="eastAsia" w:ascii="宋体" w:hAnsi="宋体" w:eastAsia="宋体" w:cs="宋体"/>
          <w:sz w:val="28"/>
          <w:szCs w:val="24"/>
          <w:lang w:eastAsia="zh-CN"/>
        </w:rPr>
        <w:t>和</w:t>
      </w:r>
      <w:r>
        <w:rPr>
          <w:rStyle w:val="15"/>
          <w:rFonts w:hint="eastAsia" w:ascii="宋体" w:hAnsi="宋体" w:eastAsia="宋体" w:cs="宋体"/>
          <w:sz w:val="28"/>
          <w:szCs w:val="24"/>
        </w:rPr>
        <w:t>跨部门联合监管】</w:t>
      </w:r>
      <w:bookmarkEnd w:id="346"/>
      <w:bookmarkEnd w:id="347"/>
      <w:bookmarkEnd w:id="348"/>
      <w:bookmarkEnd w:id="349"/>
    </w:p>
    <w:bookmarkEnd w:id="350"/>
    <w:p>
      <w:pPr>
        <w:spacing w:line="360" w:lineRule="exact"/>
        <w:ind w:firstLine="560" w:firstLineChars="200"/>
        <w:rPr>
          <w:sz w:val="28"/>
          <w:szCs w:val="28"/>
        </w:rPr>
      </w:pPr>
      <w:r>
        <w:rPr>
          <w:rFonts w:hint="eastAsia"/>
          <w:sz w:val="28"/>
          <w:szCs w:val="28"/>
        </w:rPr>
        <w:t>行政执法应由具备相应资格的执法人员按照法定程序实施。依法查处涉及市场主体的案件时，应减少对市场主体合法生产经营活动的影响，不得查封、扣押与违法行为无关的场所、设施或者财物。</w:t>
      </w:r>
    </w:p>
    <w:p>
      <w:pPr>
        <w:spacing w:line="360" w:lineRule="exact"/>
        <w:ind w:firstLine="560" w:firstLineChars="200"/>
        <w:rPr>
          <w:sz w:val="28"/>
          <w:szCs w:val="28"/>
        </w:rPr>
      </w:pPr>
      <w:r>
        <w:rPr>
          <w:rFonts w:hint="eastAsia"/>
          <w:sz w:val="28"/>
          <w:szCs w:val="28"/>
        </w:rPr>
        <w:t>本市全面落实行政执法公示、行政执法全过程记录和重大行政执法决定法制审核制度，通过考核、定期报告、协调指导、执法数据共享等方式，推进行政执法严格规范公正文明。</w:t>
      </w:r>
    </w:p>
    <w:p>
      <w:pPr>
        <w:spacing w:line="360" w:lineRule="exact"/>
        <w:ind w:firstLine="560" w:firstLineChars="200"/>
        <w:rPr>
          <w:sz w:val="28"/>
          <w:szCs w:val="28"/>
        </w:rPr>
      </w:pPr>
      <w:r>
        <w:rPr>
          <w:rFonts w:hint="eastAsia"/>
          <w:sz w:val="28"/>
          <w:szCs w:val="28"/>
        </w:rPr>
        <w:t>本市深化行政综合执法改革，推进相对集中行使行政处罚权，统筹配置行政执法资源。各行政执法部门应当根据监管需求，加强执法协作，明确联动程序，提高跨部门、跨领域联合执法效能。</w:t>
      </w:r>
    </w:p>
    <w:p>
      <w:pPr>
        <w:spacing w:line="360" w:lineRule="exact"/>
        <w:ind w:firstLine="562" w:firstLineChars="200"/>
        <w:outlineLvl w:val="1"/>
        <w:rPr>
          <w:rStyle w:val="15"/>
          <w:rFonts w:ascii="宋体" w:hAnsi="宋体" w:eastAsia="宋体" w:cs="宋体"/>
          <w:sz w:val="28"/>
          <w:szCs w:val="24"/>
        </w:rPr>
      </w:pPr>
      <w:bookmarkStart w:id="351" w:name="_Toc4837"/>
      <w:bookmarkStart w:id="352" w:name="_Toc5849"/>
      <w:bookmarkStart w:id="353" w:name="_Toc18908"/>
      <w:bookmarkStart w:id="354" w:name="_Toc21686"/>
      <w:bookmarkStart w:id="355" w:name="_Toc2097"/>
      <w:r>
        <w:rPr>
          <w:rStyle w:val="15"/>
          <w:rFonts w:hint="eastAsia" w:ascii="宋体" w:hAnsi="宋体" w:eastAsia="宋体" w:cs="宋体"/>
          <w:sz w:val="28"/>
          <w:szCs w:val="24"/>
        </w:rPr>
        <w:t>第六十</w:t>
      </w:r>
      <w:r>
        <w:rPr>
          <w:rStyle w:val="15"/>
          <w:rFonts w:hint="eastAsia" w:ascii="宋体" w:hAnsi="宋体" w:eastAsia="宋体" w:cs="宋体"/>
          <w:sz w:val="28"/>
          <w:szCs w:val="24"/>
          <w:lang w:eastAsia="zh-CN"/>
        </w:rPr>
        <w:t>六</w:t>
      </w:r>
      <w:r>
        <w:rPr>
          <w:rStyle w:val="15"/>
          <w:rFonts w:hint="eastAsia" w:ascii="宋体" w:hAnsi="宋体" w:eastAsia="宋体" w:cs="宋体"/>
          <w:sz w:val="28"/>
          <w:szCs w:val="24"/>
        </w:rPr>
        <w:t>条 【双随机一公开】</w:t>
      </w:r>
      <w:bookmarkEnd w:id="351"/>
      <w:bookmarkEnd w:id="352"/>
      <w:bookmarkEnd w:id="353"/>
      <w:bookmarkEnd w:id="354"/>
      <w:r>
        <w:rPr>
          <w:rStyle w:val="15"/>
          <w:rFonts w:hint="eastAsia" w:ascii="宋体" w:hAnsi="宋体" w:eastAsia="宋体" w:cs="宋体"/>
          <w:sz w:val="28"/>
          <w:szCs w:val="24"/>
        </w:rPr>
        <w:tab/>
      </w:r>
    </w:p>
    <w:bookmarkEnd w:id="355"/>
    <w:p>
      <w:pPr>
        <w:spacing w:line="360" w:lineRule="exact"/>
        <w:ind w:firstLine="560" w:firstLineChars="200"/>
        <w:rPr>
          <w:rFonts w:hint="eastAsia"/>
          <w:sz w:val="28"/>
          <w:szCs w:val="28"/>
        </w:rPr>
      </w:pPr>
      <w:r>
        <w:rPr>
          <w:rFonts w:hint="eastAsia"/>
          <w:sz w:val="28"/>
          <w:szCs w:val="28"/>
        </w:rPr>
        <w:t>除直接涉及公共安全和人民群众生命健康等特殊行业、重点领域外，市场监管领域各相关部门在监管过程中通过随机抽取检查对象、随机选派执法检查人员的方式开展行政检查。</w:t>
      </w:r>
    </w:p>
    <w:p>
      <w:pPr>
        <w:spacing w:line="360" w:lineRule="exact"/>
        <w:ind w:firstLine="560" w:firstLineChars="200"/>
        <w:rPr>
          <w:sz w:val="28"/>
          <w:szCs w:val="28"/>
        </w:rPr>
      </w:pPr>
      <w:r>
        <w:rPr>
          <w:rFonts w:hint="eastAsia"/>
          <w:sz w:val="28"/>
          <w:szCs w:val="28"/>
        </w:rPr>
        <w:t>有关政府部门应当确定本行业或者本领域实行“双随机、一公开”监管的范围，健全随机抽查系统，完善相关细则。</w:t>
      </w:r>
    </w:p>
    <w:p>
      <w:pPr>
        <w:spacing w:line="360" w:lineRule="exact"/>
        <w:ind w:firstLine="560" w:firstLineChars="200"/>
        <w:rPr>
          <w:sz w:val="28"/>
          <w:szCs w:val="28"/>
        </w:rPr>
      </w:pPr>
      <w:r>
        <w:rPr>
          <w:rFonts w:hint="eastAsia"/>
          <w:sz w:val="28"/>
          <w:szCs w:val="28"/>
        </w:rPr>
        <w:t>随机抽查的比例频次、被抽查概率应当与抽查对象的信用等级、风险程度挂钩。针对同一检查对象的多个检查事项，应当合并或者纳入跨部门联合抽查范围。</w:t>
      </w:r>
    </w:p>
    <w:p>
      <w:pPr>
        <w:spacing w:line="360" w:lineRule="exact"/>
        <w:ind w:firstLine="560" w:firstLineChars="200"/>
        <w:rPr>
          <w:sz w:val="28"/>
          <w:szCs w:val="28"/>
        </w:rPr>
      </w:pPr>
      <w:r>
        <w:rPr>
          <w:rFonts w:hint="eastAsia"/>
          <w:sz w:val="28"/>
          <w:szCs w:val="28"/>
        </w:rPr>
        <w:t>市场监管领域各相关部门应当及时通过国家企业信用信息公示系统等平台向社会公开抽查情况及查处结果。</w:t>
      </w:r>
    </w:p>
    <w:p>
      <w:pPr>
        <w:spacing w:line="360" w:lineRule="exact"/>
        <w:ind w:firstLine="562" w:firstLineChars="200"/>
        <w:outlineLvl w:val="1"/>
        <w:rPr>
          <w:rStyle w:val="15"/>
          <w:rFonts w:ascii="宋体" w:hAnsi="宋体" w:eastAsia="宋体" w:cs="宋体"/>
          <w:sz w:val="28"/>
          <w:szCs w:val="24"/>
        </w:rPr>
      </w:pPr>
      <w:bookmarkStart w:id="356" w:name="_Toc29727"/>
      <w:bookmarkStart w:id="357" w:name="_Toc568"/>
      <w:bookmarkStart w:id="358" w:name="_Toc15247"/>
      <w:bookmarkStart w:id="359" w:name="_Toc2032"/>
      <w:bookmarkStart w:id="360" w:name="_Toc23711"/>
      <w:r>
        <w:rPr>
          <w:rStyle w:val="15"/>
          <w:rFonts w:hint="eastAsia" w:ascii="宋体" w:hAnsi="宋体" w:eastAsia="宋体" w:cs="宋体"/>
          <w:sz w:val="28"/>
          <w:szCs w:val="24"/>
        </w:rPr>
        <w:t>第</w:t>
      </w:r>
      <w:r>
        <w:rPr>
          <w:rStyle w:val="15"/>
          <w:rFonts w:hint="eastAsia" w:ascii="宋体" w:hAnsi="宋体" w:eastAsia="宋体" w:cs="宋体"/>
          <w:sz w:val="28"/>
          <w:szCs w:val="24"/>
          <w:lang w:eastAsia="zh-CN"/>
        </w:rPr>
        <w:t>六</w:t>
      </w:r>
      <w:r>
        <w:rPr>
          <w:rStyle w:val="15"/>
          <w:rFonts w:hint="eastAsia" w:ascii="宋体" w:hAnsi="宋体" w:eastAsia="宋体" w:cs="宋体"/>
          <w:sz w:val="28"/>
          <w:szCs w:val="24"/>
        </w:rPr>
        <w:t>十</w:t>
      </w:r>
      <w:r>
        <w:rPr>
          <w:rStyle w:val="15"/>
          <w:rFonts w:hint="eastAsia" w:ascii="宋体" w:hAnsi="宋体" w:eastAsia="宋体" w:cs="宋体"/>
          <w:sz w:val="28"/>
          <w:szCs w:val="24"/>
          <w:lang w:eastAsia="zh-CN"/>
        </w:rPr>
        <w:t>七</w:t>
      </w:r>
      <w:r>
        <w:rPr>
          <w:rStyle w:val="15"/>
          <w:rFonts w:hint="eastAsia" w:ascii="宋体" w:hAnsi="宋体" w:eastAsia="宋体" w:cs="宋体"/>
          <w:sz w:val="28"/>
          <w:szCs w:val="24"/>
        </w:rPr>
        <w:t>条 【规范强制措施】</w:t>
      </w:r>
      <w:bookmarkEnd w:id="356"/>
      <w:bookmarkEnd w:id="357"/>
      <w:bookmarkEnd w:id="358"/>
      <w:bookmarkEnd w:id="359"/>
      <w:r>
        <w:rPr>
          <w:rStyle w:val="15"/>
          <w:rFonts w:hint="eastAsia" w:ascii="宋体" w:hAnsi="宋体" w:eastAsia="宋体" w:cs="宋体"/>
          <w:sz w:val="28"/>
          <w:szCs w:val="24"/>
        </w:rPr>
        <w:tab/>
      </w:r>
    </w:p>
    <w:bookmarkEnd w:id="360"/>
    <w:p>
      <w:pPr>
        <w:spacing w:line="360" w:lineRule="exact"/>
        <w:ind w:firstLine="560" w:firstLineChars="200"/>
        <w:rPr>
          <w:sz w:val="28"/>
          <w:szCs w:val="28"/>
        </w:rPr>
      </w:pPr>
      <w:r>
        <w:rPr>
          <w:rFonts w:hint="eastAsia"/>
          <w:sz w:val="28"/>
          <w:szCs w:val="28"/>
        </w:rPr>
        <w:t>行政执法机关实施行政强制，应当遵循合法、适当、教育与强制相结合的原则，对采用非强制性手段能够达到行政管理目的的，不得实施行政强制；对违法行为情节轻微或者社会危害较小的，可以不实施行政强制；确需实施行政强制的，应当限定在必需的范围内，尽可能减少对市场主体正常生产经营活动的影响。市</w:t>
      </w:r>
      <w:r>
        <w:rPr>
          <w:rFonts w:hint="eastAsia"/>
          <w:sz w:val="28"/>
          <w:szCs w:val="28"/>
          <w:lang w:eastAsia="zh-CN"/>
        </w:rPr>
        <w:t>司法</w:t>
      </w:r>
      <w:r>
        <w:rPr>
          <w:rFonts w:hint="eastAsia"/>
          <w:sz w:val="28"/>
          <w:szCs w:val="28"/>
        </w:rPr>
        <w:t>部门可以探索建立不予实施行政强制措施清单。</w:t>
      </w:r>
    </w:p>
    <w:p>
      <w:pPr>
        <w:spacing w:line="360" w:lineRule="exact"/>
        <w:ind w:firstLine="560" w:firstLineChars="200"/>
        <w:rPr>
          <w:rFonts w:hint="eastAsia"/>
          <w:sz w:val="28"/>
          <w:szCs w:val="28"/>
        </w:rPr>
      </w:pPr>
      <w:r>
        <w:rPr>
          <w:rFonts w:hint="eastAsia"/>
          <w:sz w:val="28"/>
          <w:szCs w:val="28"/>
        </w:rPr>
        <w:t>没有充分法律依据，不得对市场主体的法定代表人、主要管理人员采取限制人身自由的强制措施；依法确需采取上述强制措施的， 应当按照规定时限通知家属。</w:t>
      </w:r>
    </w:p>
    <w:p>
      <w:pPr>
        <w:spacing w:line="360" w:lineRule="exact"/>
        <w:ind w:firstLine="562" w:firstLineChars="200"/>
        <w:outlineLvl w:val="1"/>
        <w:rPr>
          <w:rStyle w:val="15"/>
          <w:rFonts w:hint="eastAsia" w:ascii="宋体" w:hAnsi="宋体" w:eastAsia="宋体" w:cs="宋体"/>
          <w:sz w:val="28"/>
          <w:szCs w:val="28"/>
          <w:lang w:eastAsia="zh-CN"/>
        </w:rPr>
      </w:pPr>
      <w:bookmarkStart w:id="361" w:name="_Toc31959"/>
      <w:bookmarkStart w:id="362" w:name="_Toc2148"/>
      <w:bookmarkStart w:id="363" w:name="_Toc9086"/>
      <w:bookmarkStart w:id="364" w:name="_Toc27200"/>
      <w:bookmarkStart w:id="365" w:name="_Toc16249"/>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六</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 xml:space="preserve">条 </w:t>
      </w:r>
      <w:r>
        <w:rPr>
          <w:rStyle w:val="15"/>
          <w:rFonts w:hint="eastAsia" w:ascii="宋体" w:hAnsi="宋体" w:eastAsia="宋体" w:cs="宋体"/>
          <w:sz w:val="28"/>
          <w:szCs w:val="28"/>
          <w:lang w:eastAsia="zh-CN"/>
        </w:rPr>
        <w:t>【行政处罚】</w:t>
      </w:r>
      <w:bookmarkEnd w:id="361"/>
      <w:bookmarkEnd w:id="362"/>
      <w:bookmarkEnd w:id="363"/>
    </w:p>
    <w:p>
      <w:pPr>
        <w:spacing w:line="360" w:lineRule="exact"/>
        <w:ind w:firstLine="560" w:firstLineChars="200"/>
        <w:rPr>
          <w:rFonts w:hint="eastAsia"/>
          <w:sz w:val="28"/>
          <w:szCs w:val="28"/>
        </w:rPr>
      </w:pPr>
      <w:r>
        <w:rPr>
          <w:rFonts w:hint="eastAsia"/>
          <w:sz w:val="28"/>
          <w:szCs w:val="28"/>
        </w:rPr>
        <w:t>坚持处罚与教育相结合。行政机关应当优先采取说服教育、劝导示范、行政指导等手段纠正违法行为。</w:t>
      </w:r>
    </w:p>
    <w:p>
      <w:pPr>
        <w:spacing w:line="360" w:lineRule="exact"/>
        <w:ind w:firstLine="560" w:firstLineChars="200"/>
        <w:rPr>
          <w:rFonts w:hint="eastAsia"/>
          <w:sz w:val="28"/>
          <w:szCs w:val="28"/>
        </w:rPr>
      </w:pPr>
      <w:r>
        <w:rPr>
          <w:rFonts w:hint="eastAsia"/>
          <w:sz w:val="28"/>
          <w:szCs w:val="28"/>
        </w:rPr>
        <w:t>对市场主体违法情节较轻且能主动消除、减轻危害后果的或者教育劝导后予以纠正的违法行为，应当依法从轻、减轻行政处罚。对违法行为轻微并及时纠正，没有造成危害后果的，依法免予行政处罚。</w:t>
      </w:r>
    </w:p>
    <w:p>
      <w:pPr>
        <w:spacing w:line="360" w:lineRule="exact"/>
        <w:ind w:firstLine="560" w:firstLineChars="200"/>
        <w:rPr>
          <w:rFonts w:hint="eastAsia"/>
          <w:sz w:val="28"/>
          <w:szCs w:val="28"/>
        </w:rPr>
      </w:pPr>
      <w:r>
        <w:rPr>
          <w:rFonts w:hint="eastAsia"/>
          <w:sz w:val="28"/>
          <w:szCs w:val="28"/>
        </w:rPr>
        <w:t>市有关政府部门应当根据市场主体违法行为造成后果的严重程度，将本部门应当实施行政处罚的行为区分为一般违法行为和严重违法行为，制定相应目录及其公示期限，并向社会公布。</w:t>
      </w:r>
    </w:p>
    <w:p>
      <w:pPr>
        <w:spacing w:line="360" w:lineRule="exact"/>
        <w:ind w:firstLine="562" w:firstLineChars="200"/>
        <w:outlineLvl w:val="1"/>
        <w:rPr>
          <w:rStyle w:val="15"/>
          <w:rFonts w:ascii="宋体" w:hAnsi="宋体" w:eastAsia="宋体" w:cs="宋体"/>
          <w:sz w:val="28"/>
          <w:szCs w:val="28"/>
        </w:rPr>
      </w:pPr>
      <w:bookmarkStart w:id="366" w:name="_Toc21643"/>
      <w:bookmarkStart w:id="367" w:name="_Toc2215"/>
      <w:bookmarkStart w:id="368" w:name="_Toc27717"/>
      <w:r>
        <w:rPr>
          <w:rStyle w:val="15"/>
          <w:rFonts w:hint="eastAsia" w:ascii="宋体" w:hAnsi="宋体" w:eastAsia="宋体" w:cs="宋体"/>
          <w:sz w:val="28"/>
          <w:szCs w:val="28"/>
          <w:lang w:eastAsia="zh-CN"/>
        </w:rPr>
        <w:t>第六十九条</w:t>
      </w:r>
      <w:r>
        <w:rPr>
          <w:rStyle w:val="15"/>
          <w:rFonts w:hint="eastAsia" w:ascii="宋体" w:hAnsi="宋体" w:eastAsia="宋体" w:cs="宋体"/>
          <w:sz w:val="28"/>
          <w:szCs w:val="28"/>
          <w:lang w:val="en-US" w:eastAsia="zh-CN"/>
        </w:rPr>
        <w:t xml:space="preserve"> </w:t>
      </w:r>
      <w:r>
        <w:rPr>
          <w:rStyle w:val="15"/>
          <w:rFonts w:hint="eastAsia" w:ascii="宋体" w:hAnsi="宋体" w:eastAsia="宋体" w:cs="宋体"/>
          <w:sz w:val="28"/>
          <w:szCs w:val="28"/>
        </w:rPr>
        <w:t>【自由裁量权】</w:t>
      </w:r>
      <w:bookmarkEnd w:id="364"/>
      <w:bookmarkEnd w:id="366"/>
      <w:bookmarkEnd w:id="367"/>
      <w:bookmarkEnd w:id="368"/>
      <w:r>
        <w:rPr>
          <w:rStyle w:val="15"/>
          <w:rFonts w:hint="eastAsia" w:ascii="宋体" w:hAnsi="宋体" w:eastAsia="宋体" w:cs="宋体"/>
          <w:sz w:val="28"/>
          <w:szCs w:val="28"/>
        </w:rPr>
        <w:tab/>
      </w:r>
    </w:p>
    <w:bookmarkEnd w:id="365"/>
    <w:p>
      <w:pPr>
        <w:spacing w:line="360" w:lineRule="exact"/>
        <w:ind w:firstLine="560" w:firstLineChars="200"/>
        <w:rPr>
          <w:sz w:val="28"/>
          <w:szCs w:val="28"/>
        </w:rPr>
      </w:pPr>
      <w:r>
        <w:rPr>
          <w:rFonts w:hint="eastAsia"/>
          <w:sz w:val="28"/>
          <w:szCs w:val="28"/>
        </w:rPr>
        <w:t>市有关政府部门应当根据违法行为的事实、性质、情节以及社会危害程度、危害后果消除情况、违法行为人的主观过错，建立健全本行业、本领域行政处罚裁量基准制度，对行政处罚裁量基准实行动态管理，依法明确从轻、减轻或者不予行政处罚的具体情形，根据法律、法规、规章等调整情况和执法实践，及时制定、修订、废止行政处罚裁量基准。各行政执法单位应当按照本市有关规定，规范适用行政处罚裁量基准</w:t>
      </w:r>
      <w:r>
        <w:rPr>
          <w:rFonts w:hint="eastAsia"/>
          <w:sz w:val="28"/>
          <w:szCs w:val="28"/>
          <w:lang w:eastAsia="zh-CN"/>
        </w:rPr>
        <w:t>，</w:t>
      </w:r>
      <w:r>
        <w:rPr>
          <w:rFonts w:hint="eastAsia"/>
          <w:sz w:val="28"/>
          <w:szCs w:val="28"/>
        </w:rPr>
        <w:t>不得擅自突破裁量基准实施行政处罚。</w:t>
      </w:r>
    </w:p>
    <w:p>
      <w:pPr>
        <w:spacing w:line="360" w:lineRule="exact"/>
        <w:ind w:firstLine="562" w:firstLineChars="200"/>
        <w:outlineLvl w:val="1"/>
        <w:rPr>
          <w:rStyle w:val="15"/>
          <w:rFonts w:ascii="宋体" w:hAnsi="宋体" w:eastAsia="宋体" w:cs="宋体"/>
          <w:sz w:val="28"/>
          <w:szCs w:val="28"/>
        </w:rPr>
      </w:pPr>
      <w:bookmarkStart w:id="369" w:name="_Toc27332"/>
      <w:bookmarkStart w:id="370" w:name="_Toc12771"/>
      <w:bookmarkStart w:id="371" w:name="_Toc13829"/>
      <w:bookmarkStart w:id="372" w:name="_Toc26372"/>
      <w:bookmarkStart w:id="373" w:name="_Toc2346"/>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七</w:t>
      </w:r>
      <w:r>
        <w:rPr>
          <w:rStyle w:val="15"/>
          <w:rFonts w:hint="eastAsia" w:ascii="宋体" w:hAnsi="宋体" w:eastAsia="宋体" w:cs="宋体"/>
          <w:sz w:val="28"/>
          <w:szCs w:val="28"/>
        </w:rPr>
        <w:t>十条 【投诉举报制度】</w:t>
      </w:r>
      <w:bookmarkEnd w:id="369"/>
      <w:bookmarkEnd w:id="370"/>
      <w:bookmarkEnd w:id="371"/>
      <w:bookmarkEnd w:id="372"/>
      <w:r>
        <w:rPr>
          <w:rStyle w:val="15"/>
          <w:rFonts w:hint="eastAsia" w:ascii="宋体" w:hAnsi="宋体" w:eastAsia="宋体" w:cs="宋体"/>
          <w:sz w:val="28"/>
          <w:szCs w:val="28"/>
        </w:rPr>
        <w:tab/>
      </w:r>
    </w:p>
    <w:bookmarkEnd w:id="373"/>
    <w:p>
      <w:pPr>
        <w:spacing w:line="360" w:lineRule="exact"/>
        <w:ind w:firstLine="560" w:firstLineChars="200"/>
        <w:rPr>
          <w:sz w:val="28"/>
          <w:szCs w:val="28"/>
        </w:rPr>
      </w:pPr>
      <w:r>
        <w:rPr>
          <w:rFonts w:hint="eastAsia"/>
          <w:sz w:val="28"/>
          <w:szCs w:val="28"/>
        </w:rPr>
        <w:t>本市推进在特定行业、领域建立内部举报人等制度，鼓励行业、领域内部人员举报市场主体涉嫌严重违法违规行为和重大风险隐患，提高监管执法的针对性、有效性。有关政府部门接到举报投诉的，应当及时调查处理。查证属实的，有关政府部门加大对内部举报人的奖励力度，并对其实行严格保护。</w:t>
      </w:r>
    </w:p>
    <w:p>
      <w:pPr>
        <w:spacing w:line="360" w:lineRule="exact"/>
        <w:ind w:firstLine="562" w:firstLineChars="200"/>
        <w:outlineLvl w:val="1"/>
        <w:rPr>
          <w:rStyle w:val="15"/>
          <w:rFonts w:ascii="宋体" w:hAnsi="宋体" w:eastAsia="宋体" w:cs="宋体"/>
          <w:sz w:val="28"/>
          <w:szCs w:val="28"/>
        </w:rPr>
      </w:pPr>
      <w:bookmarkStart w:id="374" w:name="_Toc24102"/>
      <w:bookmarkStart w:id="375" w:name="_Toc12876"/>
      <w:bookmarkStart w:id="376" w:name="_Toc23118"/>
      <w:bookmarkStart w:id="377" w:name="_Toc20764"/>
      <w:bookmarkStart w:id="378" w:name="_Toc23876"/>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七</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一</w:t>
      </w:r>
      <w:r>
        <w:rPr>
          <w:rStyle w:val="15"/>
          <w:rFonts w:hint="eastAsia" w:ascii="宋体" w:hAnsi="宋体" w:eastAsia="宋体" w:cs="宋体"/>
          <w:sz w:val="28"/>
          <w:szCs w:val="28"/>
        </w:rPr>
        <w:t>条 【反垄断和反不正当竞争】</w:t>
      </w:r>
      <w:bookmarkEnd w:id="374"/>
      <w:bookmarkEnd w:id="375"/>
      <w:bookmarkEnd w:id="376"/>
      <w:bookmarkEnd w:id="377"/>
      <w:r>
        <w:rPr>
          <w:rStyle w:val="15"/>
          <w:rFonts w:hint="eastAsia" w:ascii="宋体" w:hAnsi="宋体" w:eastAsia="宋体" w:cs="宋体"/>
          <w:sz w:val="28"/>
          <w:szCs w:val="28"/>
        </w:rPr>
        <w:tab/>
      </w:r>
    </w:p>
    <w:bookmarkEnd w:id="378"/>
    <w:p>
      <w:pPr>
        <w:spacing w:line="360" w:lineRule="exact"/>
        <w:ind w:firstLine="560" w:firstLineChars="200"/>
        <w:rPr>
          <w:rFonts w:ascii="黑体" w:hAnsi="黑体" w:eastAsia="黑体" w:cs="黑体"/>
          <w:sz w:val="32"/>
          <w:szCs w:val="32"/>
        </w:rPr>
      </w:pPr>
      <w:r>
        <w:rPr>
          <w:rFonts w:hint="eastAsia"/>
          <w:sz w:val="28"/>
          <w:szCs w:val="28"/>
          <w:lang w:eastAsia="zh-CN"/>
        </w:rPr>
        <w:t>市</w:t>
      </w:r>
      <w:r>
        <w:rPr>
          <w:rFonts w:hint="eastAsia"/>
          <w:sz w:val="28"/>
          <w:szCs w:val="28"/>
        </w:rPr>
        <w:t>市场监督管理部门应当加大反垄断和反不正当竞争执法力度，有效预防和制止市场经济活动中的垄断行为，滥用行政权力排除、限制竞争行为，侵犯商业秘密，商业诋毁，以及互联网不正当竞争行为。</w:t>
      </w:r>
    </w:p>
    <w:p>
      <w:pPr>
        <w:pStyle w:val="2"/>
        <w:jc w:val="center"/>
        <w:rPr>
          <w:rFonts w:ascii="黑体" w:hAnsi="黑体" w:eastAsia="黑体" w:cs="黑体"/>
          <w:b w:val="0"/>
          <w:bCs/>
          <w:sz w:val="32"/>
          <w:szCs w:val="32"/>
        </w:rPr>
      </w:pPr>
      <w:bookmarkStart w:id="379" w:name="_Toc17360"/>
      <w:bookmarkStart w:id="380" w:name="_Toc24534"/>
      <w:bookmarkStart w:id="381" w:name="_Toc13814"/>
      <w:bookmarkStart w:id="382" w:name="_Toc16923"/>
      <w:bookmarkStart w:id="383" w:name="_Toc20171"/>
      <w:r>
        <w:rPr>
          <w:rFonts w:hint="eastAsia" w:ascii="黑体" w:hAnsi="黑体" w:eastAsia="黑体" w:cs="黑体"/>
          <w:b w:val="0"/>
          <w:bCs/>
          <w:sz w:val="32"/>
          <w:szCs w:val="32"/>
        </w:rPr>
        <w:t>第六章 法治保障</w:t>
      </w:r>
      <w:bookmarkEnd w:id="379"/>
      <w:bookmarkEnd w:id="380"/>
      <w:bookmarkEnd w:id="381"/>
      <w:bookmarkEnd w:id="382"/>
      <w:bookmarkEnd w:id="383"/>
    </w:p>
    <w:p>
      <w:pPr>
        <w:spacing w:line="360" w:lineRule="exact"/>
        <w:ind w:firstLine="562" w:firstLineChars="200"/>
        <w:outlineLvl w:val="1"/>
        <w:rPr>
          <w:rStyle w:val="15"/>
          <w:rFonts w:ascii="宋体" w:hAnsi="宋体" w:eastAsia="宋体" w:cs="宋体"/>
          <w:sz w:val="28"/>
          <w:szCs w:val="28"/>
        </w:rPr>
      </w:pPr>
      <w:bookmarkStart w:id="384" w:name="_Toc30435"/>
      <w:bookmarkStart w:id="385" w:name="_Toc5550"/>
      <w:bookmarkStart w:id="386" w:name="_Toc876"/>
      <w:bookmarkStart w:id="387" w:name="_Toc2656"/>
      <w:bookmarkStart w:id="388" w:name="_Toc16991"/>
      <w:r>
        <w:rPr>
          <w:rStyle w:val="15"/>
          <w:rFonts w:hint="eastAsia" w:ascii="宋体" w:hAnsi="宋体" w:eastAsia="宋体" w:cs="宋体"/>
          <w:sz w:val="28"/>
          <w:szCs w:val="28"/>
        </w:rPr>
        <w:t>第七十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【立改废释】</w:t>
      </w:r>
      <w:bookmarkEnd w:id="384"/>
      <w:bookmarkEnd w:id="385"/>
      <w:bookmarkEnd w:id="386"/>
      <w:bookmarkEnd w:id="387"/>
      <w:r>
        <w:rPr>
          <w:rStyle w:val="15"/>
          <w:rFonts w:hint="eastAsia" w:ascii="宋体" w:hAnsi="宋体" w:eastAsia="宋体" w:cs="宋体"/>
          <w:sz w:val="28"/>
          <w:szCs w:val="28"/>
        </w:rPr>
        <w:tab/>
      </w:r>
    </w:p>
    <w:bookmarkEnd w:id="388"/>
    <w:p>
      <w:pPr>
        <w:spacing w:line="360" w:lineRule="exact"/>
        <w:ind w:firstLine="560" w:firstLineChars="200"/>
        <w:rPr>
          <w:rFonts w:hint="eastAsia"/>
          <w:sz w:val="28"/>
          <w:szCs w:val="28"/>
        </w:rPr>
      </w:pPr>
      <w:r>
        <w:rPr>
          <w:rFonts w:hint="eastAsia"/>
          <w:sz w:val="28"/>
          <w:szCs w:val="28"/>
        </w:rPr>
        <w:t>本市立足开放改革创新的实践需要，根据国家授权及本</w:t>
      </w:r>
      <w:r>
        <w:rPr>
          <w:rFonts w:hint="eastAsia"/>
          <w:sz w:val="28"/>
          <w:szCs w:val="28"/>
          <w:lang w:eastAsia="zh-CN"/>
        </w:rPr>
        <w:t>市</w:t>
      </w:r>
      <w:r>
        <w:rPr>
          <w:rFonts w:hint="eastAsia"/>
          <w:sz w:val="28"/>
          <w:szCs w:val="28"/>
        </w:rPr>
        <w:t>立法权限，通过地方性法规、政府规章开展先行先试，通过制度创新，确立企业市场主体、创新主体地位，保障企业生产经营自主权</w:t>
      </w:r>
      <w:r>
        <w:rPr>
          <w:rFonts w:hint="eastAsia"/>
          <w:sz w:val="28"/>
          <w:szCs w:val="28"/>
          <w:lang w:eastAsia="zh-CN"/>
        </w:rPr>
        <w:t>，着力构建法治化营商环境</w:t>
      </w:r>
      <w:r>
        <w:rPr>
          <w:rFonts w:hint="eastAsia"/>
          <w:sz w:val="28"/>
          <w:szCs w:val="28"/>
        </w:rPr>
        <w:t>。</w:t>
      </w:r>
    </w:p>
    <w:p>
      <w:pPr>
        <w:spacing w:line="360" w:lineRule="exact"/>
        <w:ind w:firstLine="560" w:firstLineChars="200"/>
        <w:rPr>
          <w:rFonts w:hint="eastAsia" w:eastAsiaTheme="minorEastAsia"/>
          <w:sz w:val="28"/>
          <w:szCs w:val="28"/>
          <w:lang w:eastAsia="zh-CN"/>
        </w:rPr>
      </w:pPr>
      <w:r>
        <w:rPr>
          <w:rFonts w:hint="eastAsia"/>
          <w:sz w:val="28"/>
          <w:szCs w:val="28"/>
          <w:lang w:eastAsia="zh-CN"/>
        </w:rPr>
        <w:t>市、区（县）人民政府</w:t>
      </w:r>
      <w:r>
        <w:rPr>
          <w:rFonts w:hint="eastAsia"/>
          <w:sz w:val="28"/>
          <w:szCs w:val="28"/>
        </w:rPr>
        <w:t>应当定期</w:t>
      </w:r>
      <w:r>
        <w:rPr>
          <w:rFonts w:hint="eastAsia"/>
          <w:sz w:val="28"/>
          <w:szCs w:val="28"/>
          <w:lang w:eastAsia="zh-CN"/>
        </w:rPr>
        <w:t>开展地方性法规、规章、规范性文件及其他政策文件评估和清理，</w:t>
      </w:r>
      <w:r>
        <w:rPr>
          <w:rFonts w:hint="eastAsia"/>
          <w:sz w:val="28"/>
          <w:szCs w:val="28"/>
        </w:rPr>
        <w:t>及时修改或者废止与法律、法规和经济社会发展需要不一致的地方性法规、规章、规范性文件及其他政策文件，并予以公布</w:t>
      </w:r>
      <w:r>
        <w:rPr>
          <w:rFonts w:hint="eastAsia"/>
          <w:sz w:val="28"/>
          <w:szCs w:val="28"/>
          <w:lang w:eastAsia="zh-CN"/>
        </w:rPr>
        <w:t>；对符合上级法律、法规、规章及政策文件原则规定，针对改革实践需要，可以进行细化解释及规定，并报请上级审核同意后实施。</w:t>
      </w:r>
    </w:p>
    <w:p>
      <w:pPr>
        <w:spacing w:line="360" w:lineRule="exact"/>
        <w:ind w:firstLine="562" w:firstLineChars="200"/>
        <w:outlineLvl w:val="1"/>
        <w:rPr>
          <w:rStyle w:val="15"/>
          <w:rFonts w:ascii="宋体" w:hAnsi="宋体" w:eastAsia="宋体" w:cs="宋体"/>
          <w:sz w:val="28"/>
          <w:szCs w:val="28"/>
        </w:rPr>
      </w:pPr>
      <w:bookmarkStart w:id="389" w:name="_Toc3775"/>
      <w:bookmarkStart w:id="390" w:name="_Toc26047"/>
      <w:bookmarkStart w:id="391" w:name="_Toc2493"/>
      <w:bookmarkStart w:id="392" w:name="_Toc4751"/>
      <w:bookmarkStart w:id="393" w:name="_Toc14312"/>
      <w:r>
        <w:rPr>
          <w:rStyle w:val="15"/>
          <w:rFonts w:hint="eastAsia" w:ascii="宋体" w:hAnsi="宋体" w:eastAsia="宋体" w:cs="宋体"/>
          <w:sz w:val="28"/>
          <w:szCs w:val="28"/>
        </w:rPr>
        <w:t>第七十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 【合法性审查】</w:t>
      </w:r>
      <w:bookmarkEnd w:id="389"/>
      <w:bookmarkEnd w:id="390"/>
      <w:bookmarkEnd w:id="391"/>
      <w:bookmarkEnd w:id="392"/>
    </w:p>
    <w:bookmarkEnd w:id="393"/>
    <w:p>
      <w:pPr>
        <w:spacing w:line="360" w:lineRule="exact"/>
        <w:rPr>
          <w:sz w:val="28"/>
          <w:szCs w:val="28"/>
        </w:rPr>
      </w:pPr>
      <w:r>
        <w:rPr>
          <w:rFonts w:hint="eastAsia"/>
          <w:sz w:val="28"/>
          <w:szCs w:val="28"/>
        </w:rPr>
        <w:tab/>
      </w:r>
      <w:r>
        <w:rPr>
          <w:rFonts w:hint="eastAsia"/>
          <w:sz w:val="28"/>
          <w:szCs w:val="28"/>
        </w:rPr>
        <w:t xml:space="preserve"> 制定涉及市场主体权利义务的行政规范性文件，应当按照规定进行合法性审核。鼓励社会第三方机构参与公平竞争审查工作。</w:t>
      </w:r>
    </w:p>
    <w:p>
      <w:pPr>
        <w:spacing w:line="360" w:lineRule="exact"/>
        <w:ind w:firstLine="560" w:firstLineChars="200"/>
        <w:rPr>
          <w:sz w:val="28"/>
          <w:szCs w:val="28"/>
        </w:rPr>
      </w:pPr>
      <w:r>
        <w:rPr>
          <w:rFonts w:hint="eastAsia"/>
          <w:sz w:val="28"/>
          <w:szCs w:val="28"/>
        </w:rPr>
        <w:t>市场主体认为政府的政策措施违反上位法规定，侵害其合法权益的，可以向政策制定机关或者直接向政策制定机关的上一级机关书面提出审查建议。</w:t>
      </w:r>
    </w:p>
    <w:p>
      <w:pPr>
        <w:spacing w:line="360" w:lineRule="exact"/>
        <w:ind w:firstLine="560" w:firstLineChars="200"/>
        <w:rPr>
          <w:sz w:val="28"/>
          <w:szCs w:val="28"/>
        </w:rPr>
      </w:pPr>
      <w:r>
        <w:rPr>
          <w:rFonts w:hint="eastAsia"/>
          <w:sz w:val="28"/>
          <w:szCs w:val="28"/>
        </w:rPr>
        <w:t>前款规定的机关应当自收到书面审查建议之日起三十日内，对该规范性文件是否存在下列情形进行审查并作出书面决定：</w:t>
      </w:r>
    </w:p>
    <w:p>
      <w:pPr>
        <w:spacing w:line="360" w:lineRule="exact"/>
        <w:ind w:firstLine="560" w:firstLineChars="200"/>
        <w:rPr>
          <w:sz w:val="28"/>
          <w:szCs w:val="28"/>
        </w:rPr>
      </w:pPr>
      <w:r>
        <w:rPr>
          <w:rFonts w:hint="eastAsia"/>
          <w:sz w:val="28"/>
          <w:szCs w:val="28"/>
        </w:rPr>
        <w:t>（一）同法律、法规规定相抵触的；</w:t>
      </w:r>
    </w:p>
    <w:p>
      <w:pPr>
        <w:spacing w:line="360" w:lineRule="exact"/>
        <w:ind w:firstLine="560" w:firstLineChars="200"/>
        <w:rPr>
          <w:sz w:val="28"/>
          <w:szCs w:val="28"/>
        </w:rPr>
      </w:pPr>
      <w:r>
        <w:rPr>
          <w:rFonts w:hint="eastAsia"/>
          <w:sz w:val="28"/>
          <w:szCs w:val="28"/>
        </w:rPr>
        <w:t>（二）超越权限，非法限制或者剥夺市场主体的合法权利，或者增加市场主体的义务的；</w:t>
      </w:r>
    </w:p>
    <w:p>
      <w:pPr>
        <w:spacing w:line="360" w:lineRule="exact"/>
        <w:ind w:firstLine="560" w:firstLineChars="200"/>
        <w:rPr>
          <w:sz w:val="28"/>
          <w:szCs w:val="28"/>
        </w:rPr>
      </w:pPr>
      <w:r>
        <w:rPr>
          <w:rFonts w:hint="eastAsia"/>
          <w:sz w:val="28"/>
          <w:szCs w:val="28"/>
        </w:rPr>
        <w:t>（三）违反法定程序的；</w:t>
      </w:r>
    </w:p>
    <w:p>
      <w:pPr>
        <w:spacing w:line="360" w:lineRule="exact"/>
        <w:ind w:firstLine="560" w:firstLineChars="200"/>
        <w:rPr>
          <w:rFonts w:hint="eastAsia"/>
          <w:sz w:val="28"/>
          <w:szCs w:val="28"/>
        </w:rPr>
      </w:pPr>
      <w:r>
        <w:rPr>
          <w:rFonts w:hint="eastAsia"/>
          <w:sz w:val="28"/>
          <w:szCs w:val="28"/>
        </w:rPr>
        <w:t>（四）有其他不适当的情形的。</w:t>
      </w:r>
    </w:p>
    <w:p>
      <w:pPr>
        <w:spacing w:line="360" w:lineRule="exact"/>
        <w:ind w:firstLine="560" w:firstLineChars="200"/>
        <w:rPr>
          <w:rFonts w:hint="eastAsia"/>
          <w:sz w:val="28"/>
          <w:szCs w:val="28"/>
        </w:rPr>
      </w:pPr>
      <w:r>
        <w:rPr>
          <w:rFonts w:hint="eastAsia"/>
          <w:sz w:val="28"/>
          <w:szCs w:val="28"/>
        </w:rPr>
        <w:t xml:space="preserve">探索建立涉企政策综合协调审查机制，避免部门间政策矛盾冲突，实现涉企政策与企业发展实际相协调，增强政策实施效果。    </w:t>
      </w:r>
    </w:p>
    <w:p>
      <w:pPr>
        <w:spacing w:line="360" w:lineRule="exact"/>
        <w:ind w:firstLine="562" w:firstLineChars="200"/>
        <w:outlineLvl w:val="1"/>
        <w:rPr>
          <w:rStyle w:val="15"/>
          <w:rFonts w:ascii="宋体" w:hAnsi="宋体" w:eastAsia="宋体" w:cs="宋体"/>
          <w:sz w:val="28"/>
          <w:szCs w:val="28"/>
        </w:rPr>
      </w:pPr>
      <w:bookmarkStart w:id="394" w:name="_Toc31181"/>
      <w:bookmarkStart w:id="395" w:name="_Toc15341"/>
      <w:bookmarkStart w:id="396" w:name="_Toc7420"/>
      <w:bookmarkStart w:id="397" w:name="_Toc31763"/>
      <w:bookmarkStart w:id="398" w:name="_Toc15920"/>
      <w:r>
        <w:rPr>
          <w:rStyle w:val="15"/>
          <w:rFonts w:hint="eastAsia" w:ascii="宋体" w:hAnsi="宋体" w:eastAsia="宋体" w:cs="宋体"/>
          <w:sz w:val="28"/>
          <w:szCs w:val="28"/>
        </w:rPr>
        <w:t>第七十</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条 【听取意见】</w:t>
      </w:r>
      <w:bookmarkEnd w:id="394"/>
      <w:bookmarkEnd w:id="395"/>
      <w:bookmarkEnd w:id="396"/>
      <w:bookmarkEnd w:id="397"/>
      <w:r>
        <w:rPr>
          <w:rStyle w:val="15"/>
          <w:rFonts w:hint="eastAsia" w:ascii="宋体" w:hAnsi="宋体" w:eastAsia="宋体" w:cs="宋体"/>
          <w:sz w:val="28"/>
          <w:szCs w:val="28"/>
        </w:rPr>
        <w:tab/>
      </w:r>
    </w:p>
    <w:bookmarkEnd w:id="398"/>
    <w:p>
      <w:pPr>
        <w:spacing w:line="360" w:lineRule="exact"/>
        <w:ind w:firstLine="560" w:firstLineChars="200"/>
        <w:rPr>
          <w:sz w:val="28"/>
          <w:szCs w:val="28"/>
        </w:rPr>
      </w:pPr>
      <w:r>
        <w:rPr>
          <w:rFonts w:hint="eastAsia"/>
          <w:sz w:val="28"/>
          <w:szCs w:val="28"/>
        </w:rPr>
        <w:t>本市制定与市场主体生产经营活动相关的法规、规章、规范性文件，应当充分听取相关市场主体、行业协会、商会和企业家的意见和建议，并通过政府门户网站、网上政务平台等载体公开征求社会意见，建立健全意见采纳反馈机制。</w:t>
      </w:r>
    </w:p>
    <w:p>
      <w:pPr>
        <w:spacing w:line="360" w:lineRule="exact"/>
        <w:ind w:firstLine="562" w:firstLineChars="200"/>
        <w:outlineLvl w:val="1"/>
        <w:rPr>
          <w:rStyle w:val="15"/>
          <w:rFonts w:ascii="宋体" w:hAnsi="宋体" w:eastAsia="宋体" w:cs="宋体"/>
          <w:sz w:val="28"/>
          <w:szCs w:val="28"/>
        </w:rPr>
      </w:pPr>
      <w:bookmarkStart w:id="399" w:name="_Toc14705"/>
      <w:bookmarkStart w:id="400" w:name="_Toc6540"/>
      <w:bookmarkStart w:id="401" w:name="_Toc7153"/>
      <w:bookmarkStart w:id="402" w:name="_Toc29069"/>
      <w:bookmarkStart w:id="403" w:name="_Toc4381"/>
      <w:r>
        <w:rPr>
          <w:rStyle w:val="15"/>
          <w:rFonts w:hint="eastAsia" w:ascii="宋体" w:hAnsi="宋体" w:eastAsia="宋体" w:cs="宋体"/>
          <w:sz w:val="28"/>
          <w:szCs w:val="28"/>
        </w:rPr>
        <w:t>第七十</w:t>
      </w:r>
      <w:r>
        <w:rPr>
          <w:rStyle w:val="15"/>
          <w:rFonts w:hint="eastAsia" w:ascii="宋体" w:hAnsi="宋体" w:eastAsia="宋体" w:cs="宋体"/>
          <w:sz w:val="28"/>
          <w:szCs w:val="28"/>
          <w:lang w:eastAsia="zh-CN"/>
        </w:rPr>
        <w:t>五</w:t>
      </w:r>
      <w:r>
        <w:rPr>
          <w:rStyle w:val="15"/>
          <w:rFonts w:hint="eastAsia" w:ascii="宋体" w:hAnsi="宋体" w:eastAsia="宋体" w:cs="宋体"/>
          <w:sz w:val="28"/>
          <w:szCs w:val="28"/>
        </w:rPr>
        <w:t>条 【政策公示及宣传】</w:t>
      </w:r>
      <w:bookmarkEnd w:id="399"/>
      <w:bookmarkEnd w:id="400"/>
      <w:bookmarkEnd w:id="401"/>
      <w:bookmarkEnd w:id="402"/>
    </w:p>
    <w:bookmarkEnd w:id="403"/>
    <w:p>
      <w:pPr>
        <w:spacing w:line="360" w:lineRule="exact"/>
        <w:ind w:firstLine="560" w:firstLineChars="200"/>
        <w:rPr>
          <w:rFonts w:hint="eastAsia"/>
          <w:sz w:val="28"/>
          <w:szCs w:val="28"/>
        </w:rPr>
      </w:pPr>
      <w:r>
        <w:rPr>
          <w:rFonts w:hint="eastAsia"/>
          <w:sz w:val="28"/>
          <w:szCs w:val="28"/>
        </w:rPr>
        <w:t>完善涉及市场主体的政策信息公开发布制度。出台与市场主体生产经营活动相关的法规、规章、规范性文件和符合公开条件的政策措施，制定机关应当按照规定统一发布，并通过全市统一的市场主体服务平台、网上政务平台、移动客户端、自助终端等渠道予以公开。</w:t>
      </w:r>
    </w:p>
    <w:p>
      <w:pPr>
        <w:spacing w:line="360" w:lineRule="exact"/>
        <w:ind w:firstLine="560" w:firstLineChars="200"/>
        <w:rPr>
          <w:sz w:val="28"/>
          <w:szCs w:val="28"/>
        </w:rPr>
      </w:pPr>
      <w:r>
        <w:rPr>
          <w:rFonts w:hint="eastAsia"/>
          <w:sz w:val="28"/>
          <w:szCs w:val="28"/>
        </w:rPr>
        <w:t>行政规范性文件应当录入本市统一的行政规范性文件数据库。地方性法规、规章、行政规范性文件公布时，应当同步进行宣传解读。与外商投资密切相关的地方性法规、规章、行政规范性文件，应当提供相应的英文译本或者摘要。</w:t>
      </w:r>
    </w:p>
    <w:p>
      <w:pPr>
        <w:spacing w:line="360" w:lineRule="exact"/>
        <w:ind w:firstLine="562" w:firstLineChars="200"/>
        <w:outlineLvl w:val="1"/>
        <w:rPr>
          <w:rStyle w:val="15"/>
          <w:rFonts w:hint="eastAsia" w:asciiTheme="minorEastAsia" w:hAnsiTheme="minorEastAsia" w:eastAsiaTheme="minorEastAsia" w:cstheme="minorEastAsia"/>
          <w:sz w:val="28"/>
          <w:szCs w:val="28"/>
        </w:rPr>
      </w:pPr>
      <w:bookmarkStart w:id="404" w:name="_Toc23988"/>
      <w:bookmarkStart w:id="405" w:name="_Toc6721"/>
      <w:bookmarkStart w:id="406" w:name="_Toc1073"/>
      <w:bookmarkStart w:id="407" w:name="_Toc11398"/>
      <w:bookmarkStart w:id="408" w:name="_Toc22458"/>
      <w:r>
        <w:rPr>
          <w:rStyle w:val="15"/>
          <w:rFonts w:hint="eastAsia" w:asciiTheme="minorEastAsia" w:hAnsiTheme="minorEastAsia" w:eastAsiaTheme="minorEastAsia" w:cstheme="minorEastAsia"/>
          <w:sz w:val="28"/>
          <w:szCs w:val="28"/>
        </w:rPr>
        <w:t>第七十</w:t>
      </w:r>
      <w:r>
        <w:rPr>
          <w:rStyle w:val="15"/>
          <w:rFonts w:hint="eastAsia" w:asciiTheme="minorEastAsia" w:hAnsiTheme="minorEastAsia" w:cstheme="minorEastAsia"/>
          <w:sz w:val="28"/>
          <w:szCs w:val="28"/>
          <w:lang w:eastAsia="zh-CN"/>
        </w:rPr>
        <w:t>六</w:t>
      </w:r>
      <w:r>
        <w:rPr>
          <w:rStyle w:val="15"/>
          <w:rFonts w:hint="eastAsia" w:asciiTheme="minorEastAsia" w:hAnsiTheme="minorEastAsia" w:eastAsiaTheme="minorEastAsia" w:cstheme="minorEastAsia"/>
          <w:sz w:val="28"/>
          <w:szCs w:val="28"/>
        </w:rPr>
        <w:t>条 【政策适应期制度】</w:t>
      </w:r>
      <w:bookmarkEnd w:id="404"/>
      <w:bookmarkEnd w:id="405"/>
      <w:bookmarkEnd w:id="406"/>
      <w:bookmarkEnd w:id="407"/>
    </w:p>
    <w:bookmarkEnd w:id="408"/>
    <w:p>
      <w:pPr>
        <w:spacing w:line="360" w:lineRule="exact"/>
        <w:ind w:firstLine="560" w:firstLineChars="200"/>
        <w:rPr>
          <w:sz w:val="28"/>
          <w:szCs w:val="28"/>
        </w:rPr>
      </w:pPr>
      <w:r>
        <w:rPr>
          <w:rFonts w:hint="eastAsia"/>
          <w:sz w:val="28"/>
          <w:szCs w:val="28"/>
        </w:rPr>
        <w:t>制定与市场主体生产经营活动相关的政策措施，应当为市场主体留出一般不少于三十日的适应调整期；涉及行业规定或者限制性措施调整的，在听取相关行业企业意见的基础上合理设置缓冲过渡期；因形势变化或者公共利益确实需要调整的，应当结合实际设置合理过渡期，为市场主体留出必要的适应调整时间。但涉及国家安全和公布后不立即施行将有碍施行的除外。</w:t>
      </w:r>
    </w:p>
    <w:p>
      <w:pPr>
        <w:spacing w:line="360" w:lineRule="exact"/>
        <w:ind w:firstLine="562" w:firstLineChars="200"/>
        <w:outlineLvl w:val="1"/>
        <w:rPr>
          <w:rStyle w:val="11"/>
          <w:rFonts w:hint="eastAsia" w:asciiTheme="minorEastAsia" w:hAnsiTheme="minorEastAsia" w:eastAsiaTheme="minorEastAsia" w:cstheme="minorEastAsia"/>
          <w:b/>
          <w:sz w:val="28"/>
          <w:szCs w:val="28"/>
        </w:rPr>
      </w:pPr>
      <w:bookmarkStart w:id="409" w:name="_Toc22826"/>
      <w:bookmarkStart w:id="410" w:name="_Toc23033"/>
      <w:bookmarkStart w:id="411" w:name="_Toc12474"/>
      <w:bookmarkStart w:id="412" w:name="_Toc19239"/>
      <w:bookmarkStart w:id="413" w:name="_Toc13227"/>
      <w:r>
        <w:rPr>
          <w:rStyle w:val="15"/>
          <w:rFonts w:hint="eastAsia" w:asciiTheme="minorEastAsia" w:hAnsiTheme="minorEastAsia" w:eastAsiaTheme="minorEastAsia" w:cstheme="minorEastAsia"/>
          <w:sz w:val="28"/>
          <w:szCs w:val="28"/>
        </w:rPr>
        <w:t>第</w:t>
      </w:r>
      <w:r>
        <w:rPr>
          <w:rStyle w:val="15"/>
          <w:rFonts w:hint="eastAsia" w:asciiTheme="minorEastAsia" w:hAnsiTheme="minorEastAsia" w:cstheme="minorEastAsia"/>
          <w:sz w:val="28"/>
          <w:szCs w:val="28"/>
          <w:lang w:eastAsia="zh-CN"/>
        </w:rPr>
        <w:t>七十七</w:t>
      </w:r>
      <w:r>
        <w:rPr>
          <w:rStyle w:val="15"/>
          <w:rFonts w:hint="eastAsia" w:asciiTheme="minorEastAsia" w:hAnsiTheme="minorEastAsia" w:eastAsiaTheme="minorEastAsia" w:cstheme="minorEastAsia"/>
          <w:sz w:val="28"/>
          <w:szCs w:val="28"/>
        </w:rPr>
        <w:t>条 【公平竞争审查】</w:t>
      </w:r>
      <w:bookmarkEnd w:id="409"/>
      <w:bookmarkEnd w:id="410"/>
      <w:bookmarkEnd w:id="411"/>
      <w:bookmarkEnd w:id="412"/>
    </w:p>
    <w:bookmarkEnd w:id="413"/>
    <w:p>
      <w:pPr>
        <w:spacing w:line="360" w:lineRule="exact"/>
        <w:ind w:firstLine="560" w:firstLineChars="200"/>
        <w:rPr>
          <w:sz w:val="28"/>
          <w:szCs w:val="28"/>
        </w:rPr>
      </w:pPr>
      <w:r>
        <w:rPr>
          <w:rFonts w:hint="eastAsia"/>
          <w:sz w:val="28"/>
          <w:szCs w:val="28"/>
        </w:rPr>
        <w:t>制定与市场主体生产经营活动相关</w:t>
      </w:r>
      <w:r>
        <w:rPr>
          <w:rFonts w:hint="eastAsia"/>
          <w:sz w:val="28"/>
          <w:szCs w:val="28"/>
          <w:highlight w:val="none"/>
          <w:lang w:eastAsia="zh-CN"/>
        </w:rPr>
        <w:t>的</w:t>
      </w:r>
      <w:r>
        <w:rPr>
          <w:rFonts w:hint="eastAsia"/>
          <w:sz w:val="28"/>
          <w:szCs w:val="28"/>
        </w:rPr>
        <w:t>地方性法规、规章、规范性文件和其他政策措施时，应当按照规定进行公平竞争审查。对适用例外规定制定的政策措施，应当向同级公平竞争审查联席会议报送备案。鼓励社会第三方机构参与公平竞争审查工作。</w:t>
      </w:r>
    </w:p>
    <w:p>
      <w:pPr>
        <w:spacing w:line="360" w:lineRule="exact"/>
        <w:ind w:firstLine="560" w:firstLineChars="200"/>
        <w:rPr>
          <w:sz w:val="28"/>
          <w:szCs w:val="28"/>
        </w:rPr>
      </w:pPr>
      <w:r>
        <w:rPr>
          <w:rFonts w:hint="eastAsia"/>
          <w:sz w:val="28"/>
          <w:szCs w:val="28"/>
        </w:rPr>
        <w:t>完善公平竞争审查联席会议制度。制定市场准入、产业发展、招商引资、招标投标、政府采购、资质标准等与市场主体生产经营活动密切相关的政策措施，制定机关应当按照国家相关规定开展公平竞争审查；对存在较大争议或者部门意见难以协调一致的问题，可以提请同级公平竞争审查联席会议协调。</w:t>
      </w:r>
    </w:p>
    <w:p>
      <w:pPr>
        <w:spacing w:line="360" w:lineRule="exact"/>
        <w:ind w:firstLine="560" w:firstLineChars="200"/>
        <w:rPr>
          <w:sz w:val="28"/>
          <w:szCs w:val="28"/>
        </w:rPr>
      </w:pPr>
      <w:r>
        <w:rPr>
          <w:rFonts w:hint="eastAsia"/>
          <w:sz w:val="28"/>
          <w:szCs w:val="28"/>
        </w:rPr>
        <w:t>对涉嫌违反公平竞争审查标准的政策措施，任何单位和个人有权举报。制定机关应当建立涉及公平竞争审查投诉举报的受理回应机制，及时纠正、排除限制竞争的政策措施。</w:t>
      </w:r>
    </w:p>
    <w:p>
      <w:pPr>
        <w:spacing w:line="360" w:lineRule="exact"/>
        <w:ind w:firstLine="562" w:firstLineChars="200"/>
        <w:outlineLvl w:val="1"/>
        <w:rPr>
          <w:rStyle w:val="15"/>
          <w:rFonts w:hint="eastAsia" w:asciiTheme="minorEastAsia" w:hAnsiTheme="minorEastAsia" w:eastAsiaTheme="minorEastAsia" w:cstheme="minorEastAsia"/>
          <w:sz w:val="28"/>
          <w:szCs w:val="28"/>
        </w:rPr>
      </w:pPr>
      <w:bookmarkStart w:id="414" w:name="_Toc7689"/>
      <w:bookmarkStart w:id="415" w:name="_Toc1202"/>
      <w:bookmarkStart w:id="416" w:name="_Toc26670"/>
      <w:bookmarkStart w:id="417" w:name="_Toc28688"/>
      <w:bookmarkStart w:id="418" w:name="_Toc1712"/>
      <w:r>
        <w:rPr>
          <w:rStyle w:val="15"/>
          <w:rFonts w:hint="eastAsia" w:asciiTheme="minorEastAsia" w:hAnsiTheme="minorEastAsia" w:eastAsiaTheme="minorEastAsia" w:cstheme="minorEastAsia"/>
          <w:sz w:val="28"/>
          <w:szCs w:val="28"/>
        </w:rPr>
        <w:t>第</w:t>
      </w:r>
      <w:r>
        <w:rPr>
          <w:rStyle w:val="15"/>
          <w:rFonts w:hint="eastAsia" w:asciiTheme="minorEastAsia" w:hAnsiTheme="minorEastAsia" w:cstheme="minorEastAsia"/>
          <w:sz w:val="28"/>
          <w:szCs w:val="28"/>
          <w:lang w:eastAsia="zh-CN"/>
        </w:rPr>
        <w:t>七</w:t>
      </w:r>
      <w:r>
        <w:rPr>
          <w:rStyle w:val="15"/>
          <w:rFonts w:hint="eastAsia" w:asciiTheme="minorEastAsia" w:hAnsiTheme="minorEastAsia" w:eastAsiaTheme="minorEastAsia" w:cstheme="minorEastAsia"/>
          <w:sz w:val="28"/>
          <w:szCs w:val="28"/>
        </w:rPr>
        <w:t>十</w:t>
      </w:r>
      <w:r>
        <w:rPr>
          <w:rStyle w:val="15"/>
          <w:rFonts w:hint="eastAsia" w:asciiTheme="minorEastAsia" w:hAnsiTheme="minorEastAsia" w:cstheme="minorEastAsia"/>
          <w:sz w:val="28"/>
          <w:szCs w:val="28"/>
          <w:lang w:eastAsia="zh-CN"/>
        </w:rPr>
        <w:t>八</w:t>
      </w:r>
      <w:r>
        <w:rPr>
          <w:rStyle w:val="15"/>
          <w:rFonts w:hint="eastAsia" w:asciiTheme="minorEastAsia" w:hAnsiTheme="minorEastAsia" w:eastAsiaTheme="minorEastAsia" w:cstheme="minorEastAsia"/>
          <w:sz w:val="28"/>
          <w:szCs w:val="28"/>
        </w:rPr>
        <w:t>条 【知识产权保护】</w:t>
      </w:r>
      <w:bookmarkEnd w:id="414"/>
      <w:bookmarkEnd w:id="415"/>
      <w:bookmarkEnd w:id="416"/>
      <w:bookmarkEnd w:id="417"/>
    </w:p>
    <w:bookmarkEnd w:id="418"/>
    <w:p>
      <w:pPr>
        <w:spacing w:line="360" w:lineRule="exact"/>
        <w:ind w:firstLine="560"/>
        <w:rPr>
          <w:rFonts w:hint="eastAsia"/>
          <w:sz w:val="28"/>
          <w:szCs w:val="28"/>
        </w:rPr>
      </w:pPr>
      <w:r>
        <w:rPr>
          <w:rFonts w:hint="eastAsia"/>
          <w:sz w:val="28"/>
          <w:szCs w:val="28"/>
          <w:lang w:eastAsia="zh-CN"/>
        </w:rPr>
        <w:t>本市</w:t>
      </w:r>
      <w:r>
        <w:rPr>
          <w:rFonts w:hint="eastAsia"/>
          <w:sz w:val="28"/>
          <w:szCs w:val="28"/>
        </w:rPr>
        <w:t>建设知识产权保护试点示范区，综合运用法律、行政、经济、技术、社会治理等手段强化知识产权保护。完善知识产权保护机制，理顺知识产权综合管理和执法体制，统一知识产权行政执法立案标准，建立重大案件多部门会商机制，健全多部门联合执法机制，优化知识产权行政保护和司法保护的衔接，加强跨区域知识产权执法协作机制，加大对知识产权的保护力度。运用现代科技手段，通过源头追溯、实时监测、在线识别等，加强对自主品牌和新业态、新领域创新成果的知识产权保护。</w:t>
      </w:r>
    </w:p>
    <w:p>
      <w:pPr>
        <w:spacing w:line="360" w:lineRule="exact"/>
        <w:ind w:firstLine="560"/>
        <w:rPr>
          <w:rFonts w:hint="eastAsia"/>
          <w:sz w:val="28"/>
          <w:szCs w:val="28"/>
        </w:rPr>
      </w:pPr>
      <w:r>
        <w:rPr>
          <w:rFonts w:hint="eastAsia"/>
          <w:sz w:val="28"/>
          <w:szCs w:val="28"/>
        </w:rPr>
        <w:t>依法保护企业知识产权权益和知识产权成果转化收益，促进和提高企业运用、管理和保护知识产权的能力。知识产权部门应当支持建立知识产权市场化运营平台，探索创建知识产权跨境交易平台，为企业提供知识产权管理在线服务。</w:t>
      </w:r>
    </w:p>
    <w:p>
      <w:pPr>
        <w:spacing w:line="360" w:lineRule="exact"/>
        <w:ind w:firstLine="560"/>
        <w:rPr>
          <w:rFonts w:hint="eastAsia"/>
          <w:sz w:val="28"/>
          <w:szCs w:val="28"/>
        </w:rPr>
      </w:pPr>
      <w:r>
        <w:rPr>
          <w:rFonts w:hint="eastAsia"/>
          <w:sz w:val="28"/>
          <w:szCs w:val="28"/>
        </w:rPr>
        <w:t>依法实行知识产权侵权惩罚性赔偿制度，探索开展知识产权公益诉讼，完善知识产权维权援助机制，提供知识产权保护的侵权预警、法律服务和司法救济。对于故意侵犯知识产权情节严重的，依法适用惩罚性赔偿，</w:t>
      </w:r>
      <w:r>
        <w:rPr>
          <w:rFonts w:hint="eastAsia"/>
          <w:sz w:val="28"/>
          <w:szCs w:val="28"/>
          <w:highlight w:val="none"/>
        </w:rPr>
        <w:t>从重确定</w:t>
      </w:r>
      <w:r>
        <w:rPr>
          <w:rFonts w:hint="eastAsia"/>
          <w:sz w:val="28"/>
          <w:szCs w:val="28"/>
        </w:rPr>
        <w:t>惩罚性赔偿金额。</w:t>
      </w:r>
    </w:p>
    <w:p>
      <w:pPr>
        <w:spacing w:line="360" w:lineRule="exact"/>
        <w:ind w:firstLine="560"/>
        <w:rPr>
          <w:rFonts w:hint="eastAsia"/>
          <w:sz w:val="28"/>
          <w:szCs w:val="28"/>
        </w:rPr>
      </w:pPr>
      <w:r>
        <w:rPr>
          <w:rFonts w:hint="eastAsia"/>
          <w:sz w:val="28"/>
          <w:szCs w:val="28"/>
          <w:lang w:eastAsia="zh-CN"/>
        </w:rPr>
        <w:t>市市场监管部门</w:t>
      </w:r>
      <w:r>
        <w:rPr>
          <w:rFonts w:hint="eastAsia"/>
          <w:sz w:val="28"/>
          <w:szCs w:val="28"/>
        </w:rPr>
        <w:t>应建立海外知识产权纠纷预警防范和协调解决机制，加强海外知识产权纠纷应对指导。鼓励市场主体设立知识产权保护维权互助基金，提升自我维权能力。</w:t>
      </w:r>
    </w:p>
    <w:p>
      <w:pPr>
        <w:spacing w:line="360" w:lineRule="exact"/>
        <w:ind w:firstLine="560"/>
        <w:rPr>
          <w:rFonts w:hint="eastAsia"/>
          <w:sz w:val="28"/>
          <w:szCs w:val="28"/>
        </w:rPr>
      </w:pPr>
      <w:r>
        <w:rPr>
          <w:rFonts w:hint="eastAsia"/>
          <w:sz w:val="28"/>
          <w:szCs w:val="28"/>
          <w:lang w:eastAsia="zh-CN"/>
        </w:rPr>
        <w:t>市、</w:t>
      </w:r>
      <w:r>
        <w:rPr>
          <w:rFonts w:hint="eastAsia"/>
          <w:sz w:val="28"/>
          <w:szCs w:val="28"/>
        </w:rPr>
        <w:t>区</w:t>
      </w:r>
      <w:r>
        <w:rPr>
          <w:rFonts w:hint="eastAsia"/>
          <w:sz w:val="28"/>
          <w:szCs w:val="28"/>
          <w:lang w:eastAsia="zh-CN"/>
        </w:rPr>
        <w:t>（</w:t>
      </w:r>
      <w:r>
        <w:rPr>
          <w:rFonts w:hint="eastAsia"/>
          <w:sz w:val="28"/>
          <w:szCs w:val="28"/>
        </w:rPr>
        <w:t>县</w:t>
      </w:r>
      <w:r>
        <w:rPr>
          <w:rFonts w:hint="eastAsia"/>
          <w:sz w:val="28"/>
          <w:szCs w:val="28"/>
          <w:lang w:eastAsia="zh-CN"/>
        </w:rPr>
        <w:t>）</w:t>
      </w:r>
      <w:r>
        <w:rPr>
          <w:rFonts w:hint="eastAsia"/>
          <w:sz w:val="28"/>
          <w:szCs w:val="28"/>
        </w:rPr>
        <w:t>人民政府有关部门应当在知识产权保护等方面为企业产品和服务出口提供指导和帮助，推动对外经济技术合作与交流，提高企业国际竞争力。鼓励有条件的</w:t>
      </w:r>
      <w:r>
        <w:rPr>
          <w:rFonts w:hint="eastAsia"/>
          <w:sz w:val="28"/>
          <w:szCs w:val="28"/>
          <w:lang w:eastAsia="zh-CN"/>
        </w:rPr>
        <w:t>区（县）</w:t>
      </w:r>
      <w:r>
        <w:rPr>
          <w:rFonts w:hint="eastAsia"/>
          <w:sz w:val="28"/>
          <w:szCs w:val="28"/>
        </w:rPr>
        <w:t>建立知识产权维权调处中心。</w:t>
      </w:r>
    </w:p>
    <w:p>
      <w:pPr>
        <w:spacing w:line="360" w:lineRule="exact"/>
        <w:ind w:firstLine="562" w:firstLineChars="200"/>
        <w:outlineLvl w:val="1"/>
        <w:rPr>
          <w:rStyle w:val="15"/>
          <w:rFonts w:hint="eastAsia" w:asciiTheme="minorEastAsia" w:hAnsiTheme="minorEastAsia" w:eastAsiaTheme="minorEastAsia" w:cstheme="minorEastAsia"/>
          <w:sz w:val="28"/>
          <w:szCs w:val="28"/>
        </w:rPr>
      </w:pPr>
      <w:bookmarkStart w:id="419" w:name="_Toc2410"/>
      <w:bookmarkStart w:id="420" w:name="_Toc7536"/>
      <w:bookmarkStart w:id="421" w:name="_Toc14534"/>
      <w:bookmarkStart w:id="422" w:name="_Toc10054"/>
      <w:bookmarkStart w:id="423" w:name="_Toc13959"/>
      <w:r>
        <w:rPr>
          <w:rStyle w:val="15"/>
          <w:rFonts w:hint="eastAsia" w:asciiTheme="minorEastAsia" w:hAnsiTheme="minorEastAsia" w:eastAsiaTheme="minorEastAsia" w:cstheme="minorEastAsia"/>
          <w:sz w:val="28"/>
          <w:szCs w:val="28"/>
        </w:rPr>
        <w:t>第</w:t>
      </w:r>
      <w:r>
        <w:rPr>
          <w:rStyle w:val="15"/>
          <w:rFonts w:hint="eastAsia" w:asciiTheme="minorEastAsia" w:hAnsiTheme="minorEastAsia" w:cstheme="minorEastAsia"/>
          <w:sz w:val="28"/>
          <w:szCs w:val="28"/>
          <w:lang w:eastAsia="zh-CN"/>
        </w:rPr>
        <w:t>七</w:t>
      </w:r>
      <w:r>
        <w:rPr>
          <w:rStyle w:val="15"/>
          <w:rFonts w:hint="eastAsia" w:asciiTheme="minorEastAsia" w:hAnsiTheme="minorEastAsia" w:eastAsiaTheme="minorEastAsia" w:cstheme="minorEastAsia"/>
          <w:sz w:val="28"/>
          <w:szCs w:val="28"/>
        </w:rPr>
        <w:t>十</w:t>
      </w:r>
      <w:r>
        <w:rPr>
          <w:rStyle w:val="15"/>
          <w:rFonts w:hint="eastAsia" w:asciiTheme="minorEastAsia" w:hAnsiTheme="minorEastAsia" w:cstheme="minorEastAsia"/>
          <w:sz w:val="28"/>
          <w:szCs w:val="28"/>
          <w:lang w:eastAsia="zh-CN"/>
        </w:rPr>
        <w:t>九</w:t>
      </w:r>
      <w:r>
        <w:rPr>
          <w:rStyle w:val="15"/>
          <w:rFonts w:hint="eastAsia" w:asciiTheme="minorEastAsia" w:hAnsiTheme="minorEastAsia" w:eastAsiaTheme="minorEastAsia" w:cstheme="minorEastAsia"/>
          <w:sz w:val="28"/>
          <w:szCs w:val="28"/>
        </w:rPr>
        <w:t>条 【合法产权保护】</w:t>
      </w:r>
      <w:bookmarkEnd w:id="419"/>
      <w:bookmarkEnd w:id="420"/>
      <w:bookmarkEnd w:id="421"/>
      <w:bookmarkEnd w:id="422"/>
    </w:p>
    <w:bookmarkEnd w:id="423"/>
    <w:p>
      <w:pPr>
        <w:spacing w:line="360" w:lineRule="exact"/>
        <w:ind w:firstLine="560" w:firstLineChars="200"/>
        <w:rPr>
          <w:sz w:val="28"/>
          <w:szCs w:val="28"/>
        </w:rPr>
      </w:pPr>
      <w:r>
        <w:rPr>
          <w:rFonts w:hint="eastAsia"/>
          <w:sz w:val="28"/>
          <w:szCs w:val="28"/>
        </w:rPr>
        <w:t>依法平等保护各类市场主体的财产权及其他合法权益，保护企业经营者人身和财产安全。除国家利益、公共安全等紧急情况外，禁止以任何形式向市场主体进行财力、</w:t>
      </w:r>
      <w:r>
        <w:rPr>
          <w:rFonts w:hint="eastAsia"/>
          <w:sz w:val="28"/>
          <w:szCs w:val="28"/>
          <w:highlight w:val="none"/>
        </w:rPr>
        <w:t>物力</w:t>
      </w:r>
      <w:r>
        <w:rPr>
          <w:rFonts w:hint="eastAsia"/>
          <w:sz w:val="28"/>
          <w:szCs w:val="28"/>
        </w:rPr>
        <w:t>或者人力摊派。</w:t>
      </w:r>
    </w:p>
    <w:p>
      <w:pPr>
        <w:spacing w:line="360" w:lineRule="exact"/>
        <w:ind w:firstLine="560" w:firstLineChars="200"/>
        <w:rPr>
          <w:sz w:val="28"/>
          <w:szCs w:val="28"/>
        </w:rPr>
      </w:pPr>
      <w:r>
        <w:rPr>
          <w:rFonts w:hint="eastAsia"/>
          <w:sz w:val="28"/>
          <w:szCs w:val="28"/>
        </w:rPr>
        <w:t>严格依照法定程序采取查封、扣押、冻结等措施。严格区分违法所得、其他涉案财产与合法财产；严格区分企业法人财产与股东个人财产；严格区分涉案人员个人财产与家庭成员财产；严格区分违法所得和合法财产。禁止超标的、超范围查封、扣押、冻结涉案企业财产。</w:t>
      </w:r>
    </w:p>
    <w:p>
      <w:pPr>
        <w:spacing w:line="360" w:lineRule="exact"/>
        <w:ind w:firstLine="562" w:firstLineChars="200"/>
        <w:outlineLvl w:val="1"/>
        <w:rPr>
          <w:rStyle w:val="15"/>
          <w:rFonts w:hint="eastAsia" w:asciiTheme="minorEastAsia" w:hAnsiTheme="minorEastAsia" w:eastAsiaTheme="minorEastAsia" w:cstheme="minorEastAsia"/>
          <w:sz w:val="28"/>
          <w:szCs w:val="28"/>
        </w:rPr>
      </w:pPr>
      <w:bookmarkStart w:id="424" w:name="_Toc8836"/>
      <w:bookmarkStart w:id="425" w:name="_Toc3924"/>
      <w:bookmarkStart w:id="426" w:name="_Toc22635"/>
      <w:bookmarkStart w:id="427" w:name="_Toc25403"/>
      <w:bookmarkStart w:id="428" w:name="_Toc21502"/>
      <w:r>
        <w:rPr>
          <w:rStyle w:val="15"/>
          <w:rFonts w:hint="eastAsia" w:asciiTheme="minorEastAsia" w:hAnsiTheme="minorEastAsia" w:eastAsiaTheme="minorEastAsia" w:cstheme="minorEastAsia"/>
          <w:sz w:val="28"/>
          <w:szCs w:val="28"/>
        </w:rPr>
        <w:t>第八十条 【涉案财产处置】</w:t>
      </w:r>
      <w:bookmarkEnd w:id="424"/>
      <w:bookmarkEnd w:id="425"/>
      <w:bookmarkEnd w:id="426"/>
      <w:bookmarkEnd w:id="427"/>
    </w:p>
    <w:bookmarkEnd w:id="428"/>
    <w:p>
      <w:pPr>
        <w:spacing w:line="360" w:lineRule="exact"/>
        <w:ind w:firstLine="560" w:firstLineChars="200"/>
        <w:rPr>
          <w:rFonts w:hint="eastAsia"/>
          <w:sz w:val="28"/>
          <w:szCs w:val="28"/>
        </w:rPr>
      </w:pPr>
      <w:r>
        <w:rPr>
          <w:rFonts w:hint="eastAsia"/>
          <w:sz w:val="28"/>
          <w:szCs w:val="28"/>
        </w:rPr>
        <w:t>需要依法采取查封、扣押、冻结措施处置涉案财物的，应当开具清单并送达法律文书，在法定期限内作出处理决定。</w:t>
      </w:r>
    </w:p>
    <w:p>
      <w:pPr>
        <w:spacing w:line="360" w:lineRule="exact"/>
        <w:ind w:firstLine="560" w:firstLineChars="200"/>
        <w:rPr>
          <w:rFonts w:hint="eastAsia"/>
          <w:sz w:val="28"/>
          <w:szCs w:val="28"/>
        </w:rPr>
      </w:pPr>
      <w:r>
        <w:rPr>
          <w:rFonts w:hint="eastAsia"/>
          <w:sz w:val="28"/>
          <w:szCs w:val="28"/>
        </w:rPr>
        <w:t>对与案件无关的财物，应当及时解除查封、扣押、冻结措施。</w:t>
      </w:r>
    </w:p>
    <w:p>
      <w:pPr>
        <w:spacing w:line="360" w:lineRule="exact"/>
        <w:ind w:firstLine="560" w:firstLineChars="200"/>
        <w:rPr>
          <w:sz w:val="28"/>
          <w:szCs w:val="28"/>
        </w:rPr>
      </w:pPr>
      <w:r>
        <w:rPr>
          <w:rFonts w:hint="eastAsia"/>
          <w:sz w:val="28"/>
          <w:szCs w:val="28"/>
        </w:rPr>
        <w:t>对查封、扣押的财产，由执法机关自行保管的应当采取妥善保管措施，不得使用或者损毁。造成损失的，应当依法承担赔偿责任。</w:t>
      </w:r>
    </w:p>
    <w:p>
      <w:pPr>
        <w:spacing w:line="360" w:lineRule="exact"/>
        <w:ind w:firstLine="560" w:firstLineChars="200"/>
        <w:rPr>
          <w:sz w:val="28"/>
          <w:szCs w:val="28"/>
        </w:rPr>
      </w:pPr>
      <w:r>
        <w:rPr>
          <w:rFonts w:hint="eastAsia"/>
          <w:sz w:val="28"/>
          <w:szCs w:val="28"/>
        </w:rPr>
        <w:t>完善涉案财物保管、鉴定、估价、拍卖、变卖制度，依法保护当事人及其近亲属、股东、债权人等各方的合法权益。</w:t>
      </w:r>
    </w:p>
    <w:p>
      <w:pPr>
        <w:spacing w:line="360" w:lineRule="exact"/>
        <w:ind w:firstLine="562" w:firstLineChars="200"/>
        <w:outlineLvl w:val="1"/>
        <w:rPr>
          <w:rStyle w:val="15"/>
          <w:rFonts w:hint="eastAsia" w:asciiTheme="minorEastAsia" w:hAnsiTheme="minorEastAsia" w:eastAsiaTheme="minorEastAsia" w:cstheme="minorEastAsia"/>
          <w:sz w:val="28"/>
          <w:szCs w:val="28"/>
        </w:rPr>
      </w:pPr>
      <w:bookmarkStart w:id="429" w:name="_Toc15023"/>
      <w:bookmarkStart w:id="430" w:name="_Toc13448"/>
      <w:bookmarkStart w:id="431" w:name="_Toc4502"/>
      <w:bookmarkStart w:id="432" w:name="_Toc3213"/>
      <w:bookmarkStart w:id="433" w:name="_Toc15763"/>
      <w:r>
        <w:rPr>
          <w:rStyle w:val="15"/>
          <w:rFonts w:hint="eastAsia" w:asciiTheme="minorEastAsia" w:hAnsiTheme="minorEastAsia" w:eastAsiaTheme="minorEastAsia" w:cstheme="minorEastAsia"/>
          <w:sz w:val="28"/>
          <w:szCs w:val="28"/>
        </w:rPr>
        <w:t>第八十</w:t>
      </w:r>
      <w:r>
        <w:rPr>
          <w:rStyle w:val="15"/>
          <w:rFonts w:hint="eastAsia" w:asciiTheme="minorEastAsia" w:hAnsiTheme="minorEastAsia" w:cstheme="minorEastAsia"/>
          <w:sz w:val="28"/>
          <w:szCs w:val="28"/>
          <w:lang w:eastAsia="zh-CN"/>
        </w:rPr>
        <w:t>一</w:t>
      </w:r>
      <w:r>
        <w:rPr>
          <w:rStyle w:val="15"/>
          <w:rFonts w:hint="eastAsia" w:asciiTheme="minorEastAsia" w:hAnsiTheme="minorEastAsia" w:eastAsiaTheme="minorEastAsia" w:cstheme="minorEastAsia"/>
          <w:sz w:val="28"/>
          <w:szCs w:val="28"/>
        </w:rPr>
        <w:t>条 【行业协会商会调解机制】</w:t>
      </w:r>
      <w:bookmarkEnd w:id="429"/>
      <w:bookmarkEnd w:id="430"/>
      <w:bookmarkEnd w:id="431"/>
      <w:bookmarkEnd w:id="432"/>
    </w:p>
    <w:bookmarkEnd w:id="433"/>
    <w:p>
      <w:pPr>
        <w:spacing w:line="360" w:lineRule="exact"/>
        <w:ind w:firstLine="560" w:firstLineChars="200"/>
        <w:rPr>
          <w:sz w:val="28"/>
          <w:szCs w:val="28"/>
        </w:rPr>
      </w:pPr>
      <w:r>
        <w:rPr>
          <w:rFonts w:hint="eastAsia"/>
          <w:sz w:val="28"/>
          <w:szCs w:val="28"/>
        </w:rPr>
        <w:t>鼓励行业协会、商会设立专业调解组织，在投资、金融、证券期货、保险、房地产、知识产权、国际贸易等领域提供调解服务。</w:t>
      </w:r>
    </w:p>
    <w:p>
      <w:pPr>
        <w:spacing w:line="360" w:lineRule="exact"/>
        <w:ind w:firstLine="562" w:firstLineChars="200"/>
        <w:outlineLvl w:val="1"/>
        <w:rPr>
          <w:rStyle w:val="15"/>
          <w:rFonts w:ascii="宋体" w:hAnsi="宋体" w:eastAsia="宋体" w:cs="宋体"/>
          <w:sz w:val="28"/>
          <w:szCs w:val="28"/>
        </w:rPr>
      </w:pPr>
      <w:bookmarkStart w:id="434" w:name="_Toc13826"/>
      <w:bookmarkStart w:id="435" w:name="_Toc27927"/>
      <w:bookmarkStart w:id="436" w:name="_Toc1212"/>
      <w:bookmarkStart w:id="437" w:name="_Toc12991"/>
      <w:bookmarkStart w:id="438" w:name="_Toc8221"/>
      <w:r>
        <w:rPr>
          <w:rStyle w:val="15"/>
          <w:rFonts w:hint="eastAsia" w:ascii="宋体" w:hAnsi="宋体" w:eastAsia="宋体" w:cs="宋体"/>
          <w:sz w:val="28"/>
          <w:szCs w:val="28"/>
        </w:rPr>
        <w:t>第八十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【多元纠纷化解机制】</w:t>
      </w:r>
      <w:bookmarkEnd w:id="434"/>
      <w:bookmarkEnd w:id="435"/>
      <w:bookmarkEnd w:id="436"/>
      <w:bookmarkEnd w:id="437"/>
    </w:p>
    <w:bookmarkEnd w:id="438"/>
    <w:p>
      <w:pPr>
        <w:spacing w:line="360" w:lineRule="exact"/>
        <w:ind w:firstLine="560" w:firstLineChars="200"/>
        <w:rPr>
          <w:sz w:val="28"/>
          <w:szCs w:val="28"/>
        </w:rPr>
      </w:pPr>
      <w:r>
        <w:rPr>
          <w:rFonts w:hint="eastAsia"/>
          <w:sz w:val="28"/>
          <w:szCs w:val="28"/>
          <w:lang w:eastAsia="zh-CN"/>
        </w:rPr>
        <w:t>本市</w:t>
      </w:r>
      <w:r>
        <w:rPr>
          <w:rFonts w:hint="eastAsia"/>
          <w:sz w:val="28"/>
          <w:szCs w:val="28"/>
        </w:rPr>
        <w:t>积极完善调解、仲裁、行政裁决、行政复议、诉讼等有机衔接的多元化纠纷解决机制，为市场主体提供高效、便捷的纠纷解决途径；完善人民调解、行政调解、行业性专业性调解、司法调解联动工作体系，建立健全调解与公证、仲裁、行政裁决、行政复议、诉讼等衔接联动机制，为在汕企业的商事纠纷提供快捷、高效、经济、灵活的服务。</w:t>
      </w:r>
    </w:p>
    <w:p>
      <w:pPr>
        <w:spacing w:line="360" w:lineRule="exact"/>
        <w:ind w:firstLine="560" w:firstLineChars="200"/>
        <w:rPr>
          <w:sz w:val="28"/>
          <w:szCs w:val="28"/>
        </w:rPr>
      </w:pPr>
      <w:r>
        <w:rPr>
          <w:rFonts w:hint="eastAsia"/>
          <w:sz w:val="28"/>
          <w:szCs w:val="28"/>
        </w:rPr>
        <w:t>本市探索建立统一的在线商事纠纷多元化解平台，推进商事纠纷的在线咨询、在线评估、在线分流、在线调解和在线确认工作，高效化解市场主体在金融、知识产权、劳动用工、房屋租售和其他商事领域的纠纷。</w:t>
      </w:r>
    </w:p>
    <w:p>
      <w:pPr>
        <w:spacing w:line="360" w:lineRule="exact"/>
        <w:ind w:firstLine="560" w:firstLineChars="200"/>
        <w:rPr>
          <w:sz w:val="28"/>
          <w:szCs w:val="28"/>
        </w:rPr>
      </w:pPr>
      <w:r>
        <w:rPr>
          <w:rFonts w:hint="eastAsia"/>
          <w:sz w:val="28"/>
          <w:szCs w:val="28"/>
        </w:rPr>
        <w:t>本市支持商事仲裁机构和商事调解机构发展。探索创新应用互联网仲裁云平台，推进粤港澳大湾区、“一带一路”沿线仲裁机构深度交流合作，协调汕潮揭三地仲裁裁决认可与执行。</w:t>
      </w:r>
    </w:p>
    <w:p>
      <w:pPr>
        <w:spacing w:line="360" w:lineRule="exact"/>
        <w:ind w:firstLine="562" w:firstLineChars="200"/>
        <w:outlineLvl w:val="1"/>
        <w:rPr>
          <w:rStyle w:val="15"/>
          <w:rFonts w:ascii="宋体" w:hAnsi="宋体" w:eastAsia="宋体" w:cs="宋体"/>
          <w:sz w:val="28"/>
          <w:szCs w:val="28"/>
        </w:rPr>
      </w:pPr>
      <w:bookmarkStart w:id="439" w:name="_Toc30036"/>
      <w:bookmarkStart w:id="440" w:name="_Toc28218"/>
      <w:bookmarkStart w:id="441" w:name="_Toc6586"/>
      <w:bookmarkStart w:id="442" w:name="_Toc30714"/>
      <w:bookmarkStart w:id="443" w:name="_Toc11027"/>
      <w:r>
        <w:rPr>
          <w:rStyle w:val="15"/>
          <w:rFonts w:hint="eastAsia" w:ascii="宋体" w:hAnsi="宋体" w:eastAsia="宋体" w:cs="宋体"/>
          <w:sz w:val="28"/>
          <w:szCs w:val="28"/>
        </w:rPr>
        <w:t>第八十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 【智慧法院】</w:t>
      </w:r>
      <w:bookmarkEnd w:id="439"/>
      <w:bookmarkEnd w:id="440"/>
      <w:bookmarkEnd w:id="441"/>
      <w:bookmarkEnd w:id="442"/>
    </w:p>
    <w:bookmarkEnd w:id="443"/>
    <w:p>
      <w:pPr>
        <w:spacing w:line="360" w:lineRule="exact"/>
        <w:ind w:firstLine="560" w:firstLineChars="200"/>
        <w:rPr>
          <w:rFonts w:hint="eastAsia"/>
          <w:sz w:val="28"/>
          <w:szCs w:val="28"/>
        </w:rPr>
      </w:pPr>
      <w:r>
        <w:rPr>
          <w:rFonts w:hint="eastAsia"/>
          <w:sz w:val="28"/>
          <w:szCs w:val="28"/>
        </w:rPr>
        <w:t>本市</w:t>
      </w:r>
      <w:r>
        <w:rPr>
          <w:rFonts w:hint="eastAsia"/>
          <w:sz w:val="28"/>
          <w:szCs w:val="28"/>
          <w:lang w:eastAsia="zh-CN"/>
        </w:rPr>
        <w:t>支持</w:t>
      </w:r>
      <w:r>
        <w:rPr>
          <w:rFonts w:hint="eastAsia"/>
          <w:sz w:val="28"/>
          <w:szCs w:val="28"/>
        </w:rPr>
        <w:t>推进智慧法院、智慧检察院建设，完善综合诉讼服务平台，推进新技术与司法工作深度融合，提高民商事案件诉讼指引、诉讼辅助、诉讼事务、审判事务、诉讼监督等诉讼服务全程网上办理水平</w:t>
      </w:r>
      <w:r>
        <w:rPr>
          <w:rFonts w:hint="eastAsia"/>
          <w:sz w:val="28"/>
          <w:szCs w:val="28"/>
          <w:lang w:eastAsia="zh-CN"/>
        </w:rPr>
        <w:t>，</w:t>
      </w:r>
      <w:r>
        <w:rPr>
          <w:rFonts w:hint="eastAsia"/>
          <w:sz w:val="28"/>
          <w:szCs w:val="28"/>
        </w:rPr>
        <w:t>不断拓展跨部门大数据办案平台、互联网远程视频庭审等应用</w:t>
      </w:r>
      <w:r>
        <w:rPr>
          <w:rFonts w:hint="eastAsia"/>
          <w:sz w:val="28"/>
          <w:szCs w:val="28"/>
          <w:lang w:eastAsia="zh-CN"/>
        </w:rPr>
        <w:t>的</w:t>
      </w:r>
      <w:r>
        <w:rPr>
          <w:rFonts w:hint="eastAsia"/>
          <w:sz w:val="28"/>
          <w:szCs w:val="28"/>
        </w:rPr>
        <w:t>深度和广度。鼓励</w:t>
      </w:r>
      <w:r>
        <w:rPr>
          <w:rFonts w:hint="eastAsia"/>
          <w:sz w:val="28"/>
          <w:szCs w:val="28"/>
          <w:lang w:eastAsia="zh-CN"/>
        </w:rPr>
        <w:t>建设</w:t>
      </w:r>
      <w:r>
        <w:rPr>
          <w:rFonts w:hint="eastAsia"/>
          <w:sz w:val="28"/>
          <w:szCs w:val="28"/>
        </w:rPr>
        <w:t>互联网法院创新运用现代科技，加强网络净化和知识产权的司法保护。</w:t>
      </w:r>
    </w:p>
    <w:p>
      <w:pPr>
        <w:spacing w:line="360" w:lineRule="exact"/>
        <w:ind w:firstLine="562" w:firstLineChars="200"/>
        <w:outlineLvl w:val="1"/>
        <w:rPr>
          <w:rStyle w:val="15"/>
          <w:rFonts w:ascii="宋体" w:hAnsi="宋体" w:eastAsia="宋体" w:cs="宋体"/>
          <w:sz w:val="28"/>
          <w:szCs w:val="24"/>
        </w:rPr>
      </w:pPr>
      <w:bookmarkStart w:id="444" w:name="_Toc32314"/>
      <w:bookmarkStart w:id="445" w:name="_Toc8663"/>
      <w:bookmarkStart w:id="446" w:name="_Toc31055"/>
      <w:bookmarkStart w:id="447" w:name="_Toc27259"/>
      <w:bookmarkStart w:id="448" w:name="_Toc292"/>
      <w:r>
        <w:rPr>
          <w:rStyle w:val="15"/>
          <w:rFonts w:hint="eastAsia" w:ascii="宋体" w:hAnsi="宋体" w:eastAsia="宋体" w:cs="宋体"/>
          <w:sz w:val="28"/>
          <w:szCs w:val="24"/>
        </w:rPr>
        <w:t>第八十</w:t>
      </w:r>
      <w:r>
        <w:rPr>
          <w:rStyle w:val="15"/>
          <w:rFonts w:hint="eastAsia" w:ascii="宋体" w:hAnsi="宋体" w:eastAsia="宋体" w:cs="宋体"/>
          <w:sz w:val="28"/>
          <w:szCs w:val="24"/>
          <w:lang w:eastAsia="zh-CN"/>
        </w:rPr>
        <w:t>四</w:t>
      </w:r>
      <w:r>
        <w:rPr>
          <w:rStyle w:val="15"/>
          <w:rFonts w:hint="eastAsia" w:ascii="宋体" w:hAnsi="宋体" w:eastAsia="宋体" w:cs="宋体"/>
          <w:sz w:val="28"/>
          <w:szCs w:val="24"/>
        </w:rPr>
        <w:t>条 【保护中小投资者】</w:t>
      </w:r>
      <w:bookmarkEnd w:id="444"/>
      <w:bookmarkEnd w:id="445"/>
      <w:bookmarkEnd w:id="446"/>
      <w:bookmarkEnd w:id="447"/>
    </w:p>
    <w:bookmarkEnd w:id="448"/>
    <w:p>
      <w:pPr>
        <w:spacing w:line="360" w:lineRule="exact"/>
        <w:ind w:firstLine="560" w:firstLineChars="200"/>
        <w:rPr>
          <w:rFonts w:hint="eastAsia"/>
          <w:sz w:val="28"/>
          <w:szCs w:val="28"/>
        </w:rPr>
      </w:pPr>
      <w:r>
        <w:rPr>
          <w:rFonts w:hint="eastAsia"/>
          <w:sz w:val="28"/>
          <w:szCs w:val="28"/>
        </w:rPr>
        <w:t>本市全面加强中小投资者权益保护，保障中小投资者的知情权、参与权、表决权、收益权和监督权。引导中小投资者依法维权，提升中小投资者维护合法权益的便利度。</w:t>
      </w:r>
    </w:p>
    <w:p>
      <w:pPr>
        <w:spacing w:line="360" w:lineRule="exact"/>
        <w:ind w:firstLine="560" w:firstLineChars="200"/>
        <w:rPr>
          <w:sz w:val="28"/>
          <w:szCs w:val="28"/>
        </w:rPr>
      </w:pPr>
      <w:r>
        <w:rPr>
          <w:rFonts w:hint="eastAsia"/>
          <w:sz w:val="28"/>
          <w:szCs w:val="28"/>
        </w:rPr>
        <w:t>本市建立侵害中小投资者合法权益事件的快速反应和处置机制，建立群体性证券纠纷处理机制，制定和完善应对突发性群体事件预案，完善律师调查令制度，为中小投资者在证据取证、全程全方位调解、引入专业支持、降低诉讼成本等方面提供便捷、高效的诉讼服务。</w:t>
      </w:r>
    </w:p>
    <w:p>
      <w:pPr>
        <w:spacing w:line="360" w:lineRule="exact"/>
        <w:ind w:firstLine="560" w:firstLineChars="200"/>
        <w:rPr>
          <w:sz w:val="28"/>
          <w:szCs w:val="28"/>
        </w:rPr>
      </w:pPr>
      <w:r>
        <w:rPr>
          <w:rFonts w:hint="eastAsia"/>
          <w:sz w:val="28"/>
          <w:szCs w:val="28"/>
        </w:rPr>
        <w:t>公司的控股股东、实际控制人、董事、监事、高级管理人员负有忠实义务和勤勉义务；不得利用其关联关系损害公司利益和中小股东合法权益；利用关联关系造成损失的，应当依法承担赔偿等法律责任。</w:t>
      </w:r>
    </w:p>
    <w:p>
      <w:pPr>
        <w:spacing w:line="360" w:lineRule="exact"/>
        <w:ind w:firstLine="562" w:firstLineChars="200"/>
        <w:outlineLvl w:val="1"/>
        <w:rPr>
          <w:rStyle w:val="15"/>
          <w:rFonts w:hint="eastAsia" w:ascii="宋体" w:hAnsi="宋体" w:eastAsia="宋体" w:cs="宋体"/>
          <w:sz w:val="28"/>
          <w:szCs w:val="24"/>
        </w:rPr>
      </w:pPr>
      <w:bookmarkStart w:id="449" w:name="_Toc3837"/>
      <w:bookmarkStart w:id="450" w:name="_Toc31673"/>
      <w:bookmarkStart w:id="451" w:name="_Toc4165"/>
      <w:bookmarkStart w:id="452" w:name="_Toc28647"/>
      <w:bookmarkStart w:id="453" w:name="_Toc11780"/>
      <w:r>
        <w:rPr>
          <w:rStyle w:val="15"/>
          <w:rFonts w:hint="eastAsia" w:ascii="宋体" w:hAnsi="宋体" w:eastAsia="宋体" w:cs="宋体"/>
          <w:sz w:val="28"/>
          <w:szCs w:val="24"/>
        </w:rPr>
        <w:t>第八十</w:t>
      </w:r>
      <w:r>
        <w:rPr>
          <w:rStyle w:val="15"/>
          <w:rFonts w:hint="eastAsia" w:ascii="宋体" w:hAnsi="宋体" w:eastAsia="宋体" w:cs="宋体"/>
          <w:sz w:val="28"/>
          <w:szCs w:val="24"/>
          <w:lang w:eastAsia="zh-CN"/>
        </w:rPr>
        <w:t>五</w:t>
      </w:r>
      <w:r>
        <w:rPr>
          <w:rStyle w:val="15"/>
          <w:rFonts w:hint="eastAsia" w:ascii="宋体" w:hAnsi="宋体" w:eastAsia="宋体" w:cs="宋体"/>
          <w:sz w:val="28"/>
          <w:szCs w:val="24"/>
        </w:rPr>
        <w:t>条 【办理破产】</w:t>
      </w:r>
      <w:bookmarkEnd w:id="449"/>
      <w:bookmarkEnd w:id="450"/>
      <w:bookmarkEnd w:id="451"/>
      <w:bookmarkEnd w:id="452"/>
    </w:p>
    <w:bookmarkEnd w:id="453"/>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本市建立市人民政府和市</w:t>
      </w:r>
      <w:r>
        <w:rPr>
          <w:rFonts w:hint="eastAsia"/>
          <w:sz w:val="28"/>
          <w:szCs w:val="28"/>
          <w:lang w:eastAsia="zh-CN"/>
        </w:rPr>
        <w:t>中</w:t>
      </w:r>
      <w:r>
        <w:rPr>
          <w:rFonts w:hint="eastAsia"/>
          <w:sz w:val="28"/>
          <w:szCs w:val="28"/>
        </w:rPr>
        <w:t>级人民法院共同牵头、相关部门参加的企业破产工作协调机制，统筹推进企业破产处置工作，推进完善市场化、法治化的破产制度</w:t>
      </w:r>
      <w:r>
        <w:rPr>
          <w:rFonts w:hint="eastAsia"/>
          <w:sz w:val="28"/>
          <w:szCs w:val="28"/>
          <w:lang w:eastAsia="zh-CN"/>
        </w:rPr>
        <w:t>，</w:t>
      </w:r>
      <w:r>
        <w:rPr>
          <w:rFonts w:hint="eastAsia"/>
          <w:sz w:val="28"/>
          <w:szCs w:val="28"/>
        </w:rPr>
        <w:t>依法支持市场化债务重组，及时沟通解决企业破产过程中的问题。</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本市</w:t>
      </w:r>
      <w:r>
        <w:rPr>
          <w:rFonts w:hint="eastAsia"/>
          <w:sz w:val="28"/>
          <w:szCs w:val="28"/>
          <w:lang w:eastAsia="zh-CN"/>
        </w:rPr>
        <w:t>各级</w:t>
      </w:r>
      <w:r>
        <w:rPr>
          <w:rFonts w:hint="eastAsia"/>
          <w:sz w:val="28"/>
          <w:szCs w:val="28"/>
        </w:rPr>
        <w:t>人民法院探索建立重整识别、预重整等破产拯救机制，探索破产案件繁简分流、简易破产案件快速审理等机制，简化破产流程。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r>
        <w:rPr>
          <w:rFonts w:hint="eastAsia"/>
          <w:sz w:val="28"/>
          <w:szCs w:val="28"/>
          <w:lang w:eastAsia="zh-CN"/>
        </w:rPr>
        <w:t>市中级</w:t>
      </w:r>
      <w:r>
        <w:rPr>
          <w:rFonts w:hint="eastAsia"/>
          <w:sz w:val="28"/>
          <w:szCs w:val="28"/>
        </w:rPr>
        <w:t>人民法院会同市</w:t>
      </w:r>
      <w:r>
        <w:rPr>
          <w:rFonts w:hint="eastAsia"/>
          <w:sz w:val="28"/>
          <w:szCs w:val="28"/>
          <w:lang w:eastAsia="zh-CN"/>
        </w:rPr>
        <w:t>自然</w:t>
      </w:r>
      <w:r>
        <w:rPr>
          <w:rFonts w:hint="eastAsia"/>
          <w:sz w:val="28"/>
          <w:szCs w:val="28"/>
        </w:rPr>
        <w:t>资源、公安等有关部门建立破产案件财产处置联动机制</w:t>
      </w:r>
      <w:r>
        <w:rPr>
          <w:rFonts w:hint="eastAsia"/>
          <w:sz w:val="28"/>
          <w:szCs w:val="28"/>
          <w:lang w:eastAsia="zh-CN"/>
        </w:rPr>
        <w:t>，</w:t>
      </w:r>
      <w:r>
        <w:rPr>
          <w:rFonts w:hint="eastAsia"/>
          <w:sz w:val="28"/>
          <w:szCs w:val="28"/>
        </w:rPr>
        <w:t>统一破产企业土地、房产、车辆等处置规则，提高破产财产处置效率。各级人力资源社会保障部门应当建立破产企业职工权益保障机制</w:t>
      </w:r>
      <w:r>
        <w:rPr>
          <w:rFonts w:hint="eastAsia"/>
          <w:sz w:val="28"/>
          <w:szCs w:val="28"/>
          <w:lang w:eastAsia="zh-CN"/>
        </w:rPr>
        <w:t>，</w:t>
      </w:r>
      <w:r>
        <w:rPr>
          <w:rFonts w:hint="eastAsia"/>
          <w:sz w:val="28"/>
          <w:szCs w:val="28"/>
        </w:rPr>
        <w:t>协调解决职工社会保险关系转移等事项，保障职工合法权益。</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r>
        <w:rPr>
          <w:rFonts w:hint="eastAsia"/>
          <w:sz w:val="28"/>
          <w:szCs w:val="28"/>
        </w:rPr>
        <w:t>破产企业按照有关规定履行相关义务后，自动解除企业非正常户认定状态。企业因重整取得的债务重组收入，依照国家有关规定适用企业所得税相关政策。对于破产企业涉及的房产税、城镇土地使用税等，税务机关应当依法予以减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lang w:eastAsia="zh-CN"/>
        </w:rPr>
      </w:pPr>
      <w:r>
        <w:rPr>
          <w:rFonts w:hint="eastAsia"/>
          <w:sz w:val="28"/>
          <w:szCs w:val="28"/>
          <w:lang w:eastAsia="zh-CN"/>
        </w:rPr>
        <w:t>本市建立破产管理人制度。</w:t>
      </w:r>
      <w:r>
        <w:rPr>
          <w:rFonts w:hint="eastAsia"/>
          <w:sz w:val="28"/>
          <w:szCs w:val="28"/>
        </w:rPr>
        <w:t>破产管理人处分破产企业重大财产的，应当经债权人会议逐项表决通过。破产管理人有权查询破产企业注册登记材料、社会保险费用缴纳情况、银行开户信息及存款状况，以及不动产、车辆、知识产权等信息，相关部门、金融机构应当予以配合。破产管理人依据人民法院终结破产程序裁定文书、清算组依据人民法院强制清算终结裁定文书提出申请的，市场监管部门依法为企业办理注销登记。</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lang w:eastAsia="zh-CN"/>
        </w:rPr>
        <w:t>本市</w:t>
      </w:r>
      <w:r>
        <w:rPr>
          <w:rFonts w:hint="eastAsia"/>
          <w:sz w:val="28"/>
          <w:szCs w:val="28"/>
        </w:rPr>
        <w:t>依法实行个人破产制度。在汕头经济特区居住，且参加汕头社会保险连续满三年的自然人，因生产经营、生活消费导致丧失清偿债务能力或者资产不足以清偿全部债务的，可以申请破产清算、重整或者和解。</w:t>
      </w:r>
    </w:p>
    <w:p>
      <w:pPr>
        <w:spacing w:line="360" w:lineRule="exact"/>
        <w:ind w:firstLine="562" w:firstLineChars="200"/>
        <w:outlineLvl w:val="1"/>
        <w:rPr>
          <w:rStyle w:val="15"/>
          <w:rFonts w:ascii="宋体" w:hAnsi="宋体" w:eastAsia="宋体" w:cs="宋体"/>
          <w:sz w:val="28"/>
          <w:szCs w:val="28"/>
        </w:rPr>
      </w:pPr>
      <w:bookmarkStart w:id="454" w:name="_Toc17799"/>
      <w:bookmarkStart w:id="455" w:name="_Toc26592"/>
      <w:bookmarkStart w:id="456" w:name="_Toc23359"/>
      <w:bookmarkStart w:id="457" w:name="_Toc26739"/>
      <w:bookmarkStart w:id="458" w:name="_Toc7771"/>
      <w:r>
        <w:rPr>
          <w:rStyle w:val="15"/>
          <w:rFonts w:hint="eastAsia" w:ascii="宋体" w:hAnsi="宋体" w:eastAsia="宋体" w:cs="宋体"/>
          <w:sz w:val="28"/>
          <w:szCs w:val="28"/>
        </w:rPr>
        <w:t>第八十</w:t>
      </w:r>
      <w:r>
        <w:rPr>
          <w:rStyle w:val="15"/>
          <w:rFonts w:hint="eastAsia" w:ascii="宋体" w:hAnsi="宋体" w:eastAsia="宋体" w:cs="宋体"/>
          <w:sz w:val="28"/>
          <w:szCs w:val="28"/>
          <w:lang w:eastAsia="zh-CN"/>
        </w:rPr>
        <w:t>六</w:t>
      </w:r>
      <w:r>
        <w:rPr>
          <w:rStyle w:val="15"/>
          <w:rFonts w:hint="eastAsia" w:ascii="宋体" w:hAnsi="宋体" w:eastAsia="宋体" w:cs="宋体"/>
          <w:sz w:val="28"/>
          <w:szCs w:val="28"/>
        </w:rPr>
        <w:t>条 【审判监督】</w:t>
      </w:r>
      <w:bookmarkEnd w:id="454"/>
      <w:bookmarkEnd w:id="455"/>
      <w:bookmarkEnd w:id="456"/>
      <w:bookmarkEnd w:id="457"/>
    </w:p>
    <w:bookmarkEnd w:id="458"/>
    <w:p>
      <w:pPr>
        <w:spacing w:line="360" w:lineRule="exact"/>
        <w:ind w:firstLine="560" w:firstLineChars="200"/>
        <w:rPr>
          <w:sz w:val="28"/>
          <w:szCs w:val="28"/>
        </w:rPr>
      </w:pPr>
      <w:r>
        <w:rPr>
          <w:rFonts w:hint="eastAsia"/>
          <w:sz w:val="28"/>
          <w:szCs w:val="28"/>
        </w:rPr>
        <w:t>本市支持各级人民法院依法公正审理涉及市场主体的各类案件，平等保护各类市场主体合法权益；支持各级人民检察院对人民法院审判活动实施法律监督。</w:t>
      </w:r>
    </w:p>
    <w:p>
      <w:pPr>
        <w:spacing w:line="360" w:lineRule="exact"/>
        <w:ind w:firstLine="560" w:firstLineChars="200"/>
        <w:rPr>
          <w:sz w:val="28"/>
          <w:szCs w:val="28"/>
        </w:rPr>
      </w:pPr>
      <w:r>
        <w:rPr>
          <w:rFonts w:hint="eastAsia"/>
          <w:sz w:val="28"/>
          <w:szCs w:val="28"/>
        </w:rPr>
        <w:t>加强对市场主体的司法保护，依法惩治侵犯市场主体合法权益的违法犯罪行为。统一审判标准，提高司法审判和执行效率，依法减少审前羁押性强制措施。</w:t>
      </w:r>
    </w:p>
    <w:p>
      <w:pPr>
        <w:spacing w:line="360" w:lineRule="exact"/>
        <w:ind w:firstLine="560" w:firstLineChars="200"/>
        <w:rPr>
          <w:rFonts w:hint="eastAsia"/>
          <w:sz w:val="28"/>
          <w:szCs w:val="28"/>
        </w:rPr>
      </w:pPr>
      <w:r>
        <w:rPr>
          <w:rFonts w:hint="eastAsia"/>
          <w:sz w:val="28"/>
          <w:szCs w:val="28"/>
        </w:rPr>
        <w:t>人民法院、人民检察院应当健全完善司法公开制度机制体系，优化升级司法公开平台载体。市场主体可以通过诉讼服务平台查询案件的审判流程信息。本市中级人民法院应当通过司法公开平台向社会及时公开本市各级人民法院商事案件平均审理天数、结案率等动态信息。</w:t>
      </w:r>
    </w:p>
    <w:p>
      <w:pPr>
        <w:spacing w:line="360" w:lineRule="exact"/>
        <w:ind w:firstLine="560" w:firstLineChars="200"/>
        <w:rPr>
          <w:rStyle w:val="15"/>
          <w:rFonts w:ascii="宋体" w:hAnsi="宋体" w:eastAsia="宋体" w:cs="宋体"/>
          <w:sz w:val="28"/>
          <w:szCs w:val="28"/>
        </w:rPr>
      </w:pPr>
      <w:r>
        <w:rPr>
          <w:rFonts w:hint="eastAsia"/>
          <w:sz w:val="28"/>
          <w:szCs w:val="28"/>
        </w:rPr>
        <w:t>本市</w:t>
      </w:r>
      <w:r>
        <w:rPr>
          <w:rFonts w:hint="eastAsia"/>
          <w:sz w:val="28"/>
          <w:szCs w:val="28"/>
          <w:lang w:eastAsia="zh-CN"/>
        </w:rPr>
        <w:t>应探索</w:t>
      </w:r>
      <w:r>
        <w:rPr>
          <w:rFonts w:hint="eastAsia"/>
          <w:sz w:val="28"/>
          <w:szCs w:val="28"/>
        </w:rPr>
        <w:t>加强国际商事纠纷审判组织建设，支持国际商事纠纷审判组织对接国际商事通行规则，加快形成与</w:t>
      </w:r>
      <w:r>
        <w:rPr>
          <w:rFonts w:hint="eastAsia"/>
          <w:sz w:val="28"/>
          <w:szCs w:val="28"/>
          <w:lang w:eastAsia="zh-CN"/>
        </w:rPr>
        <w:t>汕头</w:t>
      </w:r>
      <w:r>
        <w:rPr>
          <w:rFonts w:hint="eastAsia"/>
          <w:sz w:val="28"/>
          <w:szCs w:val="28"/>
        </w:rPr>
        <w:t>国际商事纠纷解决需求相适应的审判体制机制。</w:t>
      </w:r>
    </w:p>
    <w:p>
      <w:pPr>
        <w:spacing w:line="360" w:lineRule="exact"/>
        <w:ind w:firstLine="562" w:firstLineChars="200"/>
        <w:outlineLvl w:val="1"/>
        <w:rPr>
          <w:rStyle w:val="15"/>
          <w:rFonts w:hint="eastAsia" w:ascii="宋体" w:hAnsi="宋体" w:eastAsia="宋体" w:cs="宋体"/>
          <w:sz w:val="28"/>
          <w:szCs w:val="28"/>
        </w:rPr>
      </w:pPr>
      <w:bookmarkStart w:id="459" w:name="_Toc30636"/>
      <w:bookmarkStart w:id="460" w:name="_Toc6820"/>
      <w:bookmarkStart w:id="461" w:name="_Toc27690"/>
      <w:bookmarkStart w:id="462" w:name="_Toc4828"/>
      <w:bookmarkStart w:id="463" w:name="_Toc7139"/>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八十七</w:t>
      </w:r>
      <w:r>
        <w:rPr>
          <w:rStyle w:val="15"/>
          <w:rFonts w:hint="eastAsia" w:ascii="宋体" w:hAnsi="宋体" w:eastAsia="宋体" w:cs="宋体"/>
          <w:sz w:val="28"/>
          <w:szCs w:val="28"/>
        </w:rPr>
        <w:t>条 【优化执行】</w:t>
      </w:r>
      <w:bookmarkEnd w:id="459"/>
      <w:bookmarkEnd w:id="460"/>
      <w:bookmarkEnd w:id="461"/>
      <w:bookmarkEnd w:id="462"/>
    </w:p>
    <w:bookmarkEnd w:id="463"/>
    <w:p>
      <w:pPr>
        <w:spacing w:line="360" w:lineRule="exact"/>
        <w:ind w:firstLine="560" w:firstLineChars="200"/>
        <w:rPr>
          <w:sz w:val="28"/>
          <w:szCs w:val="28"/>
        </w:rPr>
      </w:pPr>
      <w:r>
        <w:rPr>
          <w:rFonts w:hint="eastAsia"/>
          <w:sz w:val="28"/>
          <w:szCs w:val="28"/>
        </w:rPr>
        <w:t>本市强化执行难源头治理制度建设，推动完善执行联动机制，支持人民法院加强和改进执行工作。人民法院应当完善执行联动机制，加强与政府相关部门、人民检察院以及企事业单位的协作，健全信息共享机制。政府相关部门、企事业单位应当与人民法院加强协同联动，配合人民法院依法查询市场主体的身份、财产、交易、联系方式等信息，支持人民法院对涉案不动产、动产、银行存款、股权、知识产权及其他财产权利实施网络查控和依法处置，提高财产查控和强制执行效率。</w:t>
      </w:r>
    </w:p>
    <w:p>
      <w:pPr>
        <w:pStyle w:val="2"/>
        <w:jc w:val="center"/>
        <w:rPr>
          <w:rFonts w:ascii="黑体" w:hAnsi="黑体" w:eastAsia="黑体" w:cs="黑体"/>
          <w:b w:val="0"/>
          <w:bCs/>
          <w:sz w:val="32"/>
          <w:szCs w:val="32"/>
        </w:rPr>
      </w:pPr>
      <w:bookmarkStart w:id="464" w:name="_Toc30184"/>
      <w:bookmarkStart w:id="465" w:name="_Toc20590"/>
      <w:bookmarkStart w:id="466" w:name="_Toc23889"/>
      <w:bookmarkStart w:id="467" w:name="_Toc13867"/>
      <w:bookmarkStart w:id="468" w:name="_Toc27963"/>
      <w:r>
        <w:rPr>
          <w:rFonts w:hint="eastAsia" w:ascii="黑体" w:hAnsi="黑体" w:eastAsia="黑体" w:cs="黑体"/>
          <w:b w:val="0"/>
          <w:bCs/>
          <w:sz w:val="32"/>
          <w:szCs w:val="32"/>
        </w:rPr>
        <w:t>第七章 法律责任</w:t>
      </w:r>
      <w:bookmarkEnd w:id="464"/>
      <w:bookmarkEnd w:id="465"/>
      <w:bookmarkEnd w:id="466"/>
      <w:bookmarkEnd w:id="467"/>
      <w:bookmarkEnd w:id="468"/>
    </w:p>
    <w:p>
      <w:pPr>
        <w:spacing w:line="360" w:lineRule="exact"/>
        <w:ind w:firstLine="562" w:firstLineChars="200"/>
        <w:outlineLvl w:val="1"/>
        <w:rPr>
          <w:rStyle w:val="15"/>
          <w:rFonts w:ascii="宋体" w:hAnsi="宋体" w:eastAsia="宋体" w:cs="宋体"/>
          <w:sz w:val="28"/>
          <w:szCs w:val="28"/>
        </w:rPr>
      </w:pPr>
      <w:bookmarkStart w:id="469" w:name="_Toc30125"/>
      <w:bookmarkStart w:id="470" w:name="_Toc16669"/>
      <w:bookmarkStart w:id="471" w:name="_Toc24045"/>
      <w:bookmarkStart w:id="472" w:name="_Toc2880"/>
      <w:bookmarkStart w:id="473" w:name="_Toc14819"/>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条 【从其他规定处理】</w:t>
      </w:r>
      <w:bookmarkEnd w:id="469"/>
      <w:bookmarkEnd w:id="470"/>
      <w:bookmarkEnd w:id="471"/>
      <w:bookmarkEnd w:id="472"/>
    </w:p>
    <w:bookmarkEnd w:id="473"/>
    <w:p>
      <w:pPr>
        <w:spacing w:line="360" w:lineRule="exact"/>
        <w:ind w:firstLine="560" w:firstLineChars="200"/>
        <w:rPr>
          <w:sz w:val="28"/>
          <w:szCs w:val="28"/>
        </w:rPr>
      </w:pPr>
      <w:r>
        <w:rPr>
          <w:rFonts w:hint="eastAsia"/>
          <w:sz w:val="28"/>
          <w:szCs w:val="28"/>
        </w:rPr>
        <w:t>违反本条例规定的行为，法律、行政法规有处罚规定的，从其规定。</w:t>
      </w:r>
    </w:p>
    <w:p>
      <w:pPr>
        <w:spacing w:line="360" w:lineRule="exact"/>
        <w:ind w:firstLine="562" w:firstLineChars="200"/>
        <w:outlineLvl w:val="1"/>
        <w:rPr>
          <w:rStyle w:val="15"/>
          <w:rFonts w:ascii="宋体" w:hAnsi="宋体" w:eastAsia="宋体" w:cs="宋体"/>
          <w:sz w:val="28"/>
          <w:szCs w:val="28"/>
        </w:rPr>
      </w:pPr>
      <w:bookmarkStart w:id="474" w:name="_Toc15702"/>
      <w:bookmarkStart w:id="475" w:name="_Toc2688"/>
      <w:bookmarkStart w:id="476" w:name="_Toc11402"/>
      <w:bookmarkStart w:id="477" w:name="_Toc2652"/>
      <w:bookmarkStart w:id="478" w:name="_Toc5323"/>
      <w:r>
        <w:rPr>
          <w:rStyle w:val="15"/>
          <w:rFonts w:hint="eastAsia" w:ascii="宋体" w:hAnsi="宋体" w:eastAsia="宋体" w:cs="宋体"/>
          <w:sz w:val="28"/>
          <w:szCs w:val="28"/>
        </w:rPr>
        <w:t>第</w:t>
      </w:r>
      <w:r>
        <w:rPr>
          <w:rStyle w:val="15"/>
          <w:rFonts w:hint="eastAsia" w:ascii="宋体" w:hAnsi="宋体" w:eastAsia="宋体" w:cs="宋体"/>
          <w:sz w:val="28"/>
          <w:szCs w:val="28"/>
          <w:lang w:eastAsia="zh-CN"/>
        </w:rPr>
        <w:t>八</w:t>
      </w:r>
      <w:r>
        <w:rPr>
          <w:rStyle w:val="15"/>
          <w:rFonts w:hint="eastAsia" w:ascii="宋体" w:hAnsi="宋体" w:eastAsia="宋体" w:cs="宋体"/>
          <w:sz w:val="28"/>
          <w:szCs w:val="28"/>
        </w:rPr>
        <w:t>十</w:t>
      </w:r>
      <w:r>
        <w:rPr>
          <w:rStyle w:val="15"/>
          <w:rFonts w:hint="eastAsia" w:ascii="宋体" w:hAnsi="宋体" w:eastAsia="宋体" w:cs="宋体"/>
          <w:sz w:val="28"/>
          <w:szCs w:val="28"/>
          <w:lang w:eastAsia="zh-CN"/>
        </w:rPr>
        <w:t>九</w:t>
      </w:r>
      <w:r>
        <w:rPr>
          <w:rStyle w:val="15"/>
          <w:rFonts w:hint="eastAsia" w:ascii="宋体" w:hAnsi="宋体" w:eastAsia="宋体" w:cs="宋体"/>
          <w:sz w:val="28"/>
          <w:szCs w:val="28"/>
        </w:rPr>
        <w:t>条 【政府部门责任】</w:t>
      </w:r>
      <w:bookmarkEnd w:id="474"/>
      <w:bookmarkEnd w:id="475"/>
      <w:bookmarkEnd w:id="476"/>
      <w:bookmarkEnd w:id="477"/>
    </w:p>
    <w:bookmarkEnd w:id="478"/>
    <w:p>
      <w:pPr>
        <w:spacing w:line="360" w:lineRule="exact"/>
        <w:ind w:firstLine="560" w:firstLineChars="200"/>
        <w:rPr>
          <w:sz w:val="28"/>
          <w:szCs w:val="28"/>
        </w:rPr>
      </w:pPr>
      <w:r>
        <w:rPr>
          <w:rFonts w:hint="eastAsia"/>
          <w:sz w:val="28"/>
          <w:szCs w:val="28"/>
        </w:rPr>
        <w:t>市、区</w:t>
      </w:r>
      <w:r>
        <w:rPr>
          <w:rFonts w:hint="eastAsia"/>
          <w:sz w:val="28"/>
          <w:szCs w:val="28"/>
          <w:lang w:eastAsia="zh-CN"/>
        </w:rPr>
        <w:t>（</w:t>
      </w:r>
      <w:r>
        <w:rPr>
          <w:rFonts w:hint="eastAsia"/>
          <w:sz w:val="28"/>
          <w:szCs w:val="28"/>
        </w:rPr>
        <w:t>县</w:t>
      </w:r>
      <w:r>
        <w:rPr>
          <w:rFonts w:hint="eastAsia"/>
          <w:sz w:val="28"/>
          <w:szCs w:val="28"/>
          <w:lang w:eastAsia="zh-CN"/>
        </w:rPr>
        <w:t>）</w:t>
      </w:r>
      <w:r>
        <w:rPr>
          <w:rFonts w:hint="eastAsia"/>
          <w:sz w:val="28"/>
          <w:szCs w:val="28"/>
        </w:rPr>
        <w:t>人民政府和相关部门及其工作人员违反本条例相关规定，未依法履行职责或者侵犯市场主体合法权益的，由相关部门责令改正；情节严重的，依法依规追究责任。</w:t>
      </w:r>
    </w:p>
    <w:p>
      <w:pPr>
        <w:spacing w:line="360" w:lineRule="exact"/>
        <w:ind w:firstLine="562" w:firstLineChars="200"/>
        <w:outlineLvl w:val="1"/>
        <w:rPr>
          <w:rStyle w:val="15"/>
          <w:rFonts w:ascii="宋体" w:hAnsi="宋体" w:eastAsia="宋体" w:cs="宋体"/>
          <w:sz w:val="28"/>
          <w:szCs w:val="28"/>
        </w:rPr>
      </w:pPr>
      <w:bookmarkStart w:id="479" w:name="_Toc29064"/>
      <w:bookmarkStart w:id="480" w:name="_Toc10667"/>
      <w:bookmarkStart w:id="481" w:name="_Toc24718"/>
      <w:bookmarkStart w:id="482" w:name="_Toc26236"/>
      <w:bookmarkStart w:id="483" w:name="_Toc30888"/>
      <w:r>
        <w:rPr>
          <w:rStyle w:val="15"/>
          <w:rFonts w:hint="eastAsia" w:ascii="宋体" w:hAnsi="宋体" w:eastAsia="宋体" w:cs="宋体"/>
          <w:sz w:val="28"/>
          <w:szCs w:val="28"/>
        </w:rPr>
        <w:t>第九十条 【公用事业服务单位】</w:t>
      </w:r>
      <w:bookmarkEnd w:id="479"/>
      <w:bookmarkEnd w:id="480"/>
      <w:bookmarkEnd w:id="481"/>
      <w:bookmarkEnd w:id="482"/>
    </w:p>
    <w:bookmarkEnd w:id="483"/>
    <w:p>
      <w:pPr>
        <w:spacing w:line="360" w:lineRule="exact"/>
        <w:ind w:firstLine="560" w:firstLineChars="200"/>
        <w:rPr>
          <w:sz w:val="28"/>
          <w:szCs w:val="28"/>
        </w:rPr>
      </w:pPr>
      <w:r>
        <w:rPr>
          <w:rFonts w:hint="eastAsia"/>
          <w:sz w:val="28"/>
          <w:szCs w:val="28"/>
        </w:rPr>
        <w:t>公用事业服务单位违反本条例相关规定，设置非必要服务办理前置条件、不履行红线外配套建设责任、未公开收费目录清单或者违规收费</w:t>
      </w:r>
      <w:r>
        <w:rPr>
          <w:rFonts w:hint="eastAsia"/>
          <w:sz w:val="28"/>
          <w:szCs w:val="28"/>
          <w:lang w:eastAsia="zh-CN"/>
        </w:rPr>
        <w:t>、不执行政府部门优化营商环境改革措施</w:t>
      </w:r>
      <w:r>
        <w:rPr>
          <w:rFonts w:hint="eastAsia"/>
          <w:sz w:val="28"/>
          <w:szCs w:val="28"/>
        </w:rPr>
        <w:t>的，由相关部门责令改正，依法追究法律责任。</w:t>
      </w:r>
    </w:p>
    <w:p>
      <w:pPr>
        <w:spacing w:line="360" w:lineRule="exact"/>
        <w:ind w:firstLine="562" w:firstLineChars="200"/>
        <w:outlineLvl w:val="1"/>
        <w:rPr>
          <w:rStyle w:val="15"/>
          <w:rFonts w:ascii="宋体" w:hAnsi="宋体" w:eastAsia="宋体" w:cs="宋体"/>
          <w:sz w:val="28"/>
          <w:szCs w:val="28"/>
        </w:rPr>
      </w:pPr>
      <w:bookmarkStart w:id="484" w:name="_Toc32581"/>
      <w:bookmarkStart w:id="485" w:name="_Toc7945"/>
      <w:bookmarkStart w:id="486" w:name="_Toc22814"/>
      <w:bookmarkStart w:id="487" w:name="_Toc26831"/>
      <w:bookmarkStart w:id="488" w:name="_Toc23558"/>
      <w:r>
        <w:rPr>
          <w:rStyle w:val="15"/>
          <w:rFonts w:hint="eastAsia" w:ascii="宋体" w:hAnsi="宋体" w:eastAsia="宋体" w:cs="宋体"/>
          <w:sz w:val="28"/>
          <w:szCs w:val="28"/>
        </w:rPr>
        <w:t>第九十</w:t>
      </w:r>
      <w:r>
        <w:rPr>
          <w:rStyle w:val="15"/>
          <w:rFonts w:hint="eastAsia" w:ascii="宋体" w:hAnsi="宋体" w:eastAsia="宋体" w:cs="宋体"/>
          <w:sz w:val="28"/>
          <w:szCs w:val="28"/>
          <w:lang w:eastAsia="zh-CN"/>
        </w:rPr>
        <w:t>一</w:t>
      </w:r>
      <w:r>
        <w:rPr>
          <w:rStyle w:val="15"/>
          <w:rFonts w:hint="eastAsia" w:ascii="宋体" w:hAnsi="宋体" w:eastAsia="宋体" w:cs="宋体"/>
          <w:sz w:val="28"/>
          <w:szCs w:val="28"/>
        </w:rPr>
        <w:t>条 【行业协会商会</w:t>
      </w:r>
      <w:r>
        <w:rPr>
          <w:rStyle w:val="15"/>
          <w:rFonts w:hint="eastAsia" w:ascii="宋体" w:hAnsi="宋体" w:eastAsia="宋体" w:cs="宋体"/>
          <w:sz w:val="28"/>
          <w:szCs w:val="28"/>
          <w:lang w:eastAsia="zh-CN"/>
        </w:rPr>
        <w:t>责任</w:t>
      </w:r>
      <w:r>
        <w:rPr>
          <w:rStyle w:val="15"/>
          <w:rFonts w:hint="eastAsia" w:ascii="宋体" w:hAnsi="宋体" w:eastAsia="宋体" w:cs="宋体"/>
          <w:sz w:val="28"/>
          <w:szCs w:val="28"/>
        </w:rPr>
        <w:t>】</w:t>
      </w:r>
      <w:bookmarkEnd w:id="484"/>
      <w:bookmarkEnd w:id="485"/>
      <w:bookmarkEnd w:id="486"/>
      <w:bookmarkEnd w:id="487"/>
    </w:p>
    <w:bookmarkEnd w:id="488"/>
    <w:p>
      <w:pPr>
        <w:spacing w:line="360" w:lineRule="exact"/>
        <w:ind w:firstLine="560" w:firstLineChars="200"/>
        <w:rPr>
          <w:sz w:val="28"/>
          <w:szCs w:val="28"/>
        </w:rPr>
      </w:pPr>
      <w:r>
        <w:rPr>
          <w:rFonts w:hint="eastAsia"/>
          <w:sz w:val="28"/>
          <w:szCs w:val="28"/>
        </w:rPr>
        <w:t>行业协会商会、中介服务机构违反本条例相关规定，干预市场主体进入或者退出、强制或者变相强制收费，或者未向社会公开办理法定行政审批中介服务的条件、流程、实现、收费标准的，由相关部门责令改正，依法追究法律责任。</w:t>
      </w:r>
    </w:p>
    <w:p>
      <w:pPr>
        <w:spacing w:line="360" w:lineRule="exact"/>
        <w:ind w:firstLine="562" w:firstLineChars="200"/>
        <w:outlineLvl w:val="1"/>
        <w:rPr>
          <w:rStyle w:val="15"/>
          <w:rFonts w:ascii="宋体" w:hAnsi="宋体" w:eastAsia="宋体" w:cs="宋体"/>
          <w:sz w:val="28"/>
          <w:szCs w:val="28"/>
        </w:rPr>
      </w:pPr>
      <w:bookmarkStart w:id="489" w:name="_Toc11437"/>
      <w:bookmarkStart w:id="490" w:name="_Toc11635"/>
      <w:bookmarkStart w:id="491" w:name="_Toc26397"/>
      <w:bookmarkStart w:id="492" w:name="_Toc26119"/>
      <w:bookmarkStart w:id="493" w:name="_Toc32508"/>
      <w:r>
        <w:rPr>
          <w:rStyle w:val="15"/>
          <w:rFonts w:hint="eastAsia" w:ascii="宋体" w:hAnsi="宋体" w:eastAsia="宋体" w:cs="宋体"/>
          <w:sz w:val="28"/>
          <w:szCs w:val="28"/>
        </w:rPr>
        <w:t>第九十</w:t>
      </w:r>
      <w:r>
        <w:rPr>
          <w:rStyle w:val="15"/>
          <w:rFonts w:hint="eastAsia" w:ascii="宋体" w:hAnsi="宋体" w:eastAsia="宋体" w:cs="宋体"/>
          <w:sz w:val="28"/>
          <w:szCs w:val="28"/>
          <w:lang w:eastAsia="zh-CN"/>
        </w:rPr>
        <w:t>二</w:t>
      </w:r>
      <w:r>
        <w:rPr>
          <w:rStyle w:val="15"/>
          <w:rFonts w:hint="eastAsia" w:ascii="宋体" w:hAnsi="宋体" w:eastAsia="宋体" w:cs="宋体"/>
          <w:sz w:val="28"/>
          <w:szCs w:val="28"/>
        </w:rPr>
        <w:t>条 【金融机构】</w:t>
      </w:r>
      <w:bookmarkEnd w:id="489"/>
      <w:bookmarkEnd w:id="490"/>
      <w:bookmarkEnd w:id="491"/>
      <w:bookmarkEnd w:id="492"/>
    </w:p>
    <w:bookmarkEnd w:id="493"/>
    <w:p>
      <w:pPr>
        <w:spacing w:line="360" w:lineRule="exact"/>
        <w:ind w:firstLine="560" w:firstLineChars="200"/>
        <w:rPr>
          <w:rFonts w:ascii="黑体" w:hAnsi="黑体" w:eastAsia="黑体" w:cs="黑体"/>
          <w:sz w:val="32"/>
          <w:szCs w:val="32"/>
        </w:rPr>
      </w:pPr>
      <w:r>
        <w:rPr>
          <w:rFonts w:hint="eastAsia"/>
          <w:sz w:val="28"/>
          <w:szCs w:val="28"/>
        </w:rPr>
        <w:t>金融机构有</w:t>
      </w:r>
      <w:r>
        <w:rPr>
          <w:rFonts w:hint="eastAsia"/>
          <w:sz w:val="28"/>
          <w:szCs w:val="28"/>
          <w:lang w:eastAsia="zh-CN"/>
        </w:rPr>
        <w:t>违反</w:t>
      </w:r>
      <w:r>
        <w:rPr>
          <w:rFonts w:hint="eastAsia"/>
          <w:sz w:val="28"/>
          <w:szCs w:val="28"/>
        </w:rPr>
        <w:t>本条例第八十</w:t>
      </w:r>
      <w:r>
        <w:rPr>
          <w:rFonts w:hint="eastAsia"/>
          <w:sz w:val="28"/>
          <w:szCs w:val="28"/>
          <w:lang w:eastAsia="zh-CN"/>
        </w:rPr>
        <w:t>七</w:t>
      </w:r>
      <w:r>
        <w:rPr>
          <w:rFonts w:hint="eastAsia"/>
          <w:sz w:val="28"/>
          <w:szCs w:val="28"/>
        </w:rPr>
        <w:t>条、第八十</w:t>
      </w:r>
      <w:r>
        <w:rPr>
          <w:rFonts w:hint="eastAsia"/>
          <w:sz w:val="28"/>
          <w:szCs w:val="28"/>
          <w:lang w:eastAsia="zh-CN"/>
        </w:rPr>
        <w:t>八</w:t>
      </w:r>
      <w:r>
        <w:rPr>
          <w:rFonts w:hint="eastAsia"/>
          <w:sz w:val="28"/>
          <w:szCs w:val="28"/>
        </w:rPr>
        <w:t>条规定情形之一的，由相关部门责令改正；逾期不改正或者情节严重的，依照《中华人民共和国银行业监督管理法》相关规定给予处罚；有违法所得的，依法没收违法所得。</w:t>
      </w:r>
    </w:p>
    <w:p>
      <w:pPr>
        <w:pStyle w:val="2"/>
        <w:jc w:val="center"/>
        <w:rPr>
          <w:rFonts w:ascii="黑体" w:hAnsi="黑体" w:eastAsia="黑体" w:cs="黑体"/>
          <w:b w:val="0"/>
          <w:bCs/>
          <w:sz w:val="32"/>
          <w:szCs w:val="32"/>
        </w:rPr>
      </w:pPr>
      <w:bookmarkStart w:id="494" w:name="_Toc6362"/>
      <w:bookmarkStart w:id="495" w:name="_Toc22617"/>
      <w:bookmarkStart w:id="496" w:name="_Toc285"/>
      <w:bookmarkStart w:id="497" w:name="_Toc15111"/>
      <w:bookmarkStart w:id="498" w:name="_Toc18664"/>
      <w:r>
        <w:rPr>
          <w:rFonts w:hint="eastAsia" w:ascii="黑体" w:hAnsi="黑体" w:eastAsia="黑体" w:cs="黑体"/>
          <w:b w:val="0"/>
          <w:bCs/>
          <w:sz w:val="32"/>
          <w:szCs w:val="32"/>
        </w:rPr>
        <w:t>第八章 附则</w:t>
      </w:r>
      <w:bookmarkEnd w:id="494"/>
      <w:bookmarkEnd w:id="495"/>
      <w:bookmarkEnd w:id="496"/>
      <w:bookmarkEnd w:id="497"/>
      <w:bookmarkEnd w:id="498"/>
    </w:p>
    <w:p>
      <w:pPr>
        <w:spacing w:line="360" w:lineRule="exact"/>
        <w:ind w:firstLine="562" w:firstLineChars="200"/>
        <w:outlineLvl w:val="1"/>
        <w:rPr>
          <w:sz w:val="28"/>
          <w:szCs w:val="28"/>
        </w:rPr>
      </w:pPr>
      <w:bookmarkStart w:id="499" w:name="_Toc800"/>
      <w:bookmarkStart w:id="500" w:name="_Toc3266"/>
      <w:bookmarkStart w:id="501" w:name="_Toc9232"/>
      <w:bookmarkStart w:id="502" w:name="_Toc17818"/>
      <w:bookmarkStart w:id="503" w:name="_Toc31272"/>
      <w:r>
        <w:rPr>
          <w:rStyle w:val="15"/>
          <w:rFonts w:hint="eastAsia" w:ascii="宋体" w:hAnsi="宋体" w:eastAsia="宋体" w:cs="宋体"/>
          <w:sz w:val="28"/>
          <w:szCs w:val="28"/>
        </w:rPr>
        <w:t>第九十</w:t>
      </w:r>
      <w:r>
        <w:rPr>
          <w:rStyle w:val="15"/>
          <w:rFonts w:hint="eastAsia" w:ascii="宋体" w:hAnsi="宋体" w:eastAsia="宋体" w:cs="宋体"/>
          <w:sz w:val="28"/>
          <w:szCs w:val="28"/>
          <w:lang w:eastAsia="zh-CN"/>
        </w:rPr>
        <w:t>三</w:t>
      </w:r>
      <w:r>
        <w:rPr>
          <w:rStyle w:val="15"/>
          <w:rFonts w:hint="eastAsia" w:ascii="宋体" w:hAnsi="宋体" w:eastAsia="宋体" w:cs="宋体"/>
          <w:sz w:val="28"/>
          <w:szCs w:val="28"/>
        </w:rPr>
        <w:t>条</w:t>
      </w:r>
      <w:bookmarkEnd w:id="499"/>
      <w:r>
        <w:rPr>
          <w:rFonts w:hint="eastAsia"/>
          <w:sz w:val="28"/>
          <w:szCs w:val="28"/>
        </w:rPr>
        <w:t> 市、区</w:t>
      </w:r>
      <w:r>
        <w:rPr>
          <w:rFonts w:hint="eastAsia"/>
          <w:sz w:val="28"/>
          <w:szCs w:val="28"/>
          <w:lang w:eastAsia="zh-CN"/>
        </w:rPr>
        <w:t>（县）</w:t>
      </w:r>
      <w:r>
        <w:rPr>
          <w:rFonts w:hint="eastAsia"/>
          <w:sz w:val="28"/>
          <w:szCs w:val="28"/>
        </w:rPr>
        <w:t>人民政府及其相关部门可以根据本条例制定具体实施办法。</w:t>
      </w:r>
      <w:bookmarkEnd w:id="500"/>
      <w:bookmarkEnd w:id="501"/>
      <w:bookmarkEnd w:id="502"/>
      <w:bookmarkEnd w:id="503"/>
    </w:p>
    <w:p>
      <w:pPr>
        <w:spacing w:line="360" w:lineRule="exact"/>
        <w:ind w:firstLine="562" w:firstLineChars="200"/>
        <w:outlineLvl w:val="1"/>
        <w:rPr>
          <w:sz w:val="28"/>
          <w:szCs w:val="28"/>
        </w:rPr>
      </w:pPr>
      <w:bookmarkStart w:id="504" w:name="_Toc6555"/>
      <w:bookmarkStart w:id="505" w:name="_Toc176"/>
      <w:bookmarkStart w:id="506" w:name="_Toc19560"/>
      <w:bookmarkStart w:id="507" w:name="_Toc32357"/>
      <w:bookmarkStart w:id="508" w:name="_Toc24009"/>
      <w:bookmarkStart w:id="509" w:name="_Toc18326"/>
      <w:r>
        <w:rPr>
          <w:rStyle w:val="15"/>
          <w:rFonts w:hint="eastAsia" w:ascii="宋体" w:hAnsi="宋体" w:eastAsia="宋体" w:cs="宋体"/>
          <w:sz w:val="28"/>
          <w:szCs w:val="28"/>
        </w:rPr>
        <w:t>第九十</w:t>
      </w:r>
      <w:r>
        <w:rPr>
          <w:rStyle w:val="15"/>
          <w:rFonts w:hint="eastAsia" w:ascii="宋体" w:hAnsi="宋体" w:eastAsia="宋体" w:cs="宋体"/>
          <w:sz w:val="28"/>
          <w:szCs w:val="28"/>
          <w:lang w:eastAsia="zh-CN"/>
        </w:rPr>
        <w:t>四</w:t>
      </w:r>
      <w:r>
        <w:rPr>
          <w:rStyle w:val="15"/>
          <w:rFonts w:hint="eastAsia" w:ascii="宋体" w:hAnsi="宋体" w:eastAsia="宋体" w:cs="宋体"/>
          <w:sz w:val="28"/>
          <w:szCs w:val="28"/>
        </w:rPr>
        <w:t>条</w:t>
      </w:r>
      <w:r>
        <w:rPr>
          <w:rFonts w:hint="eastAsia"/>
          <w:sz w:val="28"/>
          <w:szCs w:val="28"/>
        </w:rPr>
        <w:t> 本条例自2021年 月 日起施行。</w:t>
      </w:r>
      <w:bookmarkEnd w:id="504"/>
      <w:bookmarkEnd w:id="505"/>
      <w:bookmarkEnd w:id="506"/>
      <w:bookmarkEnd w:id="507"/>
      <w:bookmarkEnd w:id="508"/>
      <w:bookmarkEnd w:id="509"/>
    </w:p>
    <w:p>
      <w:pPr>
        <w:spacing w:line="360" w:lineRule="exact"/>
        <w:rPr>
          <w:rFonts w:hint="eastAsia" w:eastAsiaTheme="minorEastAsia"/>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966C5"/>
    <w:multiLevelType w:val="singleLevel"/>
    <w:tmpl w:val="A38966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44"/>
    <w:rsid w:val="0002317E"/>
    <w:rsid w:val="00055A7D"/>
    <w:rsid w:val="00082300"/>
    <w:rsid w:val="001275C0"/>
    <w:rsid w:val="001D357A"/>
    <w:rsid w:val="00213241"/>
    <w:rsid w:val="00274819"/>
    <w:rsid w:val="002A11C0"/>
    <w:rsid w:val="00443638"/>
    <w:rsid w:val="00481111"/>
    <w:rsid w:val="00486E36"/>
    <w:rsid w:val="004C4273"/>
    <w:rsid w:val="004E43AC"/>
    <w:rsid w:val="00537390"/>
    <w:rsid w:val="0072683B"/>
    <w:rsid w:val="00786AFF"/>
    <w:rsid w:val="007B1598"/>
    <w:rsid w:val="00972A65"/>
    <w:rsid w:val="009F07EB"/>
    <w:rsid w:val="00A045E1"/>
    <w:rsid w:val="00A57771"/>
    <w:rsid w:val="00AF79EA"/>
    <w:rsid w:val="00B176E9"/>
    <w:rsid w:val="00B47C9A"/>
    <w:rsid w:val="00C132C4"/>
    <w:rsid w:val="00D44C15"/>
    <w:rsid w:val="00D926FE"/>
    <w:rsid w:val="00DE3428"/>
    <w:rsid w:val="00E220E2"/>
    <w:rsid w:val="00E67C82"/>
    <w:rsid w:val="00E73534"/>
    <w:rsid w:val="00E73605"/>
    <w:rsid w:val="00ED39B1"/>
    <w:rsid w:val="00F103E2"/>
    <w:rsid w:val="01052D43"/>
    <w:rsid w:val="0142741F"/>
    <w:rsid w:val="01633FE9"/>
    <w:rsid w:val="019702A0"/>
    <w:rsid w:val="01A23C2A"/>
    <w:rsid w:val="01A43BFE"/>
    <w:rsid w:val="01A65623"/>
    <w:rsid w:val="01D725CB"/>
    <w:rsid w:val="01EF6473"/>
    <w:rsid w:val="02085E65"/>
    <w:rsid w:val="022C1DCA"/>
    <w:rsid w:val="024005EF"/>
    <w:rsid w:val="02445F40"/>
    <w:rsid w:val="02A90E38"/>
    <w:rsid w:val="02B348A8"/>
    <w:rsid w:val="02C860F2"/>
    <w:rsid w:val="02C91F26"/>
    <w:rsid w:val="035907D4"/>
    <w:rsid w:val="036D3F03"/>
    <w:rsid w:val="03894299"/>
    <w:rsid w:val="03A222DC"/>
    <w:rsid w:val="03CE7913"/>
    <w:rsid w:val="03F861F3"/>
    <w:rsid w:val="04124A9F"/>
    <w:rsid w:val="0430552A"/>
    <w:rsid w:val="04761503"/>
    <w:rsid w:val="048C230A"/>
    <w:rsid w:val="04947099"/>
    <w:rsid w:val="04E72CB1"/>
    <w:rsid w:val="051C2061"/>
    <w:rsid w:val="051E4BFC"/>
    <w:rsid w:val="053B47D3"/>
    <w:rsid w:val="057E05CF"/>
    <w:rsid w:val="05887F01"/>
    <w:rsid w:val="05B70A6D"/>
    <w:rsid w:val="05D51CDE"/>
    <w:rsid w:val="05F11A58"/>
    <w:rsid w:val="063C4373"/>
    <w:rsid w:val="06966AD9"/>
    <w:rsid w:val="06AA28ED"/>
    <w:rsid w:val="07277CC0"/>
    <w:rsid w:val="074711FD"/>
    <w:rsid w:val="07527AD6"/>
    <w:rsid w:val="07546E4F"/>
    <w:rsid w:val="075D4E71"/>
    <w:rsid w:val="07784A43"/>
    <w:rsid w:val="07972837"/>
    <w:rsid w:val="07D71E2B"/>
    <w:rsid w:val="07EE54FD"/>
    <w:rsid w:val="07F851BF"/>
    <w:rsid w:val="07FE1C7F"/>
    <w:rsid w:val="080847AE"/>
    <w:rsid w:val="083C2994"/>
    <w:rsid w:val="08806EAF"/>
    <w:rsid w:val="08BA4BF8"/>
    <w:rsid w:val="08C169D0"/>
    <w:rsid w:val="08D72657"/>
    <w:rsid w:val="08E97278"/>
    <w:rsid w:val="08FC6F1C"/>
    <w:rsid w:val="09173F23"/>
    <w:rsid w:val="092252C2"/>
    <w:rsid w:val="092A3974"/>
    <w:rsid w:val="09513049"/>
    <w:rsid w:val="095B4CD2"/>
    <w:rsid w:val="09842CAB"/>
    <w:rsid w:val="09EA0183"/>
    <w:rsid w:val="09F3230B"/>
    <w:rsid w:val="0A223371"/>
    <w:rsid w:val="0A3607E0"/>
    <w:rsid w:val="0A7B4A1F"/>
    <w:rsid w:val="0A82453F"/>
    <w:rsid w:val="0AA71C37"/>
    <w:rsid w:val="0AEC1013"/>
    <w:rsid w:val="0B1E77FC"/>
    <w:rsid w:val="0B1F6F7C"/>
    <w:rsid w:val="0B296012"/>
    <w:rsid w:val="0B550BCB"/>
    <w:rsid w:val="0B5D3C75"/>
    <w:rsid w:val="0BA319C4"/>
    <w:rsid w:val="0BFC279A"/>
    <w:rsid w:val="0C1B4B4B"/>
    <w:rsid w:val="0C216C1D"/>
    <w:rsid w:val="0C2A3B46"/>
    <w:rsid w:val="0C2B2AB0"/>
    <w:rsid w:val="0C731824"/>
    <w:rsid w:val="0C9F43F1"/>
    <w:rsid w:val="0CDC46D2"/>
    <w:rsid w:val="0D3D2D13"/>
    <w:rsid w:val="0D7879F2"/>
    <w:rsid w:val="0DBF1F58"/>
    <w:rsid w:val="0E0A7F23"/>
    <w:rsid w:val="0E272FF9"/>
    <w:rsid w:val="0F20052E"/>
    <w:rsid w:val="0F2B7821"/>
    <w:rsid w:val="0F5C0FDB"/>
    <w:rsid w:val="0F5E715F"/>
    <w:rsid w:val="0F834F76"/>
    <w:rsid w:val="0FAF6E2E"/>
    <w:rsid w:val="0FED727B"/>
    <w:rsid w:val="0FFF2380"/>
    <w:rsid w:val="100F0E84"/>
    <w:rsid w:val="1052354B"/>
    <w:rsid w:val="1067747F"/>
    <w:rsid w:val="10A20FF4"/>
    <w:rsid w:val="10CC1296"/>
    <w:rsid w:val="11012D7A"/>
    <w:rsid w:val="11076BB4"/>
    <w:rsid w:val="1172090D"/>
    <w:rsid w:val="11794474"/>
    <w:rsid w:val="117A1E00"/>
    <w:rsid w:val="11C6519C"/>
    <w:rsid w:val="11D46400"/>
    <w:rsid w:val="11ED3935"/>
    <w:rsid w:val="121D6960"/>
    <w:rsid w:val="12257B2A"/>
    <w:rsid w:val="124E7142"/>
    <w:rsid w:val="12657B9D"/>
    <w:rsid w:val="12AA0F69"/>
    <w:rsid w:val="12E03E6C"/>
    <w:rsid w:val="12FF4038"/>
    <w:rsid w:val="13213E5B"/>
    <w:rsid w:val="132D6E31"/>
    <w:rsid w:val="1350784F"/>
    <w:rsid w:val="13655B23"/>
    <w:rsid w:val="140C01C8"/>
    <w:rsid w:val="14D47DA4"/>
    <w:rsid w:val="14E13125"/>
    <w:rsid w:val="14FB7B35"/>
    <w:rsid w:val="15061A53"/>
    <w:rsid w:val="15165EA3"/>
    <w:rsid w:val="15351255"/>
    <w:rsid w:val="153E5C4E"/>
    <w:rsid w:val="154D77BD"/>
    <w:rsid w:val="154E67D7"/>
    <w:rsid w:val="156127BD"/>
    <w:rsid w:val="157C0AAF"/>
    <w:rsid w:val="1580672B"/>
    <w:rsid w:val="15956661"/>
    <w:rsid w:val="15BF2365"/>
    <w:rsid w:val="15C657EE"/>
    <w:rsid w:val="162B0E77"/>
    <w:rsid w:val="16387E5A"/>
    <w:rsid w:val="16485DF3"/>
    <w:rsid w:val="164B6EFC"/>
    <w:rsid w:val="16727FB8"/>
    <w:rsid w:val="168A69EE"/>
    <w:rsid w:val="169B5E36"/>
    <w:rsid w:val="16BE6991"/>
    <w:rsid w:val="170E359C"/>
    <w:rsid w:val="17132795"/>
    <w:rsid w:val="17317A0A"/>
    <w:rsid w:val="17416B8A"/>
    <w:rsid w:val="177856E9"/>
    <w:rsid w:val="179D45EF"/>
    <w:rsid w:val="17C3387C"/>
    <w:rsid w:val="17D71C1B"/>
    <w:rsid w:val="18396AFF"/>
    <w:rsid w:val="184B4A12"/>
    <w:rsid w:val="1867509B"/>
    <w:rsid w:val="18A65675"/>
    <w:rsid w:val="18B61838"/>
    <w:rsid w:val="18CF17A8"/>
    <w:rsid w:val="18F444BE"/>
    <w:rsid w:val="190B1494"/>
    <w:rsid w:val="1957583D"/>
    <w:rsid w:val="19597106"/>
    <w:rsid w:val="19994A0C"/>
    <w:rsid w:val="19DB477F"/>
    <w:rsid w:val="19E203EB"/>
    <w:rsid w:val="19E67C60"/>
    <w:rsid w:val="1A2149A8"/>
    <w:rsid w:val="1A4B151D"/>
    <w:rsid w:val="1A873E29"/>
    <w:rsid w:val="1AC25717"/>
    <w:rsid w:val="1B6B7857"/>
    <w:rsid w:val="1B9A0737"/>
    <w:rsid w:val="1BD60DAE"/>
    <w:rsid w:val="1BD82594"/>
    <w:rsid w:val="1BFF24F4"/>
    <w:rsid w:val="1C0C5110"/>
    <w:rsid w:val="1C294334"/>
    <w:rsid w:val="1C773E90"/>
    <w:rsid w:val="1C963192"/>
    <w:rsid w:val="1CC03B26"/>
    <w:rsid w:val="1CEC0361"/>
    <w:rsid w:val="1D121C2F"/>
    <w:rsid w:val="1D3F73F4"/>
    <w:rsid w:val="1D4B4798"/>
    <w:rsid w:val="1D6270D8"/>
    <w:rsid w:val="1D8B67FB"/>
    <w:rsid w:val="1DEC2778"/>
    <w:rsid w:val="1DEF32B5"/>
    <w:rsid w:val="1E8C3BDF"/>
    <w:rsid w:val="1E8F1B93"/>
    <w:rsid w:val="1EA65572"/>
    <w:rsid w:val="1EA93E5E"/>
    <w:rsid w:val="1EE356BD"/>
    <w:rsid w:val="1F307E3E"/>
    <w:rsid w:val="1F371E2C"/>
    <w:rsid w:val="1FDB3D57"/>
    <w:rsid w:val="20620B3E"/>
    <w:rsid w:val="21133C92"/>
    <w:rsid w:val="213D02E3"/>
    <w:rsid w:val="216401AD"/>
    <w:rsid w:val="21726A1D"/>
    <w:rsid w:val="21F2187B"/>
    <w:rsid w:val="21F406DD"/>
    <w:rsid w:val="2209479C"/>
    <w:rsid w:val="223A70B7"/>
    <w:rsid w:val="22447275"/>
    <w:rsid w:val="229126D8"/>
    <w:rsid w:val="22CA1E43"/>
    <w:rsid w:val="22D2715B"/>
    <w:rsid w:val="230363A4"/>
    <w:rsid w:val="238B6A82"/>
    <w:rsid w:val="23B70091"/>
    <w:rsid w:val="23B748DE"/>
    <w:rsid w:val="23D839DE"/>
    <w:rsid w:val="23F13189"/>
    <w:rsid w:val="246A11D9"/>
    <w:rsid w:val="247A61BC"/>
    <w:rsid w:val="24BA60F7"/>
    <w:rsid w:val="24E90576"/>
    <w:rsid w:val="24F82CB7"/>
    <w:rsid w:val="254C5A69"/>
    <w:rsid w:val="258927BF"/>
    <w:rsid w:val="25921223"/>
    <w:rsid w:val="2599535B"/>
    <w:rsid w:val="25D61F27"/>
    <w:rsid w:val="260633E1"/>
    <w:rsid w:val="260A05C8"/>
    <w:rsid w:val="260A3BB2"/>
    <w:rsid w:val="26927D69"/>
    <w:rsid w:val="26B37360"/>
    <w:rsid w:val="270B05EE"/>
    <w:rsid w:val="27583A69"/>
    <w:rsid w:val="27962CE3"/>
    <w:rsid w:val="27BC1C3C"/>
    <w:rsid w:val="286F1F37"/>
    <w:rsid w:val="287619D3"/>
    <w:rsid w:val="28A73461"/>
    <w:rsid w:val="28AE1C77"/>
    <w:rsid w:val="28AE3E5E"/>
    <w:rsid w:val="28EF762E"/>
    <w:rsid w:val="28F01041"/>
    <w:rsid w:val="296935D0"/>
    <w:rsid w:val="29BA12DB"/>
    <w:rsid w:val="29C541EA"/>
    <w:rsid w:val="2A2A3B90"/>
    <w:rsid w:val="2A2D2595"/>
    <w:rsid w:val="2A2F7B14"/>
    <w:rsid w:val="2AB02A9D"/>
    <w:rsid w:val="2ACF293D"/>
    <w:rsid w:val="2B0C1268"/>
    <w:rsid w:val="2B451D4A"/>
    <w:rsid w:val="2BBC7495"/>
    <w:rsid w:val="2BE92F47"/>
    <w:rsid w:val="2BEE3BFB"/>
    <w:rsid w:val="2BFB0750"/>
    <w:rsid w:val="2C4E2CA0"/>
    <w:rsid w:val="2C533F14"/>
    <w:rsid w:val="2CA30750"/>
    <w:rsid w:val="2CB06C30"/>
    <w:rsid w:val="2CBE1DF0"/>
    <w:rsid w:val="2CE45F1A"/>
    <w:rsid w:val="2CFE6818"/>
    <w:rsid w:val="2D081B24"/>
    <w:rsid w:val="2D222A26"/>
    <w:rsid w:val="2D3062D7"/>
    <w:rsid w:val="2D4225BD"/>
    <w:rsid w:val="2D4C3B99"/>
    <w:rsid w:val="2D5234E1"/>
    <w:rsid w:val="2D6633BD"/>
    <w:rsid w:val="2D6D0018"/>
    <w:rsid w:val="2D76202D"/>
    <w:rsid w:val="2D9F70B3"/>
    <w:rsid w:val="2DBC0CDD"/>
    <w:rsid w:val="2DD46806"/>
    <w:rsid w:val="2E30220E"/>
    <w:rsid w:val="2E4A0232"/>
    <w:rsid w:val="2ED53DF4"/>
    <w:rsid w:val="2ED67B1D"/>
    <w:rsid w:val="2EE328A9"/>
    <w:rsid w:val="2EF07787"/>
    <w:rsid w:val="2EFF08B8"/>
    <w:rsid w:val="2F452FCC"/>
    <w:rsid w:val="2F6872E5"/>
    <w:rsid w:val="2F784BBA"/>
    <w:rsid w:val="2FA25A1E"/>
    <w:rsid w:val="2FDA2BD4"/>
    <w:rsid w:val="30154ACF"/>
    <w:rsid w:val="30167316"/>
    <w:rsid w:val="30290664"/>
    <w:rsid w:val="302D17BA"/>
    <w:rsid w:val="30426CA1"/>
    <w:rsid w:val="30464FD7"/>
    <w:rsid w:val="304F2481"/>
    <w:rsid w:val="30533B5F"/>
    <w:rsid w:val="306B29AC"/>
    <w:rsid w:val="30AD52A8"/>
    <w:rsid w:val="30B55A67"/>
    <w:rsid w:val="30C4554E"/>
    <w:rsid w:val="30D64B09"/>
    <w:rsid w:val="315822E6"/>
    <w:rsid w:val="317502CB"/>
    <w:rsid w:val="31A16499"/>
    <w:rsid w:val="31A75B7B"/>
    <w:rsid w:val="31AA18F3"/>
    <w:rsid w:val="31C55F04"/>
    <w:rsid w:val="31E30F1B"/>
    <w:rsid w:val="320A1B27"/>
    <w:rsid w:val="321D2366"/>
    <w:rsid w:val="32B92871"/>
    <w:rsid w:val="32D70C9B"/>
    <w:rsid w:val="32F84D6B"/>
    <w:rsid w:val="330A6F21"/>
    <w:rsid w:val="331F1615"/>
    <w:rsid w:val="338025CB"/>
    <w:rsid w:val="33AA770C"/>
    <w:rsid w:val="33AE43D2"/>
    <w:rsid w:val="33BB5F59"/>
    <w:rsid w:val="33BC5391"/>
    <w:rsid w:val="33EB7557"/>
    <w:rsid w:val="3406135A"/>
    <w:rsid w:val="346B7D96"/>
    <w:rsid w:val="34A441C4"/>
    <w:rsid w:val="34A870D6"/>
    <w:rsid w:val="34B214E3"/>
    <w:rsid w:val="350810A5"/>
    <w:rsid w:val="351801B0"/>
    <w:rsid w:val="35184C2B"/>
    <w:rsid w:val="356967F4"/>
    <w:rsid w:val="35CE4BDA"/>
    <w:rsid w:val="365A688E"/>
    <w:rsid w:val="36666CC9"/>
    <w:rsid w:val="366B5BA7"/>
    <w:rsid w:val="36C05509"/>
    <w:rsid w:val="36F23DB2"/>
    <w:rsid w:val="36FA4FD8"/>
    <w:rsid w:val="3755639C"/>
    <w:rsid w:val="3797417D"/>
    <w:rsid w:val="37AD50A6"/>
    <w:rsid w:val="37C61D98"/>
    <w:rsid w:val="37F45C63"/>
    <w:rsid w:val="38331504"/>
    <w:rsid w:val="38336DEB"/>
    <w:rsid w:val="38465E46"/>
    <w:rsid w:val="38D01E1D"/>
    <w:rsid w:val="38F914F2"/>
    <w:rsid w:val="390420A7"/>
    <w:rsid w:val="398823BF"/>
    <w:rsid w:val="39C63368"/>
    <w:rsid w:val="3A0B0061"/>
    <w:rsid w:val="3A111EF7"/>
    <w:rsid w:val="3A264C8B"/>
    <w:rsid w:val="3A564EFE"/>
    <w:rsid w:val="3A8756EC"/>
    <w:rsid w:val="3A901382"/>
    <w:rsid w:val="3A9D62AB"/>
    <w:rsid w:val="3B142EE9"/>
    <w:rsid w:val="3BB2246B"/>
    <w:rsid w:val="3BE37C02"/>
    <w:rsid w:val="3C2A3003"/>
    <w:rsid w:val="3C414669"/>
    <w:rsid w:val="3C42745F"/>
    <w:rsid w:val="3C4B1F06"/>
    <w:rsid w:val="3CE63FF6"/>
    <w:rsid w:val="3CF32235"/>
    <w:rsid w:val="3D3453A2"/>
    <w:rsid w:val="3D532BB3"/>
    <w:rsid w:val="3D8659BA"/>
    <w:rsid w:val="3DA7636C"/>
    <w:rsid w:val="3E207B0B"/>
    <w:rsid w:val="3E2F532C"/>
    <w:rsid w:val="3E343DC5"/>
    <w:rsid w:val="3E3A41F8"/>
    <w:rsid w:val="3EC52DA1"/>
    <w:rsid w:val="3EF40D90"/>
    <w:rsid w:val="3F2C2C14"/>
    <w:rsid w:val="3F3B3C5F"/>
    <w:rsid w:val="3F422F29"/>
    <w:rsid w:val="3FB10951"/>
    <w:rsid w:val="3FC97B1D"/>
    <w:rsid w:val="3FDC4FD2"/>
    <w:rsid w:val="3FF9051C"/>
    <w:rsid w:val="402067A5"/>
    <w:rsid w:val="409479C3"/>
    <w:rsid w:val="40C21505"/>
    <w:rsid w:val="40DF6212"/>
    <w:rsid w:val="41163858"/>
    <w:rsid w:val="41405C13"/>
    <w:rsid w:val="41572441"/>
    <w:rsid w:val="416E371F"/>
    <w:rsid w:val="42395C37"/>
    <w:rsid w:val="42A33D28"/>
    <w:rsid w:val="42A9427E"/>
    <w:rsid w:val="42BB148D"/>
    <w:rsid w:val="42DD2AE7"/>
    <w:rsid w:val="431645B8"/>
    <w:rsid w:val="432033C9"/>
    <w:rsid w:val="43960B5D"/>
    <w:rsid w:val="439A11E7"/>
    <w:rsid w:val="43F66126"/>
    <w:rsid w:val="442968F2"/>
    <w:rsid w:val="44487318"/>
    <w:rsid w:val="444924A1"/>
    <w:rsid w:val="44782866"/>
    <w:rsid w:val="447955F9"/>
    <w:rsid w:val="44B00A5A"/>
    <w:rsid w:val="44C06678"/>
    <w:rsid w:val="44FF6194"/>
    <w:rsid w:val="450418C0"/>
    <w:rsid w:val="45110FE0"/>
    <w:rsid w:val="45250B49"/>
    <w:rsid w:val="45512DA7"/>
    <w:rsid w:val="456F7FFD"/>
    <w:rsid w:val="45D67759"/>
    <w:rsid w:val="4610550C"/>
    <w:rsid w:val="46483E0C"/>
    <w:rsid w:val="4663684C"/>
    <w:rsid w:val="46BB6253"/>
    <w:rsid w:val="46D71134"/>
    <w:rsid w:val="471A2897"/>
    <w:rsid w:val="471F4653"/>
    <w:rsid w:val="472766BD"/>
    <w:rsid w:val="474A1D48"/>
    <w:rsid w:val="47702754"/>
    <w:rsid w:val="47A7379B"/>
    <w:rsid w:val="47CF61DA"/>
    <w:rsid w:val="47DF6EFF"/>
    <w:rsid w:val="47F652F5"/>
    <w:rsid w:val="48633106"/>
    <w:rsid w:val="490273E3"/>
    <w:rsid w:val="491E1554"/>
    <w:rsid w:val="491E4CC7"/>
    <w:rsid w:val="4921600A"/>
    <w:rsid w:val="49E22F3A"/>
    <w:rsid w:val="49F05049"/>
    <w:rsid w:val="4A3B7523"/>
    <w:rsid w:val="4A3F6274"/>
    <w:rsid w:val="4A840E00"/>
    <w:rsid w:val="4B5C14FD"/>
    <w:rsid w:val="4B812BF5"/>
    <w:rsid w:val="4BB52225"/>
    <w:rsid w:val="4BE0348E"/>
    <w:rsid w:val="4C110F92"/>
    <w:rsid w:val="4C154A20"/>
    <w:rsid w:val="4C1B1962"/>
    <w:rsid w:val="4C2E7575"/>
    <w:rsid w:val="4CB30FA7"/>
    <w:rsid w:val="4CF25DBF"/>
    <w:rsid w:val="4D115D6C"/>
    <w:rsid w:val="4D78175D"/>
    <w:rsid w:val="4D975EEA"/>
    <w:rsid w:val="4DA05BCF"/>
    <w:rsid w:val="4DDC71F3"/>
    <w:rsid w:val="4E030207"/>
    <w:rsid w:val="4E4A1998"/>
    <w:rsid w:val="4E687120"/>
    <w:rsid w:val="4EF10384"/>
    <w:rsid w:val="4EF476C3"/>
    <w:rsid w:val="4F400854"/>
    <w:rsid w:val="4F4B798A"/>
    <w:rsid w:val="4F582E0A"/>
    <w:rsid w:val="4F6F11CA"/>
    <w:rsid w:val="4FEA506B"/>
    <w:rsid w:val="501B236D"/>
    <w:rsid w:val="50561F06"/>
    <w:rsid w:val="50885C4D"/>
    <w:rsid w:val="50D41A0D"/>
    <w:rsid w:val="50E55D8A"/>
    <w:rsid w:val="512615F6"/>
    <w:rsid w:val="51B76FC4"/>
    <w:rsid w:val="525C38FB"/>
    <w:rsid w:val="52900C8A"/>
    <w:rsid w:val="52AC494A"/>
    <w:rsid w:val="52E50682"/>
    <w:rsid w:val="53445A05"/>
    <w:rsid w:val="53655287"/>
    <w:rsid w:val="53705983"/>
    <w:rsid w:val="53842AC4"/>
    <w:rsid w:val="538B0D4A"/>
    <w:rsid w:val="53C61A0F"/>
    <w:rsid w:val="541A511E"/>
    <w:rsid w:val="5423050C"/>
    <w:rsid w:val="546873EF"/>
    <w:rsid w:val="55851A0F"/>
    <w:rsid w:val="559664BB"/>
    <w:rsid w:val="55C45073"/>
    <w:rsid w:val="55E03FA3"/>
    <w:rsid w:val="563A24DE"/>
    <w:rsid w:val="564161A7"/>
    <w:rsid w:val="57412267"/>
    <w:rsid w:val="57437BFA"/>
    <w:rsid w:val="57755434"/>
    <w:rsid w:val="57A1120F"/>
    <w:rsid w:val="57C35746"/>
    <w:rsid w:val="57C62839"/>
    <w:rsid w:val="57CA6851"/>
    <w:rsid w:val="57CE2702"/>
    <w:rsid w:val="57F725BB"/>
    <w:rsid w:val="58452EFA"/>
    <w:rsid w:val="584B7E9A"/>
    <w:rsid w:val="5861184D"/>
    <w:rsid w:val="589D5B42"/>
    <w:rsid w:val="58A231F3"/>
    <w:rsid w:val="58DA2F16"/>
    <w:rsid w:val="590C390D"/>
    <w:rsid w:val="5934424A"/>
    <w:rsid w:val="595656C4"/>
    <w:rsid w:val="597E1D0E"/>
    <w:rsid w:val="59AD004E"/>
    <w:rsid w:val="59AD60DF"/>
    <w:rsid w:val="59D7019E"/>
    <w:rsid w:val="59E467ED"/>
    <w:rsid w:val="5A613A38"/>
    <w:rsid w:val="5A89438E"/>
    <w:rsid w:val="5AB21A03"/>
    <w:rsid w:val="5AB414EC"/>
    <w:rsid w:val="5AD7474E"/>
    <w:rsid w:val="5AE16122"/>
    <w:rsid w:val="5AF96780"/>
    <w:rsid w:val="5B2143FE"/>
    <w:rsid w:val="5B862712"/>
    <w:rsid w:val="5BA704BE"/>
    <w:rsid w:val="5BE70949"/>
    <w:rsid w:val="5C0E712B"/>
    <w:rsid w:val="5C5F3E60"/>
    <w:rsid w:val="5C672E16"/>
    <w:rsid w:val="5C7C3630"/>
    <w:rsid w:val="5CCD7999"/>
    <w:rsid w:val="5D0821A1"/>
    <w:rsid w:val="5D4F110E"/>
    <w:rsid w:val="5E09288D"/>
    <w:rsid w:val="5E297C06"/>
    <w:rsid w:val="5E993203"/>
    <w:rsid w:val="5EA14488"/>
    <w:rsid w:val="5EA91BE9"/>
    <w:rsid w:val="5EBB25B3"/>
    <w:rsid w:val="5F28169C"/>
    <w:rsid w:val="5F3F4289"/>
    <w:rsid w:val="5FDD3121"/>
    <w:rsid w:val="60263F9E"/>
    <w:rsid w:val="6030507B"/>
    <w:rsid w:val="608F4497"/>
    <w:rsid w:val="60901337"/>
    <w:rsid w:val="60A32745"/>
    <w:rsid w:val="60EC6360"/>
    <w:rsid w:val="61045A18"/>
    <w:rsid w:val="61096C1C"/>
    <w:rsid w:val="617D01C9"/>
    <w:rsid w:val="617E3F57"/>
    <w:rsid w:val="61B70809"/>
    <w:rsid w:val="61BC305A"/>
    <w:rsid w:val="61D30AA7"/>
    <w:rsid w:val="61EC0646"/>
    <w:rsid w:val="62144015"/>
    <w:rsid w:val="622D77D5"/>
    <w:rsid w:val="62376F51"/>
    <w:rsid w:val="62494DD0"/>
    <w:rsid w:val="62766BF2"/>
    <w:rsid w:val="62BC41FE"/>
    <w:rsid w:val="62EC4502"/>
    <w:rsid w:val="63052017"/>
    <w:rsid w:val="63102B71"/>
    <w:rsid w:val="63286384"/>
    <w:rsid w:val="634D399B"/>
    <w:rsid w:val="63941C8E"/>
    <w:rsid w:val="63CE714C"/>
    <w:rsid w:val="642617A6"/>
    <w:rsid w:val="64310D6B"/>
    <w:rsid w:val="64394377"/>
    <w:rsid w:val="64541550"/>
    <w:rsid w:val="645C3CB2"/>
    <w:rsid w:val="64B307FE"/>
    <w:rsid w:val="64BA39B7"/>
    <w:rsid w:val="64C230C3"/>
    <w:rsid w:val="64C54A9C"/>
    <w:rsid w:val="64F170A2"/>
    <w:rsid w:val="64F30CC9"/>
    <w:rsid w:val="6507049B"/>
    <w:rsid w:val="65764F98"/>
    <w:rsid w:val="65B83411"/>
    <w:rsid w:val="65C07B5D"/>
    <w:rsid w:val="65C8731B"/>
    <w:rsid w:val="661E3F1F"/>
    <w:rsid w:val="66214410"/>
    <w:rsid w:val="664970B5"/>
    <w:rsid w:val="669874F7"/>
    <w:rsid w:val="66C67E56"/>
    <w:rsid w:val="67313538"/>
    <w:rsid w:val="67CF2709"/>
    <w:rsid w:val="67E771E3"/>
    <w:rsid w:val="67FF619E"/>
    <w:rsid w:val="68222D73"/>
    <w:rsid w:val="68422D56"/>
    <w:rsid w:val="686D08DE"/>
    <w:rsid w:val="687147C2"/>
    <w:rsid w:val="68B24693"/>
    <w:rsid w:val="68B846CE"/>
    <w:rsid w:val="691B30DF"/>
    <w:rsid w:val="696E1393"/>
    <w:rsid w:val="69C85426"/>
    <w:rsid w:val="6A101B93"/>
    <w:rsid w:val="6A4E0C01"/>
    <w:rsid w:val="6A514B15"/>
    <w:rsid w:val="6ABF1B6E"/>
    <w:rsid w:val="6AC65E34"/>
    <w:rsid w:val="6AD25CD2"/>
    <w:rsid w:val="6AF02048"/>
    <w:rsid w:val="6B3E26E7"/>
    <w:rsid w:val="6B5B22FA"/>
    <w:rsid w:val="6B7316F8"/>
    <w:rsid w:val="6B733BA5"/>
    <w:rsid w:val="6BCF10FC"/>
    <w:rsid w:val="6C214902"/>
    <w:rsid w:val="6C3B2D42"/>
    <w:rsid w:val="6CD10AEC"/>
    <w:rsid w:val="6CD90A03"/>
    <w:rsid w:val="6D043E71"/>
    <w:rsid w:val="6D0441D5"/>
    <w:rsid w:val="6D14229A"/>
    <w:rsid w:val="6D1D3174"/>
    <w:rsid w:val="6D4B0F0F"/>
    <w:rsid w:val="6DB35E05"/>
    <w:rsid w:val="6DC97047"/>
    <w:rsid w:val="6DF01ABF"/>
    <w:rsid w:val="6DF86F0B"/>
    <w:rsid w:val="6E4814DE"/>
    <w:rsid w:val="6E771247"/>
    <w:rsid w:val="6E7E4997"/>
    <w:rsid w:val="6E82299D"/>
    <w:rsid w:val="6E993BA4"/>
    <w:rsid w:val="6EA50BAF"/>
    <w:rsid w:val="6F1245A0"/>
    <w:rsid w:val="6F20486E"/>
    <w:rsid w:val="6F4A48E1"/>
    <w:rsid w:val="6F5C11AE"/>
    <w:rsid w:val="6F9F2946"/>
    <w:rsid w:val="6FC77E56"/>
    <w:rsid w:val="6FF46452"/>
    <w:rsid w:val="70250001"/>
    <w:rsid w:val="702A1BC7"/>
    <w:rsid w:val="703C1210"/>
    <w:rsid w:val="70DE76F4"/>
    <w:rsid w:val="70DF3EF1"/>
    <w:rsid w:val="70ED544E"/>
    <w:rsid w:val="710B0AAF"/>
    <w:rsid w:val="71997DB6"/>
    <w:rsid w:val="71E954FF"/>
    <w:rsid w:val="71EF3332"/>
    <w:rsid w:val="72801E13"/>
    <w:rsid w:val="72AE1140"/>
    <w:rsid w:val="72AE603A"/>
    <w:rsid w:val="72BB1750"/>
    <w:rsid w:val="7312523F"/>
    <w:rsid w:val="732D13AB"/>
    <w:rsid w:val="7358261F"/>
    <w:rsid w:val="73877CB9"/>
    <w:rsid w:val="73FE40BB"/>
    <w:rsid w:val="740D77B7"/>
    <w:rsid w:val="74B121CC"/>
    <w:rsid w:val="74C21108"/>
    <w:rsid w:val="74D365DF"/>
    <w:rsid w:val="74ED4C2D"/>
    <w:rsid w:val="74EF10C3"/>
    <w:rsid w:val="75074CEF"/>
    <w:rsid w:val="75891DAE"/>
    <w:rsid w:val="75E47832"/>
    <w:rsid w:val="760D0ABE"/>
    <w:rsid w:val="7636658D"/>
    <w:rsid w:val="763E3615"/>
    <w:rsid w:val="7662392B"/>
    <w:rsid w:val="76B12CAB"/>
    <w:rsid w:val="76C041D1"/>
    <w:rsid w:val="76CE0EA4"/>
    <w:rsid w:val="771F2F3D"/>
    <w:rsid w:val="77457B1A"/>
    <w:rsid w:val="776F3F22"/>
    <w:rsid w:val="77A22875"/>
    <w:rsid w:val="77A46BA6"/>
    <w:rsid w:val="77B14B7E"/>
    <w:rsid w:val="77C438CD"/>
    <w:rsid w:val="77D14913"/>
    <w:rsid w:val="77D17A27"/>
    <w:rsid w:val="77DE53C5"/>
    <w:rsid w:val="78080410"/>
    <w:rsid w:val="78286594"/>
    <w:rsid w:val="78670D85"/>
    <w:rsid w:val="78912AC9"/>
    <w:rsid w:val="789E350C"/>
    <w:rsid w:val="78A65291"/>
    <w:rsid w:val="78C25AAA"/>
    <w:rsid w:val="78E34317"/>
    <w:rsid w:val="79550970"/>
    <w:rsid w:val="79C24160"/>
    <w:rsid w:val="79D9555E"/>
    <w:rsid w:val="79F64EAE"/>
    <w:rsid w:val="7A2E0DFB"/>
    <w:rsid w:val="7A41344A"/>
    <w:rsid w:val="7A852E06"/>
    <w:rsid w:val="7A8652DB"/>
    <w:rsid w:val="7A874A73"/>
    <w:rsid w:val="7AC95F73"/>
    <w:rsid w:val="7ACD2713"/>
    <w:rsid w:val="7AD046E6"/>
    <w:rsid w:val="7AD81A59"/>
    <w:rsid w:val="7AFD3261"/>
    <w:rsid w:val="7B2504A3"/>
    <w:rsid w:val="7B7705D8"/>
    <w:rsid w:val="7B8E788E"/>
    <w:rsid w:val="7BC37655"/>
    <w:rsid w:val="7BD21B42"/>
    <w:rsid w:val="7BF94730"/>
    <w:rsid w:val="7C145A0D"/>
    <w:rsid w:val="7C7F5E5A"/>
    <w:rsid w:val="7D290661"/>
    <w:rsid w:val="7D47685E"/>
    <w:rsid w:val="7D4B76F7"/>
    <w:rsid w:val="7D713467"/>
    <w:rsid w:val="7D7C67B9"/>
    <w:rsid w:val="7D7D10D9"/>
    <w:rsid w:val="7D8114B0"/>
    <w:rsid w:val="7DA8351E"/>
    <w:rsid w:val="7DBE6786"/>
    <w:rsid w:val="7E43556F"/>
    <w:rsid w:val="7E543876"/>
    <w:rsid w:val="7E7A2DA8"/>
    <w:rsid w:val="7E9B7097"/>
    <w:rsid w:val="7ECF4A90"/>
    <w:rsid w:val="7ED164E9"/>
    <w:rsid w:val="7EDC7BF4"/>
    <w:rsid w:val="7EDF42B9"/>
    <w:rsid w:val="7F071173"/>
    <w:rsid w:val="7F2720F5"/>
    <w:rsid w:val="7F2C36F3"/>
    <w:rsid w:val="7F365DDA"/>
    <w:rsid w:val="7F7D3F4E"/>
    <w:rsid w:val="7FA77C1C"/>
    <w:rsid w:val="7FC15767"/>
    <w:rsid w:val="7FE41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15"/>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7"/>
    <w:qFormat/>
    <w:uiPriority w:val="0"/>
    <w:rPr>
      <w:rFonts w:ascii="宋体" w:eastAsia="宋体"/>
      <w:sz w:val="18"/>
      <w:szCs w:val="18"/>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5">
    <w:name w:val="标题 2 Char"/>
    <w:link w:val="3"/>
    <w:qFormat/>
    <w:uiPriority w:val="0"/>
    <w:rPr>
      <w:rFonts w:ascii="Arial" w:hAnsi="Arial" w:eastAsia="黑体"/>
      <w:b/>
      <w:sz w:val="32"/>
    </w:rPr>
  </w:style>
  <w:style w:type="character" w:customStyle="1" w:styleId="16">
    <w:name w:val="批注框文本 Char"/>
    <w:basedOn w:val="11"/>
    <w:link w:val="5"/>
    <w:qFormat/>
    <w:uiPriority w:val="0"/>
    <w:rPr>
      <w:kern w:val="2"/>
      <w:sz w:val="18"/>
      <w:szCs w:val="18"/>
    </w:rPr>
  </w:style>
  <w:style w:type="character" w:customStyle="1" w:styleId="17">
    <w:name w:val="文档结构图 Char"/>
    <w:basedOn w:val="11"/>
    <w:link w:val="4"/>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6623</Words>
  <Characters>37753</Characters>
  <Lines>314</Lines>
  <Paragraphs>88</Paragraphs>
  <TotalTime>0</TotalTime>
  <ScaleCrop>false</ScaleCrop>
  <LinksUpToDate>false</LinksUpToDate>
  <CharactersWithSpaces>44288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2020-11-17T02:07:00Z</dcterms:created>
  <dc:creator>yiyoujihong</dc:creator>
  <cp:lastModifiedBy>林学群</cp:lastModifiedBy>
  <dcterms:modified xsi:type="dcterms:W3CDTF">2020-11-24T00:25:25Z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