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660" w:lineRule="exact"/>
        <w:rPr>
          <w:rFonts w:ascii="黑体" w:hAnsi="黑体" w:cs="黑体"/>
          <w:b w:val="0"/>
        </w:rPr>
      </w:pPr>
      <w:r>
        <w:rPr>
          <w:rFonts w:hint="eastAsia" w:ascii="黑体" w:hAnsi="黑体" w:cs="黑体"/>
          <w:b w:val="0"/>
        </w:rPr>
        <w:t>附件</w:t>
      </w:r>
    </w:p>
    <w:p>
      <w:pPr>
        <w:pStyle w:val="3"/>
        <w:spacing w:before="0" w:after="0" w:line="660" w:lineRule="exact"/>
        <w:jc w:val="center"/>
        <w:rPr>
          <w:rFonts w:ascii="方正小标宋简体" w:hAnsi="方正小标宋简体" w:eastAsia="方正小标宋简体" w:cs="方正小标宋简体"/>
          <w:b w:val="0"/>
          <w:sz w:val="44"/>
          <w:szCs w:val="44"/>
        </w:rPr>
      </w:pPr>
    </w:p>
    <w:p>
      <w:pPr>
        <w:pStyle w:val="3"/>
        <w:spacing w:before="0" w:after="0" w:line="660" w:lineRule="exact"/>
        <w:jc w:val="center"/>
        <w:rPr>
          <w:sz w:val="44"/>
          <w:szCs w:val="44"/>
        </w:rPr>
      </w:pPr>
      <w:r>
        <w:rPr>
          <w:rFonts w:hint="eastAsia" w:ascii="方正小标宋简体" w:hAnsi="方正小标宋简体" w:eastAsia="方正小标宋简体" w:cs="方正小标宋简体"/>
          <w:b w:val="0"/>
          <w:sz w:val="44"/>
          <w:szCs w:val="44"/>
        </w:rPr>
        <w:t>社会稳定风险评估报告</w:t>
      </w:r>
    </w:p>
    <w:p>
      <w:pPr>
        <w:pStyle w:val="3"/>
        <w:spacing w:before="0" w:after="0" w:line="660" w:lineRule="exact"/>
        <w:rPr>
          <w:rFonts w:ascii="黑体" w:hAnsi="黑体" w:cs="黑体"/>
          <w:b w:val="0"/>
          <w:bCs w:val="0"/>
        </w:rPr>
      </w:pPr>
    </w:p>
    <w:p>
      <w:pPr>
        <w:pStyle w:val="3"/>
        <w:spacing w:before="0" w:after="0" w:line="660" w:lineRule="exact"/>
        <w:rPr>
          <w:rFonts w:ascii="黑体" w:hAnsi="黑体" w:cs="黑体"/>
          <w:b w:val="0"/>
          <w:bCs w:val="0"/>
        </w:rPr>
      </w:pPr>
      <w:r>
        <w:rPr>
          <w:rFonts w:hint="eastAsia" w:ascii="黑体" w:hAnsi="黑体" w:cs="黑体"/>
          <w:b w:val="0"/>
          <w:bCs w:val="0"/>
        </w:rPr>
        <w:t>一、项目概况</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（一）项目名称：粤东液化天然气项目一期工程项目配套管线工程。</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（二）项目单位：中海油粤东液化天然气有限责任公司。</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（三）项目地点：全线覆盖汕头市潮南区、潮阳区、澄海区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潮州市潮安区、湘桥区、凤泉湖高新区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揭阳市空港经济区、惠来县和普宁市。</w:t>
      </w:r>
    </w:p>
    <w:p>
      <w:pPr>
        <w:spacing w:line="660" w:lineRule="exact"/>
        <w:ind w:firstLine="640" w:firstLineChars="200"/>
        <w:rPr>
          <w:rFonts w:ascii="仿宋_GB2312" w:hAnsi="仿宋_GB2312" w:eastAsia="仿宋_GB2312" w:cs="仿宋_GB2312"/>
          <w:kern w:val="0"/>
          <w:sz w:val="30"/>
          <w:szCs w:val="30"/>
        </w:rPr>
      </w:pPr>
      <w:r>
        <w:rPr>
          <w:rFonts w:hint="eastAsia" w:ascii="仿宋_GB2312" w:hAnsi="仿宋_GB2312" w:eastAsia="仿宋_GB2312" w:cs="仿宋_GB2312"/>
          <w:sz w:val="32"/>
          <w:szCs w:val="32"/>
        </w:rPr>
        <w:t>（四）项目概况：工程管线总长177km，</w:t>
      </w:r>
      <w:r>
        <w:rPr>
          <w:rFonts w:hint="eastAsia" w:ascii="仿宋_GB2312" w:hAnsi="仿宋_GB2312" w:eastAsia="仿宋_GB2312" w:cs="仿宋_GB2312"/>
          <w:kern w:val="0"/>
          <w:sz w:val="32"/>
          <w:szCs w:val="32"/>
        </w:rPr>
        <w:t>起于揭阳市惠来县前詹镇揭阳首站，止于汕头市澄海区莲华镇莲华末站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线路途经汕头市潮南区、潮阳区、澄海区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揭阳市惠来县、普宁市、空港经济区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潮州市潮安区、湘桥区、凤泉湖高新区9个县（区）市，</w:t>
      </w:r>
      <w:r>
        <w:rPr>
          <w:rFonts w:hint="eastAsia" w:ascii="仿宋_GB2312" w:hAnsi="仿宋_GB2312" w:eastAsia="仿宋_GB2312" w:cs="仿宋_GB2312"/>
          <w:sz w:val="32"/>
          <w:szCs w:val="32"/>
        </w:rPr>
        <w:t>包括一条干线和两条支线（粤东LNG输气干线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普宁支线和潮阳支线）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干线148km，管径为914mm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支线29km，管径为323mm，设计压力为9.2MPa。沿线设置1座首站、3座分输站、2座清管站、3座末站、5座RTU阀室。管线一期输量为28.7×10</w:t>
      </w:r>
      <w:r>
        <w:rPr>
          <w:rFonts w:hint="eastAsia" w:ascii="仿宋_GB2312" w:hAnsi="仿宋_GB2312" w:eastAsia="仿宋_GB2312" w:cs="仿宋_GB2312"/>
          <w:sz w:val="32"/>
          <w:szCs w:val="32"/>
          <w:vertAlign w:val="superscript"/>
        </w:rPr>
        <w:t>8</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/a。</w:t>
      </w:r>
    </w:p>
    <w:p>
      <w:pPr>
        <w:spacing w:line="660" w:lineRule="exact"/>
        <w:jc w:val="center"/>
        <w:rPr>
          <w:rFonts w:ascii="仿宋_GB2312" w:hAnsi="仿宋_GB2312" w:eastAsia="仿宋_GB2312" w:cs="仿宋_GB2312"/>
          <w:kern w:val="0"/>
          <w:sz w:val="30"/>
          <w:szCs w:val="30"/>
        </w:rPr>
      </w:pPr>
    </w:p>
    <w:p>
      <w:pPr>
        <w:spacing w:line="660" w:lineRule="exact"/>
        <w:jc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图线路走向</w:t>
      </w:r>
    </w:p>
    <w:p>
      <w:r>
        <w:rPr>
          <w:rFonts w:ascii="宋体" w:hAnsi="宋体"/>
          <w:sz w:val="24"/>
        </w:rPr>
        <w:drawing>
          <wp:inline distT="0" distB="0" distL="0" distR="0">
            <wp:extent cx="5572125" cy="4478020"/>
            <wp:effectExtent l="19050" t="0" r="9525" b="0"/>
            <wp:docPr id="3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7"/>
                    <pic:cNvPicPr>
                      <a:picLocks noChangeAspect="1" noChangeArrowheads="1"/>
                    </pic:cNvPicPr>
                  </pic:nvPicPr>
                  <pic:blipFill>
                    <a:blip r:embed="rId4"/>
                    <a:srcRect/>
                    <a:stretch>
                      <a:fillRect/>
                    </a:stretch>
                  </pic:blipFill>
                  <pic:spPr>
                    <a:xfrm>
                      <a:off x="0" y="0"/>
                      <a:ext cx="5576162" cy="4481863"/>
                    </a:xfrm>
                    <a:prstGeom prst="rect">
                      <a:avLst/>
                    </a:prstGeom>
                    <a:noFill/>
                    <a:ln w="9525">
                      <a:noFill/>
                      <a:miter lim="800000"/>
                      <a:headEnd/>
                      <a:tailEnd/>
                    </a:ln>
                  </pic:spPr>
                </pic:pic>
              </a:graphicData>
            </a:graphic>
          </wp:inline>
        </w:drawing>
      </w:r>
    </w:p>
    <w:p>
      <w:pPr>
        <w:pStyle w:val="2"/>
        <w:keepNext w:val="0"/>
        <w:spacing w:before="0" w:after="0" w:line="660" w:lineRule="exact"/>
        <w:ind w:firstLine="640" w:firstLineChars="200"/>
        <w:rPr>
          <w:rFonts w:ascii="黑体" w:hAnsi="黑体" w:eastAsia="黑体" w:cs="黑体"/>
          <w:b w:val="0"/>
          <w:bCs w:val="0"/>
          <w:sz w:val="32"/>
          <w:szCs w:val="32"/>
        </w:rPr>
      </w:pPr>
      <w:bookmarkStart w:id="0" w:name="_Toc47359786"/>
      <w:bookmarkStart w:id="1" w:name="_Toc481692738"/>
      <w:r>
        <w:rPr>
          <w:rFonts w:hint="eastAsia" w:ascii="黑体" w:hAnsi="黑体" w:eastAsia="黑体" w:cs="黑体"/>
          <w:b w:val="0"/>
          <w:bCs w:val="0"/>
          <w:sz w:val="32"/>
          <w:szCs w:val="32"/>
        </w:rPr>
        <w:t>二、评估</w:t>
      </w:r>
      <w:bookmarkEnd w:id="0"/>
      <w:bookmarkEnd w:id="1"/>
      <w:r>
        <w:rPr>
          <w:rFonts w:hint="eastAsia" w:ascii="黑体" w:hAnsi="黑体" w:eastAsia="黑体" w:cs="黑体"/>
          <w:b w:val="0"/>
          <w:bCs w:val="0"/>
          <w:sz w:val="32"/>
          <w:szCs w:val="32"/>
        </w:rPr>
        <w:t>过程</w:t>
      </w:r>
    </w:p>
    <w:p>
      <w:pPr>
        <w:pStyle w:val="11"/>
        <w:spacing w:line="6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按照《广东省发展改革局关于印发重大项目社会稳定风险评估暂行办法的通知》的要求，汕头市人民政府为粤东液化天然气项目一期工程项目配套管线工程（汕头段）社会稳定风险评估的主体</w:t>
      </w:r>
      <w:r>
        <w:rPr>
          <w:rFonts w:hint="eastAsia" w:ascii="仿宋_GB2312" w:hAnsi="仿宋_GB2312" w:eastAsia="仿宋_GB2312" w:cs="仿宋_GB2312"/>
          <w:color w:val="auto"/>
          <w:sz w:val="32"/>
          <w:szCs w:val="32"/>
          <w:lang w:eastAsia="zh-CN"/>
        </w:rPr>
        <w:t>。</w:t>
      </w:r>
      <w:bookmarkStart w:id="4" w:name="_GoBack"/>
      <w:bookmarkEnd w:id="4"/>
      <w:r>
        <w:rPr>
          <w:rFonts w:hint="eastAsia" w:ascii="仿宋_GB2312" w:hAnsi="仿宋_GB2312" w:eastAsia="仿宋_GB2312" w:cs="仿宋_GB2312"/>
          <w:color w:val="auto"/>
          <w:sz w:val="32"/>
          <w:szCs w:val="32"/>
        </w:rPr>
        <w:t>汕头市发展改革局按照规定职责开展对工程汕头段的社会稳定风险评估工作，组织了项目沿线区政府及市自然资源局、生态环境局、住房城乡建设局、交通运输局、水务局、农业农村局、应急管理局、信访局、政法委等部门和各区相关部门的代表参加评估会，对中海油粤东液化天然气有限责任公司编制《粤东液化天然气项目一期工程项目配套管线工程社会稳定风险分析报告》（以下简称《分析报告》）进行评估，在充分讨论和研究的基础上，分析判断并确定项目风险等级，形成社会稳定风险评估报告。</w:t>
      </w:r>
    </w:p>
    <w:p>
      <w:pPr>
        <w:pStyle w:val="2"/>
        <w:keepNext w:val="0"/>
        <w:spacing w:before="0" w:after="0" w:line="660" w:lineRule="exact"/>
        <w:ind w:firstLine="640" w:firstLineChars="200"/>
        <w:rPr>
          <w:rFonts w:ascii="黑体" w:hAnsi="黑体" w:eastAsia="黑体" w:cs="黑体"/>
          <w:b w:val="0"/>
          <w:bCs w:val="0"/>
          <w:sz w:val="32"/>
          <w:szCs w:val="32"/>
        </w:rPr>
      </w:pPr>
      <w:bookmarkStart w:id="2" w:name="_Toc481692745"/>
      <w:bookmarkStart w:id="3" w:name="_Toc47359797"/>
      <w:r>
        <w:rPr>
          <w:rFonts w:hint="eastAsia" w:ascii="黑体" w:hAnsi="黑体" w:eastAsia="黑体" w:cs="黑体"/>
          <w:b w:val="0"/>
          <w:bCs w:val="0"/>
          <w:sz w:val="32"/>
          <w:szCs w:val="32"/>
        </w:rPr>
        <w:t>三、评估结论</w:t>
      </w:r>
      <w:bookmarkEnd w:id="2"/>
      <w:bookmarkEnd w:id="3"/>
    </w:p>
    <w:p>
      <w:pPr>
        <w:spacing w:line="6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风险识别分析，该项目主要的社会稳定风险因素为土地房屋征收征用补偿标准风险，土地房屋征收补偿程序和方案风险，水体污染物排放风险，火灾、洪涝灾害风险等。项目在落实了相应的社会稳定风险防范和化解措施后，等级预期可降低为0.194，即低风险。故经评估后认为，《分析报告》采用的风险等级评判方法基本合理，选择的评判标准基本恰当，在落实各项风险防范和化解措施后，风险等级评判为低风险是合理的。</w:t>
      </w:r>
    </w:p>
    <w:p>
      <w:pPr>
        <w:spacing w:line="360" w:lineRule="auto"/>
        <w:ind w:firstLine="640" w:firstLineChars="200"/>
        <w:rPr>
          <w:rFonts w:ascii="楷体" w:hAnsi="楷体" w:eastAsia="楷体" w:cs="楷体"/>
          <w:sz w:val="32"/>
          <w:szCs w:val="32"/>
        </w:rPr>
      </w:pPr>
    </w:p>
    <w:p>
      <w:pPr>
        <w:pStyle w:val="11"/>
        <w:spacing w:line="360" w:lineRule="auto"/>
        <w:ind w:firstLine="480" w:firstLineChars="200"/>
        <w:rPr>
          <w:color w:va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5E6C"/>
    <w:rsid w:val="00033BA7"/>
    <w:rsid w:val="00075D2A"/>
    <w:rsid w:val="00077205"/>
    <w:rsid w:val="0008009A"/>
    <w:rsid w:val="00095E6C"/>
    <w:rsid w:val="000B47A8"/>
    <w:rsid w:val="000B7082"/>
    <w:rsid w:val="000C4D10"/>
    <w:rsid w:val="000D720A"/>
    <w:rsid w:val="00150CF1"/>
    <w:rsid w:val="00176AF3"/>
    <w:rsid w:val="00180A99"/>
    <w:rsid w:val="001B3F85"/>
    <w:rsid w:val="001D2528"/>
    <w:rsid w:val="001E1FAE"/>
    <w:rsid w:val="001E492A"/>
    <w:rsid w:val="001F3D20"/>
    <w:rsid w:val="00202ABC"/>
    <w:rsid w:val="00233514"/>
    <w:rsid w:val="00236DEB"/>
    <w:rsid w:val="0023703A"/>
    <w:rsid w:val="00281182"/>
    <w:rsid w:val="00285338"/>
    <w:rsid w:val="00297A88"/>
    <w:rsid w:val="002C110C"/>
    <w:rsid w:val="002C3DC7"/>
    <w:rsid w:val="002C5BC5"/>
    <w:rsid w:val="002D3838"/>
    <w:rsid w:val="002E742E"/>
    <w:rsid w:val="002F06D9"/>
    <w:rsid w:val="002F6067"/>
    <w:rsid w:val="00303C6F"/>
    <w:rsid w:val="003124DB"/>
    <w:rsid w:val="003125AA"/>
    <w:rsid w:val="003227DD"/>
    <w:rsid w:val="00330AEE"/>
    <w:rsid w:val="00333FAC"/>
    <w:rsid w:val="00340C49"/>
    <w:rsid w:val="003411D5"/>
    <w:rsid w:val="00360C93"/>
    <w:rsid w:val="00367CC8"/>
    <w:rsid w:val="00370F6B"/>
    <w:rsid w:val="003868F9"/>
    <w:rsid w:val="003873CD"/>
    <w:rsid w:val="003D7B62"/>
    <w:rsid w:val="003F3C53"/>
    <w:rsid w:val="00466531"/>
    <w:rsid w:val="004D0E0A"/>
    <w:rsid w:val="004D469E"/>
    <w:rsid w:val="004F33DA"/>
    <w:rsid w:val="00507618"/>
    <w:rsid w:val="005076D9"/>
    <w:rsid w:val="00560B82"/>
    <w:rsid w:val="0057369B"/>
    <w:rsid w:val="0058565F"/>
    <w:rsid w:val="005B2E69"/>
    <w:rsid w:val="005C473F"/>
    <w:rsid w:val="005D125D"/>
    <w:rsid w:val="005F2ED8"/>
    <w:rsid w:val="0064791B"/>
    <w:rsid w:val="006A012D"/>
    <w:rsid w:val="006A029D"/>
    <w:rsid w:val="006C0EE3"/>
    <w:rsid w:val="0070011F"/>
    <w:rsid w:val="00701AF3"/>
    <w:rsid w:val="00731B36"/>
    <w:rsid w:val="00740A0D"/>
    <w:rsid w:val="00743769"/>
    <w:rsid w:val="00744097"/>
    <w:rsid w:val="007534E4"/>
    <w:rsid w:val="00761DF0"/>
    <w:rsid w:val="00781A92"/>
    <w:rsid w:val="00796875"/>
    <w:rsid w:val="007B7891"/>
    <w:rsid w:val="007D6155"/>
    <w:rsid w:val="007F6C4D"/>
    <w:rsid w:val="007F6CAD"/>
    <w:rsid w:val="008205C5"/>
    <w:rsid w:val="008501D7"/>
    <w:rsid w:val="00851737"/>
    <w:rsid w:val="00860C4A"/>
    <w:rsid w:val="0086631B"/>
    <w:rsid w:val="00866687"/>
    <w:rsid w:val="00883388"/>
    <w:rsid w:val="008E3C2D"/>
    <w:rsid w:val="008F747B"/>
    <w:rsid w:val="00912936"/>
    <w:rsid w:val="009169B6"/>
    <w:rsid w:val="00931A7D"/>
    <w:rsid w:val="00980440"/>
    <w:rsid w:val="00992901"/>
    <w:rsid w:val="009C27B6"/>
    <w:rsid w:val="009D0800"/>
    <w:rsid w:val="009D7738"/>
    <w:rsid w:val="009F17AE"/>
    <w:rsid w:val="00A742A5"/>
    <w:rsid w:val="00AA63F3"/>
    <w:rsid w:val="00AB78CD"/>
    <w:rsid w:val="00B37FC6"/>
    <w:rsid w:val="00B6654C"/>
    <w:rsid w:val="00B71420"/>
    <w:rsid w:val="00B9699C"/>
    <w:rsid w:val="00C05466"/>
    <w:rsid w:val="00C70ABF"/>
    <w:rsid w:val="00C8667C"/>
    <w:rsid w:val="00CC6553"/>
    <w:rsid w:val="00CC67BC"/>
    <w:rsid w:val="00CF499A"/>
    <w:rsid w:val="00D0658D"/>
    <w:rsid w:val="00D513BE"/>
    <w:rsid w:val="00D627E8"/>
    <w:rsid w:val="00D77473"/>
    <w:rsid w:val="00D96B98"/>
    <w:rsid w:val="00DC1F8F"/>
    <w:rsid w:val="00DE762C"/>
    <w:rsid w:val="00DF7B1A"/>
    <w:rsid w:val="00E03F63"/>
    <w:rsid w:val="00EC084B"/>
    <w:rsid w:val="00ED30A9"/>
    <w:rsid w:val="00F10ABE"/>
    <w:rsid w:val="00F22517"/>
    <w:rsid w:val="00F82434"/>
    <w:rsid w:val="00F82C1B"/>
    <w:rsid w:val="00F932F2"/>
    <w:rsid w:val="00FB0785"/>
    <w:rsid w:val="00FB7E44"/>
    <w:rsid w:val="00FC0D62"/>
    <w:rsid w:val="00FC310B"/>
    <w:rsid w:val="00FC41D4"/>
    <w:rsid w:val="00FD4001"/>
    <w:rsid w:val="00FE56E2"/>
    <w:rsid w:val="00FF1900"/>
    <w:rsid w:val="27CD075F"/>
    <w:rsid w:val="3B2F6FB5"/>
    <w:rsid w:val="461E29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7"/>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8"/>
    <w:unhideWhenUsed/>
    <w:uiPriority w:val="99"/>
    <w:rPr>
      <w:sz w:val="18"/>
      <w:szCs w:val="18"/>
    </w:rPr>
  </w:style>
  <w:style w:type="character" w:customStyle="1" w:styleId="7">
    <w:name w:val="标题 2 Char"/>
    <w:basedOn w:val="5"/>
    <w:link w:val="3"/>
    <w:uiPriority w:val="0"/>
    <w:rPr>
      <w:rFonts w:ascii="Arial" w:hAnsi="Arial" w:eastAsia="黑体" w:cs="Times New Roman"/>
      <w:b/>
      <w:bCs/>
      <w:sz w:val="32"/>
      <w:szCs w:val="32"/>
    </w:rPr>
  </w:style>
  <w:style w:type="character" w:customStyle="1" w:styleId="8">
    <w:name w:val="批注框文本 Char"/>
    <w:basedOn w:val="5"/>
    <w:link w:val="4"/>
    <w:semiHidden/>
    <w:qFormat/>
    <w:uiPriority w:val="99"/>
    <w:rPr>
      <w:rFonts w:ascii="Times New Roman" w:hAnsi="Times New Roman" w:eastAsia="宋体" w:cs="Times New Roman"/>
      <w:sz w:val="18"/>
      <w:szCs w:val="18"/>
    </w:rPr>
  </w:style>
  <w:style w:type="character" w:customStyle="1" w:styleId="9">
    <w:name w:val="标题 1 Char"/>
    <w:basedOn w:val="5"/>
    <w:link w:val="2"/>
    <w:uiPriority w:val="9"/>
    <w:rPr>
      <w:rFonts w:ascii="Times New Roman" w:hAnsi="Times New Roman" w:eastAsia="宋体" w:cs="Times New Roman"/>
      <w:b/>
      <w:bCs/>
      <w:kern w:val="44"/>
      <w:sz w:val="44"/>
      <w:szCs w:val="44"/>
    </w:rPr>
  </w:style>
  <w:style w:type="character" w:customStyle="1" w:styleId="10">
    <w:name w:val="Default Char Char"/>
    <w:link w:val="11"/>
    <w:qFormat/>
    <w:uiPriority w:val="0"/>
    <w:rPr>
      <w:rFonts w:ascii="宋体"/>
      <w:color w:val="000000"/>
      <w:sz w:val="24"/>
      <w:szCs w:val="24"/>
    </w:rPr>
  </w:style>
  <w:style w:type="paragraph" w:customStyle="1" w:styleId="11">
    <w:name w:val="Default"/>
    <w:link w:val="10"/>
    <w:qFormat/>
    <w:uiPriority w:val="0"/>
    <w:pPr>
      <w:widowControl w:val="0"/>
      <w:autoSpaceDE w:val="0"/>
      <w:autoSpaceDN w:val="0"/>
      <w:adjustRightInd w:val="0"/>
    </w:pPr>
    <w:rPr>
      <w:rFonts w:ascii="宋体" w:hAnsiTheme="minorHAnsi" w:eastAsiaTheme="minorEastAsia" w:cstheme="minorBidi"/>
      <w:color w:val="000000"/>
      <w:kern w:val="2"/>
      <w:sz w:val="24"/>
      <w:szCs w:val="24"/>
      <w:lang w:val="en-US" w:eastAsia="zh-CN" w:bidi="ar-SA"/>
    </w:rPr>
  </w:style>
  <w:style w:type="character" w:customStyle="1" w:styleId="12">
    <w:name w:val="表格基本 Char"/>
    <w:link w:val="13"/>
    <w:qFormat/>
    <w:uiPriority w:val="0"/>
    <w:rPr>
      <w:rFonts w:ascii="宋体" w:cs="宋体"/>
    </w:rPr>
  </w:style>
  <w:style w:type="paragraph" w:customStyle="1" w:styleId="13">
    <w:name w:val="表格基本"/>
    <w:basedOn w:val="1"/>
    <w:link w:val="12"/>
    <w:qFormat/>
    <w:uiPriority w:val="0"/>
    <w:pPr>
      <w:wordWrap w:val="0"/>
    </w:pPr>
    <w:rPr>
      <w:rFonts w:ascii="宋体" w:cs="宋体" w:hAnsiTheme="minorHAnsi" w:eastAsiaTheme="minorEastAsia"/>
      <w:szCs w:val="22"/>
    </w:rPr>
  </w:style>
  <w:style w:type="character" w:customStyle="1" w:styleId="14">
    <w:name w:val="标题2W Char Char"/>
    <w:link w:val="15"/>
    <w:qFormat/>
    <w:uiPriority w:val="0"/>
    <w:rPr>
      <w:rFonts w:cs="宋体"/>
      <w:b/>
      <w:bCs/>
      <w:kern w:val="44"/>
      <w:sz w:val="32"/>
      <w:szCs w:val="28"/>
    </w:rPr>
  </w:style>
  <w:style w:type="paragraph" w:customStyle="1" w:styleId="15">
    <w:name w:val="标题2W"/>
    <w:link w:val="14"/>
    <w:qFormat/>
    <w:uiPriority w:val="0"/>
    <w:pPr>
      <w:spacing w:beforeLines="50" w:afterLines="50" w:line="360" w:lineRule="auto"/>
      <w:outlineLvl w:val="1"/>
    </w:pPr>
    <w:rPr>
      <w:rFonts w:cs="宋体" w:asciiTheme="minorHAnsi" w:hAnsiTheme="minorHAnsi" w:eastAsiaTheme="minorEastAsia"/>
      <w:b/>
      <w:bCs/>
      <w:kern w:val="44"/>
      <w:sz w:val="32"/>
      <w:szCs w:val="2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137</Words>
  <Characters>784</Characters>
  <Lines>6</Lines>
  <Paragraphs>1</Paragraphs>
  <ScaleCrop>false</ScaleCrop>
  <LinksUpToDate>false</LinksUpToDate>
  <CharactersWithSpaces>920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2020-10-28T02:22:00Z</dcterms:created>
  <dc:creator>郑晓楠</dc:creator>
  <cp:lastModifiedBy>蔡健平</cp:lastModifiedBy>
  <dcterms:modified xsi:type="dcterms:W3CDTF">2020-11-03T02:07:53Z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