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方正仿宋_GBK"/>
          <w:b/>
          <w:bCs/>
          <w:sz w:val="40"/>
          <w:szCs w:val="40"/>
        </w:rPr>
      </w:pPr>
      <w:r>
        <w:rPr>
          <w:rFonts w:hint="eastAsia" w:ascii="黑体" w:hAnsi="黑体" w:eastAsia="黑体" w:cs="CESI仿宋-GB2312"/>
          <w:sz w:val="32"/>
          <w:szCs w:val="32"/>
        </w:rPr>
        <w:t>附件</w:t>
      </w:r>
    </w:p>
    <w:p>
      <w:pPr>
        <w:pStyle w:val="6"/>
      </w:pPr>
      <w:r>
        <w:t xml:space="preserve"> 关于住宅用地规划管理的若干指导意见</w:t>
      </w:r>
    </w:p>
    <w:p>
      <w:pPr>
        <w:kinsoku w:val="0"/>
        <w:overflowPunct w:val="0"/>
        <w:autoSpaceDE w:val="0"/>
        <w:autoSpaceDN w:val="0"/>
        <w:adjustRightInd w:val="0"/>
        <w:snapToGrid w:val="0"/>
        <w:spacing w:line="520" w:lineRule="exact"/>
        <w:ind w:firstLine="642" w:firstLineChars="200"/>
        <w:rPr>
          <w:rFonts w:eastAsia="仿宋"/>
          <w:b/>
          <w:bCs/>
          <w:sz w:val="32"/>
          <w:szCs w:val="32"/>
        </w:rPr>
      </w:pP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为深入贯彻落实党中央、国务院关于建设安全、舒适、绿色、智慧“好房子”的决策部署，适应人民群众对高品质生活的新需求，践行“以人民为中心”的发展思想，结合汕头市居民对居住条件提升要求，对于住宅用地在容积率计算口径、设施配套等规划技术要求做出了指导意见，具体如下：</w:t>
      </w:r>
    </w:p>
    <w:p>
      <w:pPr>
        <w:topLinePunct/>
        <w:autoSpaceDE w:val="0"/>
        <w:adjustRightInd w:val="0"/>
        <w:snapToGrid w:val="0"/>
        <w:spacing w:line="560" w:lineRule="exact"/>
        <w:ind w:firstLine="640" w:firstLineChars="200"/>
        <w:rPr>
          <w:rFonts w:hint="eastAsia" w:eastAsia="仿宋"/>
          <w:sz w:val="32"/>
        </w:rPr>
      </w:pPr>
      <w:r>
        <w:rPr>
          <w:rFonts w:hint="eastAsia" w:ascii="黑体" w:hAnsi="黑体" w:eastAsia="黑体"/>
          <w:sz w:val="32"/>
        </w:rPr>
        <w:t>一、阳台：</w:t>
      </w:r>
      <w:r>
        <w:rPr>
          <w:rFonts w:hint="eastAsia" w:eastAsia="仿宋"/>
          <w:sz w:val="32"/>
        </w:rPr>
        <w:t>沿城市主次干道一侧、临公园绿地或者广场界面等城市重要景观区和景观通廊的的住宅建筑，阳台应当采用封闭设计，按水平投影面积的一半计算容积率。上述情形之外的住宅建筑，每套住宅允许一个阳台采用封闭设计，该阳台进深不大于2.4米，且水平投影面积不超过住宅套内（含全部阳台水平投影面积）建筑面积15%的，按水平投影面积的二分之一计入容积率；进深或建筑面积比例超出上述规定的部分，按水平投影面积计入容积率。</w:t>
      </w:r>
    </w:p>
    <w:p>
      <w:pPr>
        <w:topLinePunct/>
        <w:autoSpaceDE w:val="0"/>
        <w:adjustRightInd w:val="0"/>
        <w:snapToGrid w:val="0"/>
        <w:spacing w:line="560" w:lineRule="exact"/>
        <w:ind w:firstLine="640" w:firstLineChars="200"/>
        <w:rPr>
          <w:rFonts w:hint="eastAsia" w:eastAsia="仿宋"/>
          <w:sz w:val="32"/>
        </w:rPr>
      </w:pPr>
      <w:r>
        <w:rPr>
          <w:rFonts w:hint="eastAsia" w:ascii="黑体" w:hAnsi="黑体" w:eastAsia="黑体"/>
          <w:sz w:val="32"/>
        </w:rPr>
        <w:t>二、配套设施用房：</w:t>
      </w:r>
      <w:r>
        <w:rPr>
          <w:rFonts w:hint="eastAsia" w:eastAsia="仿宋"/>
          <w:sz w:val="32"/>
        </w:rPr>
        <w:t>建筑首层的配套设备用房（消防控制室、发电机房、变压器室、高低压配电房、水泵房、开关房或开闭所等），以及建成后产权移交政府或产权归全体业主共有的养老、托育、社区用房，产权归全体业主共有的物业服务用房、非经营性休憩文体活动用房的建筑面积，不计入容积率。</w:t>
      </w:r>
    </w:p>
    <w:p>
      <w:pPr>
        <w:topLinePunct/>
        <w:autoSpaceDE w:val="0"/>
        <w:adjustRightInd w:val="0"/>
        <w:snapToGrid w:val="0"/>
        <w:spacing w:line="560" w:lineRule="exact"/>
        <w:ind w:firstLine="640" w:firstLineChars="200"/>
        <w:rPr>
          <w:rFonts w:hint="eastAsia" w:eastAsia="仿宋"/>
          <w:sz w:val="32"/>
        </w:rPr>
      </w:pPr>
      <w:r>
        <w:rPr>
          <w:rFonts w:hint="eastAsia" w:ascii="黑体" w:hAnsi="黑体" w:eastAsia="黑体"/>
          <w:sz w:val="32"/>
        </w:rPr>
        <w:t>三、室外建构筑物：</w:t>
      </w:r>
      <w:r>
        <w:rPr>
          <w:rFonts w:hint="eastAsia" w:eastAsia="仿宋"/>
          <w:sz w:val="32"/>
        </w:rPr>
        <w:t>突出室外地坪且不高于首层建筑高度的通风井、采光井、排烟井、地下室疏散楼梯、地下室出入口雨棚及架空连廊等设施的建筑面积，不计入容积率及建筑密度。</w:t>
      </w:r>
    </w:p>
    <w:p>
      <w:pPr>
        <w:topLinePunct/>
        <w:autoSpaceDE w:val="0"/>
        <w:adjustRightInd w:val="0"/>
        <w:snapToGrid w:val="0"/>
        <w:spacing w:line="560" w:lineRule="exact"/>
        <w:ind w:firstLine="640" w:firstLineChars="200"/>
        <w:rPr>
          <w:rFonts w:hint="eastAsia" w:eastAsia="仿宋"/>
          <w:sz w:val="32"/>
        </w:rPr>
      </w:pPr>
      <w:r>
        <w:rPr>
          <w:rFonts w:hint="eastAsia" w:ascii="黑体" w:hAnsi="黑体" w:eastAsia="黑体"/>
          <w:sz w:val="32"/>
        </w:rPr>
        <w:t>四、天面设备间：</w:t>
      </w:r>
      <w:r>
        <w:rPr>
          <w:rFonts w:hint="eastAsia" w:eastAsia="仿宋"/>
          <w:sz w:val="32"/>
        </w:rPr>
        <w:t>建筑物屋顶的公共楼梯间、电梯机房、风机房、水箱间、人防报警间、通信基站机房及设备设施房等辅助用房的建筑面积不计入容积率，但其合计建筑面积不得超过屋顶水平投影面积的25%，超出25%的，超出部分按其建筑面积计算容积率。</w:t>
      </w:r>
    </w:p>
    <w:p>
      <w:pPr>
        <w:topLinePunct/>
        <w:autoSpaceDE w:val="0"/>
        <w:adjustRightInd w:val="0"/>
        <w:snapToGrid w:val="0"/>
        <w:spacing w:line="560" w:lineRule="exact"/>
        <w:ind w:firstLine="640" w:firstLineChars="200"/>
        <w:rPr>
          <w:rFonts w:hint="eastAsia" w:eastAsia="仿宋"/>
          <w:sz w:val="32"/>
        </w:rPr>
      </w:pPr>
      <w:r>
        <w:rPr>
          <w:rFonts w:hint="eastAsia" w:ascii="黑体" w:hAnsi="黑体" w:eastAsia="黑体"/>
          <w:sz w:val="32"/>
        </w:rPr>
        <w:t>五、飘窗：</w:t>
      </w:r>
      <w:r>
        <w:rPr>
          <w:rFonts w:hint="eastAsia" w:eastAsia="仿宋"/>
          <w:sz w:val="32"/>
        </w:rPr>
        <w:t>飘窗符合以下条件的，面积不计入容积率：挑出建筑主体的净高度应当小于2.1米，挑出建筑主体的窗台板总宽度不得大于0.8米，且窗台底面距本层楼板的高度应当不小于0.45米，上下二层凸窗之间的楼层板不得超出建筑主体外墙。</w:t>
      </w:r>
    </w:p>
    <w:p>
      <w:pPr>
        <w:topLinePunct/>
        <w:autoSpaceDE w:val="0"/>
        <w:adjustRightInd w:val="0"/>
        <w:snapToGrid w:val="0"/>
        <w:spacing w:line="560" w:lineRule="exact"/>
        <w:ind w:firstLine="640" w:firstLineChars="200"/>
        <w:rPr>
          <w:rFonts w:hint="eastAsia" w:eastAsia="仿宋"/>
          <w:sz w:val="32"/>
        </w:rPr>
      </w:pPr>
      <w:r>
        <w:rPr>
          <w:rFonts w:hint="eastAsia" w:ascii="黑体" w:hAnsi="黑体" w:eastAsia="黑体"/>
          <w:sz w:val="32"/>
        </w:rPr>
        <w:t>六、地下空间利用：</w:t>
      </w:r>
      <w:r>
        <w:rPr>
          <w:rFonts w:hint="eastAsia" w:eastAsia="仿宋"/>
          <w:sz w:val="32"/>
        </w:rPr>
        <w:t>建设项目可以利用地下空间配建人防、停车、配电、配水、通信、环卫、产权归全体业主共有的非经营性休憩文体活动等配套设施。</w:t>
      </w:r>
    </w:p>
    <w:p>
      <w:pPr>
        <w:topLinePunct/>
        <w:autoSpaceDE w:val="0"/>
        <w:adjustRightInd w:val="0"/>
        <w:snapToGrid w:val="0"/>
        <w:spacing w:line="560" w:lineRule="exact"/>
        <w:ind w:firstLine="640" w:firstLineChars="200"/>
        <w:rPr>
          <w:rFonts w:hint="eastAsia" w:eastAsia="仿宋"/>
          <w:sz w:val="32"/>
        </w:rPr>
      </w:pPr>
      <w:r>
        <w:rPr>
          <w:rFonts w:hint="eastAsia" w:ascii="黑体" w:hAnsi="黑体" w:eastAsia="黑体"/>
          <w:sz w:val="32"/>
        </w:rPr>
        <w:t>七、抬板式住宅：</w:t>
      </w:r>
      <w:r>
        <w:rPr>
          <w:rFonts w:hint="eastAsia" w:eastAsia="仿宋"/>
          <w:sz w:val="32"/>
        </w:rPr>
        <w:t>住宅项目可试点建设抬板式住宅小区，抬板平台范围以内，以消防车登高操作场地的水平面作为基准面，计算抬板平台以上建筑的建筑基底面积、建筑层数及建筑高度。抬板范围内的建筑适用前文一至六点规定，抬板范围内住宅建筑首层视同项目建筑首层。抬板式住宅小区建设要求如下：</w:t>
      </w:r>
    </w:p>
    <w:p>
      <w:pPr>
        <w:topLinePunct/>
        <w:autoSpaceDE w:val="0"/>
        <w:adjustRightInd w:val="0"/>
        <w:snapToGrid w:val="0"/>
        <w:spacing w:line="560" w:lineRule="exact"/>
        <w:ind w:firstLine="640" w:firstLineChars="200"/>
        <w:rPr>
          <w:rFonts w:hint="eastAsia" w:ascii="楷体" w:hAnsi="楷体" w:eastAsia="楷体"/>
          <w:sz w:val="32"/>
        </w:rPr>
      </w:pPr>
      <w:r>
        <w:rPr>
          <w:rFonts w:hint="eastAsia" w:ascii="楷体" w:hAnsi="楷体" w:eastAsia="楷体"/>
          <w:sz w:val="32"/>
        </w:rPr>
        <w:t>（一）定义</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抬板式住宅小区，是指新建住宅项目利用地面首层（抬板平台下方）空间，设置停车、配套设施、商业及公共开放空间等，住宅位于抬板平台之上的住宅小区。</w:t>
      </w:r>
    </w:p>
    <w:p>
      <w:pPr>
        <w:topLinePunct/>
        <w:autoSpaceDE w:val="0"/>
        <w:adjustRightInd w:val="0"/>
        <w:snapToGrid w:val="0"/>
        <w:spacing w:line="560" w:lineRule="exact"/>
        <w:ind w:firstLine="640" w:firstLineChars="200"/>
        <w:rPr>
          <w:rFonts w:hint="eastAsia" w:ascii="楷体" w:hAnsi="楷体" w:eastAsia="楷体"/>
          <w:sz w:val="32"/>
        </w:rPr>
      </w:pPr>
      <w:r>
        <w:rPr>
          <w:rFonts w:hint="eastAsia" w:ascii="楷体" w:hAnsi="楷体" w:eastAsia="楷体"/>
          <w:sz w:val="32"/>
        </w:rPr>
        <w:t>（二）技术标准要求</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1.抬板平台限高</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抬板平台（底层架空首层顶板）层高不大于6.5米。</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2.容积率</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抬板平台以下空间用作停车（机动车和非机动车）、楼（电）梯及梯间，配套设备用房（消防控制室、发电机房、变压器室、高低压配电房、水泵房等），以及建成后产权移交政府或产权归全体业主共有的养老、托育、社区用房，产权归全体业主共有的物业服务用房、非经营性休憩文体活动用房的建筑面积，不计入容积率，但需计入项目总建筑面积。</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3.建筑密度</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建筑密度为抬板平台范围内、抬板平台范围外建筑基底面积之和与用地面积的比值。抬板平台范围以内，以计算基准面作为室外地面，计算建筑基底面积。</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 xml:space="preserve">5.绿地率 </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 xml:space="preserve">绿地率为抬板平台范围内、抬板平台范围外绿地面积之和与项目用地面积的比值。抬板平台范围以内覆土深度不小于1.2米的绿地，面积计入绿地率。 </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6.消防救援</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 xml:space="preserve">消防设施应当符合消防相关法规规范，抬板平台需配套设置消防车登高操作场地、消防车道、消防坡道、消防出入口、室外消火栓等救援设施，确保消防力量快速抵达救援现场。 </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通向抬板平台上的消防坡道，可以利用建筑物退让道路空间设置，但退让道路红线距离不小于4m。应满足消防车、应急救援车等应急车辆的通行要求，坡道数量、坡道转弯半径、宽度等应符合相关规范、车辆通行要求。</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7.建筑退让</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抬板平台退让道路红线、用地红线的最小控制距离，按现行城乡规划管理技术规定的计算建筑高度小于等于30米住宅建筑的退让标准执行。</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住宅建筑退让道路红线、用地红线的最小控制距离，按现行城乡规划管理技术规定，其计算建筑高度按相邻道路或场地标高起算。</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 xml:space="preserve">8.建筑间距 </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抬板平台按现行城乡规划管理技术规定的小于等于30米住宅建筑的要求执行。</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 xml:space="preserve">抬板平台范围以内建筑之间的间距，以计算基准面确定建筑高度后，按现行城乡规划管理技术规定执行。 </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抬板平台范围以内建筑与范围以外建筑之间的间距，以平台范围以外的室外地坪为基准计算建筑高度后，按现行城乡规划管理技术规定执行。</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抬板平台范围以外的建筑间距控制，按现行城乡规划管理技术规定执行。</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 xml:space="preserve">9.停车库 </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项目停车库（包括抬板平台下方停车库）应当符合相关规范要求。抬板平台除了消防、医疗救援、应急保障等特殊车辆外，不得设置机动车和非机动车停车位。</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 xml:space="preserve">10.服务设施及市政设施布置 </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 xml:space="preserve">利用抬板平台以下空间设置各类服务设施用房，应布置在交通便利、环境优美、采光通风条件良好的区域，同时满足相关技术规范要求。 </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 xml:space="preserve">住宅小区消防控制室、开闭所、配电房、备用发电机用房等设施用房设置应满足相关规范要求。 </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11.人防设施</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人防地下室设计、建设应当符合有关要求。</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12.无障碍设施</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住宅小区、抬板平台、各类有关建筑应当按照相关规范要求无障碍设施。</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13.安全防护设施</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抬板平台边缘临空处应按照相关规范要求设置安全防护设施。</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14.城市界面空间管控</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抬板平台沿城市界面应鼓励设置公共开放空间或进行绿化景观打造，不得设置连续实体墙体。鼓励配套设置便民商业服务设施，打造通透整洁、美观连续的城市公共界面。抬板平台临近现状住宅建筑的，须采取有效降噪、遮光、视线隔离等措施，降低对周边居民正常生活的干扰。</w:t>
      </w:r>
    </w:p>
    <w:p>
      <w:pPr>
        <w:topLinePunct/>
        <w:autoSpaceDE w:val="0"/>
        <w:adjustRightInd w:val="0"/>
        <w:snapToGrid w:val="0"/>
        <w:spacing w:line="560" w:lineRule="exact"/>
        <w:ind w:firstLine="640" w:firstLineChars="200"/>
        <w:rPr>
          <w:rFonts w:hint="eastAsia" w:eastAsia="仿宋"/>
          <w:sz w:val="32"/>
        </w:rPr>
      </w:pPr>
      <w:r>
        <w:rPr>
          <w:rFonts w:hint="eastAsia" w:ascii="黑体" w:hAnsi="黑体" w:eastAsia="黑体"/>
          <w:sz w:val="32"/>
        </w:rPr>
        <w:t>八、停车：</w:t>
      </w:r>
      <w:r>
        <w:rPr>
          <w:rFonts w:hint="eastAsia" w:eastAsia="仿宋"/>
          <w:sz w:val="32"/>
        </w:rPr>
        <w:t>对住宅停车配建采取两种方式（详见表一），可由开发单位根据实际情况选取其中一种方式进行配建。</w:t>
      </w:r>
    </w:p>
    <w:p>
      <w:pPr>
        <w:topLinePunct/>
        <w:autoSpaceDE w:val="0"/>
        <w:adjustRightInd w:val="0"/>
        <w:snapToGrid w:val="0"/>
        <w:spacing w:line="560" w:lineRule="exact"/>
        <w:ind w:firstLine="640" w:firstLineChars="200"/>
        <w:rPr>
          <w:rFonts w:hint="eastAsia" w:ascii="黑体" w:hAnsi="黑体" w:eastAsia="黑体"/>
          <w:sz w:val="32"/>
        </w:rPr>
      </w:pPr>
      <w:r>
        <w:rPr>
          <w:rFonts w:hint="eastAsia" w:ascii="黑体" w:hAnsi="黑体" w:eastAsia="黑体"/>
          <w:sz w:val="32"/>
        </w:rPr>
        <w:t>九、适用范围：</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1.文件印发实施前未达开工违约且未核发建设工程规划许可证的住宅项目可适用规定中第</w:t>
      </w:r>
      <w:r>
        <w:rPr>
          <w:rFonts w:hint="eastAsia" w:eastAsia="仿宋"/>
          <w:sz w:val="32"/>
          <w:lang w:eastAsia="zh-CN"/>
        </w:rPr>
        <w:t>一</w:t>
      </w:r>
      <w:r>
        <w:rPr>
          <w:rFonts w:hint="eastAsia" w:eastAsia="仿宋"/>
          <w:sz w:val="32"/>
        </w:rPr>
        <w:t>、第</w:t>
      </w:r>
      <w:r>
        <w:rPr>
          <w:rFonts w:hint="eastAsia" w:eastAsia="仿宋"/>
          <w:sz w:val="32"/>
          <w:lang w:eastAsia="zh-CN"/>
        </w:rPr>
        <w:t>五</w:t>
      </w:r>
      <w:r>
        <w:rPr>
          <w:rFonts w:hint="eastAsia" w:eastAsia="仿宋"/>
          <w:sz w:val="32"/>
        </w:rPr>
        <w:t>、第</w:t>
      </w:r>
      <w:r>
        <w:rPr>
          <w:rFonts w:hint="eastAsia" w:eastAsia="仿宋"/>
          <w:sz w:val="32"/>
          <w:lang w:eastAsia="zh-CN"/>
        </w:rPr>
        <w:t>六</w:t>
      </w:r>
      <w:r>
        <w:rPr>
          <w:rFonts w:hint="eastAsia" w:eastAsia="仿宋"/>
          <w:sz w:val="32"/>
        </w:rPr>
        <w:t>、第</w:t>
      </w:r>
      <w:r>
        <w:rPr>
          <w:rFonts w:hint="eastAsia" w:eastAsia="仿宋"/>
          <w:sz w:val="32"/>
          <w:lang w:eastAsia="zh-CN"/>
        </w:rPr>
        <w:t>七</w:t>
      </w:r>
      <w:r>
        <w:rPr>
          <w:rFonts w:hint="eastAsia" w:eastAsia="仿宋"/>
          <w:sz w:val="32"/>
        </w:rPr>
        <w:t>条款；</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2.按照住宅容积率≤3.1出让且还未核发建设工程规划许可证的住宅用地项目适用规定全部条款。</w:t>
      </w:r>
    </w:p>
    <w:p>
      <w:pPr>
        <w:topLinePunct/>
        <w:autoSpaceDE w:val="0"/>
        <w:adjustRightInd w:val="0"/>
        <w:snapToGrid w:val="0"/>
        <w:spacing w:line="560" w:lineRule="exact"/>
        <w:ind w:firstLine="640" w:firstLineChars="200"/>
        <w:rPr>
          <w:rFonts w:hint="eastAsia" w:eastAsia="仿宋"/>
          <w:sz w:val="32"/>
        </w:rPr>
      </w:pPr>
      <w:r>
        <w:rPr>
          <w:rFonts w:hint="eastAsia" w:eastAsia="仿宋"/>
          <w:sz w:val="32"/>
        </w:rPr>
        <w:t>十、本措施自印发之日起实施，有效期为二年。</w:t>
      </w:r>
    </w:p>
    <w:p>
      <w:pPr>
        <w:topLinePunct/>
        <w:autoSpaceDE w:val="0"/>
        <w:adjustRightInd w:val="0"/>
        <w:snapToGrid w:val="0"/>
        <w:spacing w:line="560" w:lineRule="exact"/>
        <w:ind w:firstLine="640" w:firstLineChars="200"/>
        <w:rPr>
          <w:rFonts w:hint="eastAsia" w:eastAsia="仿宋"/>
          <w:sz w:val="32"/>
        </w:rPr>
      </w:pPr>
    </w:p>
    <w:p>
      <w:pPr>
        <w:topLinePunct/>
        <w:autoSpaceDE w:val="0"/>
        <w:adjustRightInd w:val="0"/>
        <w:snapToGrid w:val="0"/>
        <w:spacing w:line="560" w:lineRule="exact"/>
        <w:ind w:firstLine="640" w:firstLineChars="200"/>
        <w:rPr>
          <w:rFonts w:hint="eastAsia" w:eastAsia="仿宋"/>
          <w:sz w:val="32"/>
        </w:rPr>
      </w:pPr>
    </w:p>
    <w:p>
      <w:pPr>
        <w:topLinePunct/>
        <w:autoSpaceDE w:val="0"/>
        <w:adjustRightInd w:val="0"/>
        <w:snapToGrid w:val="0"/>
        <w:spacing w:line="560" w:lineRule="exact"/>
        <w:ind w:firstLine="640" w:firstLineChars="2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bookmarkStart w:id="0" w:name="_GoBack"/>
      <w:bookmarkEnd w:id="0"/>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ind w:firstLine="5120" w:firstLineChars="1600"/>
        <w:rPr>
          <w:rFonts w:hint="eastAsia" w:eastAsia="仿宋"/>
          <w:sz w:val="32"/>
        </w:rPr>
      </w:pPr>
    </w:p>
    <w:p>
      <w:pPr>
        <w:topLinePunct/>
        <w:autoSpaceDE w:val="0"/>
        <w:adjustRightInd w:val="0"/>
        <w:snapToGrid w:val="0"/>
        <w:spacing w:line="560" w:lineRule="exact"/>
        <w:rPr>
          <w:rFonts w:eastAsia="仿宋"/>
          <w:sz w:val="32"/>
        </w:rPr>
        <w:sectPr>
          <w:headerReference r:id="rId5" w:type="first"/>
          <w:headerReference r:id="rId3" w:type="default"/>
          <w:footerReference r:id="rId6" w:type="default"/>
          <w:headerReference r:id="rId4" w:type="even"/>
          <w:footerReference r:id="rId7" w:type="even"/>
          <w:pgSz w:w="11906" w:h="16838"/>
          <w:pgMar w:top="2098" w:right="1418" w:bottom="1418" w:left="1588" w:header="851" w:footer="1247" w:gutter="0"/>
          <w:cols w:space="720" w:num="1"/>
          <w:titlePg/>
          <w:docGrid w:type="lines" w:linePitch="312" w:charSpace="0"/>
        </w:sectPr>
      </w:pPr>
    </w:p>
    <w:p>
      <w:pPr>
        <w:rPr>
          <w:rFonts w:hint="eastAsia" w:ascii="华文仿宋" w:hAnsi="华文仿宋" w:eastAsia="华文仿宋" w:cs="华文仿宋"/>
          <w:color w:val="000000"/>
          <w:sz w:val="28"/>
          <w:szCs w:val="28"/>
          <w:lang w:val="en"/>
        </w:rPr>
      </w:pPr>
      <w:r>
        <w:rPr>
          <w:rFonts w:hint="eastAsia" w:ascii="华文仿宋" w:hAnsi="华文仿宋" w:eastAsia="华文仿宋" w:cs="华文仿宋"/>
          <w:sz w:val="28"/>
          <w:szCs w:val="28"/>
          <w:lang w:val="en"/>
        </w:rPr>
        <w:t>表</w:t>
      </w:r>
      <w:r>
        <w:rPr>
          <w:rFonts w:hint="eastAsia" w:ascii="华文仿宋" w:hAnsi="华文仿宋" w:eastAsia="华文仿宋" w:cs="华文仿宋"/>
          <w:sz w:val="28"/>
          <w:szCs w:val="28"/>
        </w:rPr>
        <w:t>一</w:t>
      </w:r>
      <w:r>
        <w:rPr>
          <w:rFonts w:hint="eastAsia" w:ascii="华文仿宋" w:hAnsi="华文仿宋" w:eastAsia="华文仿宋" w:cs="华文仿宋"/>
          <w:sz w:val="28"/>
          <w:szCs w:val="28"/>
          <w:lang w:val="en"/>
        </w:rPr>
        <w:t>：汕头经济特区停车配建标准折算</w:t>
      </w:r>
    </w:p>
    <w:tbl>
      <w:tblPr>
        <w:tblStyle w:val="7"/>
        <w:tblW w:w="92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795"/>
        <w:gridCol w:w="1590"/>
        <w:gridCol w:w="3577"/>
        <w:gridCol w:w="795"/>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9294" w:type="dxa"/>
            <w:gridSpan w:val="6"/>
            <w:noWrap/>
            <w:vAlign w:val="center"/>
          </w:tcPr>
          <w:p>
            <w:pPr>
              <w:widowControl/>
              <w:adjustRightInd w:val="0"/>
              <w:snapToGrid w:val="0"/>
              <w:spacing w:line="300" w:lineRule="exact"/>
              <w:jc w:val="center"/>
              <w:textAlignment w:val="center"/>
              <w:rPr>
                <w:rFonts w:hint="eastAsia" w:ascii="华文仿宋" w:hAnsi="华文仿宋" w:eastAsia="华文仿宋" w:cs="华文仿宋"/>
                <w:b/>
                <w:bCs/>
                <w:color w:val="000000"/>
                <w:sz w:val="28"/>
                <w:szCs w:val="28"/>
              </w:rPr>
            </w:pPr>
            <w:r>
              <w:rPr>
                <w:rFonts w:hint="eastAsia" w:ascii="华文仿宋" w:hAnsi="华文仿宋" w:eastAsia="华文仿宋" w:cs="华文仿宋"/>
                <w:color w:val="000000"/>
                <w:kern w:val="0"/>
                <w:sz w:val="28"/>
                <w:szCs w:val="28"/>
                <w:lang w:bidi="ar"/>
              </w:rPr>
              <w:t>汕头经济特区停车配建标准折算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4" w:hRule="atLeast"/>
          <w:jc w:val="center"/>
        </w:trPr>
        <w:tc>
          <w:tcPr>
            <w:tcW w:w="1559" w:type="dxa"/>
            <w:gridSpan w:val="2"/>
            <w:noWrap w:val="0"/>
            <w:vAlign w:val="center"/>
          </w:tcPr>
          <w:p>
            <w:pPr>
              <w:widowControl/>
              <w:adjustRightInd w:val="0"/>
              <w:snapToGrid w:val="0"/>
              <w:spacing w:line="300" w:lineRule="exact"/>
              <w:jc w:val="center"/>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建筑分类</w:t>
            </w:r>
          </w:p>
        </w:tc>
        <w:tc>
          <w:tcPr>
            <w:tcW w:w="1590" w:type="dxa"/>
            <w:noWrap w:val="0"/>
            <w:vAlign w:val="center"/>
          </w:tcPr>
          <w:p>
            <w:pPr>
              <w:widowControl/>
              <w:adjustRightInd w:val="0"/>
              <w:snapToGrid w:val="0"/>
              <w:spacing w:line="300" w:lineRule="exact"/>
              <w:jc w:val="center"/>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配建标准</w:t>
            </w:r>
            <w:r>
              <w:rPr>
                <w:rFonts w:hint="eastAsia" w:ascii="华文仿宋" w:hAnsi="华文仿宋" w:eastAsia="华文仿宋" w:cs="华文仿宋"/>
                <w:color w:val="000000"/>
                <w:kern w:val="0"/>
                <w:sz w:val="28"/>
                <w:szCs w:val="28"/>
                <w:lang w:bidi="ar"/>
              </w:rPr>
              <w:br w:type="textWrapping"/>
            </w:r>
            <w:r>
              <w:rPr>
                <w:rFonts w:hint="eastAsia" w:ascii="华文仿宋" w:hAnsi="华文仿宋" w:eastAsia="华文仿宋" w:cs="华文仿宋"/>
                <w:color w:val="000000"/>
                <w:kern w:val="0"/>
                <w:sz w:val="28"/>
                <w:szCs w:val="28"/>
                <w:lang w:bidi="ar"/>
              </w:rPr>
              <w:t>（停车面积/地面以上计容建筑面积）</w:t>
            </w:r>
          </w:p>
        </w:tc>
        <w:tc>
          <w:tcPr>
            <w:tcW w:w="4372" w:type="dxa"/>
            <w:gridSpan w:val="2"/>
            <w:noWrap w:val="0"/>
            <w:vAlign w:val="center"/>
          </w:tcPr>
          <w:p>
            <w:pPr>
              <w:widowControl/>
              <w:adjustRightInd w:val="0"/>
              <w:snapToGrid w:val="0"/>
              <w:spacing w:line="300" w:lineRule="exact"/>
              <w:jc w:val="center"/>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配建标准折算二</w:t>
            </w:r>
            <w:r>
              <w:rPr>
                <w:rFonts w:hint="eastAsia" w:ascii="华文仿宋" w:hAnsi="华文仿宋" w:eastAsia="华文仿宋" w:cs="华文仿宋"/>
                <w:color w:val="000000"/>
                <w:kern w:val="0"/>
                <w:sz w:val="28"/>
                <w:szCs w:val="28"/>
                <w:lang w:bidi="ar"/>
              </w:rPr>
              <w:br w:type="textWrapping"/>
            </w:r>
            <w:r>
              <w:rPr>
                <w:rFonts w:hint="eastAsia" w:ascii="华文仿宋" w:hAnsi="华文仿宋" w:eastAsia="华文仿宋" w:cs="华文仿宋"/>
                <w:color w:val="000000"/>
                <w:kern w:val="0"/>
                <w:sz w:val="28"/>
                <w:szCs w:val="28"/>
                <w:lang w:bidi="ar"/>
              </w:rPr>
              <w:t>（泊位/户）</w:t>
            </w:r>
          </w:p>
        </w:tc>
        <w:tc>
          <w:tcPr>
            <w:tcW w:w="1773" w:type="dxa"/>
            <w:noWrap w:val="0"/>
            <w:vAlign w:val="center"/>
          </w:tcPr>
          <w:p>
            <w:pPr>
              <w:widowControl/>
              <w:adjustRightInd w:val="0"/>
              <w:snapToGrid w:val="0"/>
              <w:spacing w:line="300" w:lineRule="exact"/>
              <w:jc w:val="left"/>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自行车（含电动自行车）位（泊位/户）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764" w:type="dxa"/>
            <w:vMerge w:val="restart"/>
            <w:noWrap w:val="0"/>
            <w:vAlign w:val="center"/>
          </w:tcPr>
          <w:p>
            <w:pPr>
              <w:widowControl/>
              <w:adjustRightInd w:val="0"/>
              <w:snapToGrid w:val="0"/>
              <w:spacing w:line="300" w:lineRule="exact"/>
              <w:jc w:val="center"/>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住宅</w:t>
            </w:r>
          </w:p>
        </w:tc>
        <w:tc>
          <w:tcPr>
            <w:tcW w:w="795" w:type="dxa"/>
            <w:vMerge w:val="restart"/>
            <w:noWrap w:val="0"/>
            <w:vAlign w:val="center"/>
          </w:tcPr>
          <w:p>
            <w:pPr>
              <w:widowControl/>
              <w:adjustRightInd w:val="0"/>
              <w:snapToGrid w:val="0"/>
              <w:spacing w:line="300" w:lineRule="exact"/>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一般住房</w:t>
            </w:r>
          </w:p>
        </w:tc>
        <w:tc>
          <w:tcPr>
            <w:tcW w:w="1590" w:type="dxa"/>
            <w:vMerge w:val="restart"/>
            <w:noWrap w:val="0"/>
            <w:vAlign w:val="center"/>
          </w:tcPr>
          <w:p>
            <w:pPr>
              <w:widowControl/>
              <w:adjustRightInd w:val="0"/>
              <w:snapToGrid w:val="0"/>
              <w:spacing w:line="300" w:lineRule="exact"/>
              <w:jc w:val="center"/>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w:t>
            </w:r>
            <w:r>
              <w:rPr>
                <w:rStyle w:val="15"/>
                <w:rFonts w:hint="default" w:ascii="华文仿宋" w:hAnsi="华文仿宋" w:eastAsia="华文仿宋" w:cs="华文仿宋"/>
                <w:lang w:bidi="ar"/>
              </w:rPr>
              <w:t>30%</w:t>
            </w:r>
          </w:p>
        </w:tc>
        <w:tc>
          <w:tcPr>
            <w:tcW w:w="3577" w:type="dxa"/>
            <w:noWrap w:val="0"/>
            <w:vAlign w:val="center"/>
          </w:tcPr>
          <w:p>
            <w:pPr>
              <w:widowControl/>
              <w:adjustRightInd w:val="0"/>
              <w:snapToGrid w:val="0"/>
              <w:spacing w:line="300" w:lineRule="exact"/>
              <w:jc w:val="center"/>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户建筑面积&gt;180 ㎡</w:t>
            </w:r>
          </w:p>
        </w:tc>
        <w:tc>
          <w:tcPr>
            <w:tcW w:w="795" w:type="dxa"/>
            <w:noWrap w:val="0"/>
            <w:vAlign w:val="center"/>
          </w:tcPr>
          <w:p>
            <w:pPr>
              <w:widowControl/>
              <w:adjustRightInd w:val="0"/>
              <w:snapToGrid w:val="0"/>
              <w:spacing w:line="300" w:lineRule="exact"/>
              <w:jc w:val="center"/>
              <w:textAlignment w:val="center"/>
              <w:rPr>
                <w:rFonts w:ascii="华文仿宋" w:hAnsi="华文仿宋" w:eastAsia="华文仿宋" w:cs="华文仿宋"/>
                <w:color w:val="000000"/>
                <w:sz w:val="28"/>
                <w:szCs w:val="28"/>
                <w:lang w:val="en"/>
              </w:rPr>
            </w:pPr>
            <w:r>
              <w:rPr>
                <w:rFonts w:hint="eastAsia" w:ascii="华文仿宋" w:hAnsi="华文仿宋" w:eastAsia="华文仿宋" w:cs="华文仿宋"/>
                <w:color w:val="000000"/>
                <w:kern w:val="0"/>
                <w:sz w:val="28"/>
                <w:szCs w:val="28"/>
                <w:lang w:bidi="ar"/>
              </w:rPr>
              <w:t>1.4</w:t>
            </w:r>
          </w:p>
        </w:tc>
        <w:tc>
          <w:tcPr>
            <w:tcW w:w="1773" w:type="dxa"/>
            <w:noWrap w:val="0"/>
            <w:vAlign w:val="center"/>
          </w:tcPr>
          <w:p>
            <w:pPr>
              <w:widowControl/>
              <w:adjustRightInd w:val="0"/>
              <w:snapToGrid w:val="0"/>
              <w:spacing w:line="300" w:lineRule="exact"/>
              <w:jc w:val="center"/>
              <w:rPr>
                <w:rFonts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764" w:type="dxa"/>
            <w:vMerge w:val="continue"/>
            <w:noWrap w:val="0"/>
            <w:vAlign w:val="center"/>
          </w:tcPr>
          <w:p>
            <w:pPr>
              <w:adjustRightInd w:val="0"/>
              <w:snapToGrid w:val="0"/>
              <w:spacing w:line="300" w:lineRule="exact"/>
              <w:jc w:val="center"/>
              <w:rPr>
                <w:rFonts w:hint="eastAsia" w:ascii="华文仿宋" w:hAnsi="华文仿宋" w:eastAsia="华文仿宋" w:cs="华文仿宋"/>
                <w:color w:val="000000"/>
                <w:sz w:val="28"/>
                <w:szCs w:val="28"/>
              </w:rPr>
            </w:pPr>
          </w:p>
        </w:tc>
        <w:tc>
          <w:tcPr>
            <w:tcW w:w="795" w:type="dxa"/>
            <w:vMerge w:val="continue"/>
            <w:noWrap w:val="0"/>
            <w:vAlign w:val="center"/>
          </w:tcPr>
          <w:p>
            <w:pPr>
              <w:adjustRightInd w:val="0"/>
              <w:snapToGrid w:val="0"/>
              <w:spacing w:line="300" w:lineRule="exact"/>
              <w:jc w:val="center"/>
              <w:rPr>
                <w:rFonts w:hint="eastAsia" w:ascii="华文仿宋" w:hAnsi="华文仿宋" w:eastAsia="华文仿宋" w:cs="华文仿宋"/>
                <w:color w:val="000000"/>
                <w:sz w:val="28"/>
                <w:szCs w:val="28"/>
              </w:rPr>
            </w:pPr>
          </w:p>
        </w:tc>
        <w:tc>
          <w:tcPr>
            <w:tcW w:w="1590" w:type="dxa"/>
            <w:vMerge w:val="continue"/>
            <w:noWrap w:val="0"/>
            <w:vAlign w:val="center"/>
          </w:tcPr>
          <w:p>
            <w:pPr>
              <w:adjustRightInd w:val="0"/>
              <w:snapToGrid w:val="0"/>
              <w:spacing w:line="300" w:lineRule="exact"/>
              <w:jc w:val="center"/>
              <w:rPr>
                <w:rFonts w:hint="eastAsia" w:ascii="华文仿宋" w:hAnsi="华文仿宋" w:eastAsia="华文仿宋" w:cs="华文仿宋"/>
                <w:color w:val="000000"/>
                <w:sz w:val="28"/>
                <w:szCs w:val="28"/>
              </w:rPr>
            </w:pPr>
          </w:p>
        </w:tc>
        <w:tc>
          <w:tcPr>
            <w:tcW w:w="3577" w:type="dxa"/>
            <w:noWrap w:val="0"/>
            <w:vAlign w:val="center"/>
          </w:tcPr>
          <w:p>
            <w:pPr>
              <w:widowControl/>
              <w:adjustRightInd w:val="0"/>
              <w:snapToGrid w:val="0"/>
              <w:spacing w:line="300" w:lineRule="exact"/>
              <w:jc w:val="center"/>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180 ㎡≥户建筑面积&gt;14</w:t>
            </w:r>
            <w:r>
              <w:rPr>
                <w:rFonts w:ascii="华文仿宋" w:hAnsi="华文仿宋" w:eastAsia="华文仿宋" w:cs="华文仿宋"/>
                <w:color w:val="000000"/>
                <w:kern w:val="0"/>
                <w:sz w:val="28"/>
                <w:szCs w:val="28"/>
                <w:lang w:val="en" w:bidi="ar"/>
              </w:rPr>
              <w:t>0</w:t>
            </w:r>
            <w:r>
              <w:rPr>
                <w:rFonts w:hint="eastAsia" w:ascii="华文仿宋" w:hAnsi="华文仿宋" w:eastAsia="华文仿宋" w:cs="华文仿宋"/>
                <w:color w:val="000000"/>
                <w:kern w:val="0"/>
                <w:sz w:val="28"/>
                <w:szCs w:val="28"/>
                <w:lang w:bidi="ar"/>
              </w:rPr>
              <w:t xml:space="preserve"> ㎡</w:t>
            </w:r>
          </w:p>
        </w:tc>
        <w:tc>
          <w:tcPr>
            <w:tcW w:w="795" w:type="dxa"/>
            <w:noWrap w:val="0"/>
            <w:vAlign w:val="center"/>
          </w:tcPr>
          <w:p>
            <w:pPr>
              <w:widowControl/>
              <w:adjustRightInd w:val="0"/>
              <w:snapToGrid w:val="0"/>
              <w:spacing w:line="300" w:lineRule="exact"/>
              <w:jc w:val="center"/>
              <w:textAlignment w:val="center"/>
              <w:rPr>
                <w:rFonts w:ascii="华文仿宋" w:hAnsi="华文仿宋" w:eastAsia="华文仿宋" w:cs="华文仿宋"/>
                <w:color w:val="000000"/>
                <w:sz w:val="28"/>
                <w:szCs w:val="28"/>
                <w:lang w:val="en"/>
              </w:rPr>
            </w:pPr>
            <w:r>
              <w:rPr>
                <w:rFonts w:hint="eastAsia" w:ascii="华文仿宋" w:hAnsi="华文仿宋" w:eastAsia="华文仿宋" w:cs="华文仿宋"/>
                <w:color w:val="000000"/>
                <w:kern w:val="0"/>
                <w:sz w:val="28"/>
                <w:szCs w:val="28"/>
                <w:lang w:bidi="ar"/>
              </w:rPr>
              <w:t>1.2</w:t>
            </w:r>
          </w:p>
        </w:tc>
        <w:tc>
          <w:tcPr>
            <w:tcW w:w="1773" w:type="dxa"/>
            <w:noWrap w:val="0"/>
            <w:vAlign w:val="center"/>
          </w:tcPr>
          <w:p>
            <w:pPr>
              <w:widowControl/>
              <w:adjustRightInd w:val="0"/>
              <w:snapToGrid w:val="0"/>
              <w:spacing w:line="300" w:lineRule="exact"/>
              <w:jc w:val="center"/>
              <w:rPr>
                <w:rFonts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764" w:type="dxa"/>
            <w:vMerge w:val="continue"/>
            <w:noWrap w:val="0"/>
            <w:vAlign w:val="center"/>
          </w:tcPr>
          <w:p>
            <w:pPr>
              <w:adjustRightInd w:val="0"/>
              <w:snapToGrid w:val="0"/>
              <w:spacing w:line="300" w:lineRule="exact"/>
              <w:jc w:val="center"/>
              <w:rPr>
                <w:rFonts w:hint="eastAsia" w:ascii="华文仿宋" w:hAnsi="华文仿宋" w:eastAsia="华文仿宋" w:cs="华文仿宋"/>
                <w:color w:val="000000"/>
                <w:sz w:val="28"/>
                <w:szCs w:val="28"/>
              </w:rPr>
            </w:pPr>
          </w:p>
        </w:tc>
        <w:tc>
          <w:tcPr>
            <w:tcW w:w="795" w:type="dxa"/>
            <w:vMerge w:val="continue"/>
            <w:noWrap w:val="0"/>
            <w:vAlign w:val="center"/>
          </w:tcPr>
          <w:p>
            <w:pPr>
              <w:adjustRightInd w:val="0"/>
              <w:snapToGrid w:val="0"/>
              <w:spacing w:line="300" w:lineRule="exact"/>
              <w:jc w:val="center"/>
              <w:rPr>
                <w:rFonts w:hint="eastAsia" w:ascii="华文仿宋" w:hAnsi="华文仿宋" w:eastAsia="华文仿宋" w:cs="华文仿宋"/>
                <w:color w:val="000000"/>
                <w:sz w:val="28"/>
                <w:szCs w:val="28"/>
              </w:rPr>
            </w:pPr>
          </w:p>
        </w:tc>
        <w:tc>
          <w:tcPr>
            <w:tcW w:w="1590" w:type="dxa"/>
            <w:vMerge w:val="continue"/>
            <w:noWrap w:val="0"/>
            <w:vAlign w:val="center"/>
          </w:tcPr>
          <w:p>
            <w:pPr>
              <w:adjustRightInd w:val="0"/>
              <w:snapToGrid w:val="0"/>
              <w:spacing w:line="300" w:lineRule="exact"/>
              <w:jc w:val="center"/>
              <w:rPr>
                <w:rFonts w:hint="eastAsia" w:ascii="华文仿宋" w:hAnsi="华文仿宋" w:eastAsia="华文仿宋" w:cs="华文仿宋"/>
                <w:color w:val="000000"/>
                <w:sz w:val="28"/>
                <w:szCs w:val="28"/>
              </w:rPr>
            </w:pPr>
          </w:p>
        </w:tc>
        <w:tc>
          <w:tcPr>
            <w:tcW w:w="3577" w:type="dxa"/>
            <w:noWrap w:val="0"/>
            <w:vAlign w:val="center"/>
          </w:tcPr>
          <w:p>
            <w:pPr>
              <w:widowControl/>
              <w:adjustRightInd w:val="0"/>
              <w:snapToGrid w:val="0"/>
              <w:spacing w:line="300" w:lineRule="exact"/>
              <w:jc w:val="center"/>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14</w:t>
            </w:r>
            <w:r>
              <w:rPr>
                <w:rFonts w:ascii="华文仿宋" w:hAnsi="华文仿宋" w:eastAsia="华文仿宋" w:cs="华文仿宋"/>
                <w:color w:val="000000"/>
                <w:kern w:val="0"/>
                <w:sz w:val="28"/>
                <w:szCs w:val="28"/>
                <w:lang w:val="en" w:bidi="ar"/>
              </w:rPr>
              <w:t>0</w:t>
            </w:r>
            <w:r>
              <w:rPr>
                <w:rFonts w:hint="eastAsia" w:ascii="华文仿宋" w:hAnsi="华文仿宋" w:eastAsia="华文仿宋" w:cs="华文仿宋"/>
                <w:color w:val="000000"/>
                <w:kern w:val="0"/>
                <w:sz w:val="28"/>
                <w:szCs w:val="28"/>
                <w:lang w:bidi="ar"/>
              </w:rPr>
              <w:t>㎡≥户建筑面积&gt;120 ㎡</w:t>
            </w:r>
          </w:p>
        </w:tc>
        <w:tc>
          <w:tcPr>
            <w:tcW w:w="795" w:type="dxa"/>
            <w:noWrap w:val="0"/>
            <w:vAlign w:val="center"/>
          </w:tcPr>
          <w:p>
            <w:pPr>
              <w:widowControl/>
              <w:adjustRightInd w:val="0"/>
              <w:snapToGrid w:val="0"/>
              <w:spacing w:line="300" w:lineRule="exact"/>
              <w:jc w:val="center"/>
              <w:textAlignment w:val="center"/>
              <w:rPr>
                <w:rFonts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1.0</w:t>
            </w:r>
          </w:p>
        </w:tc>
        <w:tc>
          <w:tcPr>
            <w:tcW w:w="1773" w:type="dxa"/>
            <w:noWrap w:val="0"/>
            <w:vAlign w:val="center"/>
          </w:tcPr>
          <w:p>
            <w:pPr>
              <w:widowControl/>
              <w:adjustRightInd w:val="0"/>
              <w:snapToGrid w:val="0"/>
              <w:spacing w:line="300" w:lineRule="exact"/>
              <w:jc w:val="center"/>
              <w:rPr>
                <w:rFonts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764" w:type="dxa"/>
            <w:vMerge w:val="continue"/>
            <w:noWrap w:val="0"/>
            <w:vAlign w:val="center"/>
          </w:tcPr>
          <w:p>
            <w:pPr>
              <w:jc w:val="center"/>
              <w:rPr>
                <w:rFonts w:hint="eastAsia" w:ascii="华文仿宋" w:hAnsi="华文仿宋" w:eastAsia="华文仿宋" w:cs="华文仿宋"/>
                <w:color w:val="000000"/>
                <w:sz w:val="28"/>
                <w:szCs w:val="28"/>
              </w:rPr>
            </w:pPr>
          </w:p>
        </w:tc>
        <w:tc>
          <w:tcPr>
            <w:tcW w:w="795" w:type="dxa"/>
            <w:vMerge w:val="continue"/>
            <w:noWrap w:val="0"/>
            <w:vAlign w:val="center"/>
          </w:tcPr>
          <w:p>
            <w:pPr>
              <w:jc w:val="center"/>
              <w:rPr>
                <w:rFonts w:hint="eastAsia" w:ascii="华文仿宋" w:hAnsi="华文仿宋" w:eastAsia="华文仿宋" w:cs="华文仿宋"/>
                <w:color w:val="000000"/>
                <w:sz w:val="28"/>
                <w:szCs w:val="28"/>
              </w:rPr>
            </w:pPr>
          </w:p>
        </w:tc>
        <w:tc>
          <w:tcPr>
            <w:tcW w:w="1590" w:type="dxa"/>
            <w:vMerge w:val="continue"/>
            <w:noWrap w:val="0"/>
            <w:vAlign w:val="center"/>
          </w:tcPr>
          <w:p>
            <w:pPr>
              <w:jc w:val="center"/>
              <w:rPr>
                <w:rFonts w:hint="eastAsia" w:ascii="华文仿宋" w:hAnsi="华文仿宋" w:eastAsia="华文仿宋" w:cs="华文仿宋"/>
                <w:color w:val="000000"/>
                <w:sz w:val="28"/>
                <w:szCs w:val="28"/>
              </w:rPr>
            </w:pPr>
          </w:p>
        </w:tc>
        <w:tc>
          <w:tcPr>
            <w:tcW w:w="3577" w:type="dxa"/>
            <w:noWrap w:val="0"/>
            <w:vAlign w:val="center"/>
          </w:tcPr>
          <w:p>
            <w:pPr>
              <w:widowControl/>
              <w:jc w:val="center"/>
              <w:textAlignment w:val="center"/>
              <w:rPr>
                <w:rFonts w:hint="eastAsia" w:ascii="华文仿宋" w:hAnsi="华文仿宋" w:eastAsia="华文仿宋" w:cs="华文仿宋"/>
                <w:color w:val="000000"/>
                <w:sz w:val="28"/>
                <w:szCs w:val="28"/>
              </w:rPr>
            </w:pPr>
            <w:r>
              <w:rPr>
                <w:rFonts w:hint="eastAsia" w:ascii="华文仿宋" w:hAnsi="华文仿宋" w:eastAsia="华文仿宋" w:cs="华文仿宋"/>
                <w:color w:val="000000"/>
                <w:kern w:val="0"/>
                <w:sz w:val="28"/>
                <w:szCs w:val="28"/>
                <w:lang w:bidi="ar"/>
              </w:rPr>
              <w:t>120 ㎡≥户建筑面积&gt;70 ㎡</w:t>
            </w:r>
          </w:p>
        </w:tc>
        <w:tc>
          <w:tcPr>
            <w:tcW w:w="795" w:type="dxa"/>
            <w:noWrap w:val="0"/>
            <w:vAlign w:val="center"/>
          </w:tcPr>
          <w:p>
            <w:pPr>
              <w:widowControl/>
              <w:jc w:val="center"/>
              <w:textAlignment w:val="center"/>
              <w:rPr>
                <w:rFonts w:hint="eastAsia" w:ascii="华文仿宋" w:hAnsi="华文仿宋" w:eastAsia="华文仿宋" w:cs="华文仿宋"/>
                <w:color w:val="000000"/>
                <w:sz w:val="28"/>
                <w:szCs w:val="28"/>
                <w:lang w:val="en" w:eastAsia="zh-CN"/>
              </w:rPr>
            </w:pPr>
            <w:r>
              <w:rPr>
                <w:rFonts w:hint="eastAsia" w:ascii="华文仿宋" w:hAnsi="华文仿宋" w:eastAsia="华文仿宋" w:cs="华文仿宋"/>
                <w:color w:val="000000"/>
                <w:sz w:val="28"/>
                <w:szCs w:val="28"/>
              </w:rPr>
              <w:t>0.</w:t>
            </w:r>
            <w:r>
              <w:rPr>
                <w:rFonts w:hint="eastAsia" w:ascii="华文仿宋" w:hAnsi="华文仿宋" w:eastAsia="华文仿宋" w:cs="华文仿宋"/>
                <w:color w:val="000000"/>
                <w:sz w:val="28"/>
                <w:szCs w:val="28"/>
                <w:lang w:val="en-US" w:eastAsia="zh-CN"/>
              </w:rPr>
              <w:t>8</w:t>
            </w:r>
          </w:p>
        </w:tc>
        <w:tc>
          <w:tcPr>
            <w:tcW w:w="1773" w:type="dxa"/>
            <w:noWrap w:val="0"/>
            <w:vAlign w:val="center"/>
          </w:tcPr>
          <w:p>
            <w:pPr>
              <w:widowControl/>
              <w:jc w:val="center"/>
              <w:rPr>
                <w:rFonts w:ascii="华文仿宋" w:hAnsi="华文仿宋" w:eastAsia="华文仿宋" w:cs="华文仿宋"/>
                <w:color w:val="000000"/>
                <w:sz w:val="28"/>
                <w:szCs w:val="28"/>
              </w:rPr>
            </w:pPr>
            <w:r>
              <w:rPr>
                <w:rFonts w:hint="eastAsia" w:ascii="华文仿宋" w:hAnsi="华文仿宋" w:eastAsia="华文仿宋" w:cs="华文仿宋"/>
                <w:color w:val="000000"/>
                <w:sz w:val="28"/>
                <w:szCs w:val="2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764" w:type="dxa"/>
            <w:vMerge w:val="continue"/>
            <w:noWrap w:val="0"/>
            <w:vAlign w:val="center"/>
          </w:tcPr>
          <w:p>
            <w:pPr>
              <w:jc w:val="center"/>
              <w:rPr>
                <w:rFonts w:hint="eastAsia" w:ascii="华文仿宋" w:hAnsi="华文仿宋" w:eastAsia="华文仿宋" w:cs="华文仿宋"/>
                <w:sz w:val="28"/>
                <w:szCs w:val="28"/>
              </w:rPr>
            </w:pPr>
          </w:p>
        </w:tc>
        <w:tc>
          <w:tcPr>
            <w:tcW w:w="795" w:type="dxa"/>
            <w:vMerge w:val="continue"/>
            <w:noWrap w:val="0"/>
            <w:vAlign w:val="center"/>
          </w:tcPr>
          <w:p>
            <w:pPr>
              <w:jc w:val="center"/>
              <w:rPr>
                <w:rFonts w:hint="eastAsia" w:ascii="华文仿宋" w:hAnsi="华文仿宋" w:eastAsia="华文仿宋" w:cs="华文仿宋"/>
                <w:sz w:val="28"/>
                <w:szCs w:val="28"/>
              </w:rPr>
            </w:pPr>
          </w:p>
        </w:tc>
        <w:tc>
          <w:tcPr>
            <w:tcW w:w="1590" w:type="dxa"/>
            <w:vMerge w:val="continue"/>
            <w:noWrap w:val="0"/>
            <w:vAlign w:val="center"/>
          </w:tcPr>
          <w:p>
            <w:pPr>
              <w:jc w:val="center"/>
              <w:rPr>
                <w:rFonts w:hint="eastAsia" w:ascii="华文仿宋" w:hAnsi="华文仿宋" w:eastAsia="华文仿宋" w:cs="华文仿宋"/>
                <w:sz w:val="28"/>
                <w:szCs w:val="28"/>
              </w:rPr>
            </w:pPr>
          </w:p>
        </w:tc>
        <w:tc>
          <w:tcPr>
            <w:tcW w:w="3577" w:type="dxa"/>
            <w:noWrap w:val="0"/>
            <w:vAlign w:val="center"/>
          </w:tcPr>
          <w:p>
            <w:pPr>
              <w:widowControl/>
              <w:jc w:val="center"/>
              <w:textAlignment w:val="center"/>
              <w:rPr>
                <w:rFonts w:hint="eastAsia"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户建筑面积≤70 ㎡</w:t>
            </w:r>
          </w:p>
        </w:tc>
        <w:tc>
          <w:tcPr>
            <w:tcW w:w="795" w:type="dxa"/>
            <w:noWrap w:val="0"/>
            <w:vAlign w:val="center"/>
          </w:tcPr>
          <w:p>
            <w:pPr>
              <w:widowControl/>
              <w:jc w:val="center"/>
              <w:textAlignment w:val="center"/>
              <w:rPr>
                <w:rFonts w:hint="eastAsia" w:ascii="华文仿宋" w:hAnsi="华文仿宋" w:eastAsia="华文仿宋" w:cs="华文仿宋"/>
                <w:sz w:val="28"/>
                <w:szCs w:val="28"/>
                <w:lang w:val="en" w:eastAsia="zh-CN"/>
              </w:rPr>
            </w:pPr>
            <w:r>
              <w:rPr>
                <w:rFonts w:ascii="华文仿宋" w:hAnsi="华文仿宋" w:eastAsia="华文仿宋" w:cs="华文仿宋"/>
                <w:kern w:val="0"/>
                <w:sz w:val="28"/>
                <w:szCs w:val="28"/>
                <w:lang w:val="en" w:bidi="ar"/>
              </w:rPr>
              <w:t>0.</w:t>
            </w:r>
            <w:r>
              <w:rPr>
                <w:rFonts w:hint="eastAsia" w:ascii="华文仿宋" w:hAnsi="华文仿宋" w:eastAsia="华文仿宋" w:cs="华文仿宋"/>
                <w:kern w:val="0"/>
                <w:sz w:val="28"/>
                <w:szCs w:val="28"/>
                <w:lang w:val="en-US" w:eastAsia="zh-CN" w:bidi="ar"/>
              </w:rPr>
              <w:t>6</w:t>
            </w:r>
          </w:p>
        </w:tc>
        <w:tc>
          <w:tcPr>
            <w:tcW w:w="1773" w:type="dxa"/>
            <w:noWrap w:val="0"/>
            <w:vAlign w:val="center"/>
          </w:tcPr>
          <w:p>
            <w:pPr>
              <w:widowControl/>
              <w:jc w:val="center"/>
              <w:rPr>
                <w:rFonts w:ascii="华文仿宋" w:hAnsi="华文仿宋" w:eastAsia="华文仿宋" w:cs="华文仿宋"/>
                <w:sz w:val="28"/>
                <w:szCs w:val="28"/>
              </w:rPr>
            </w:pPr>
            <w:r>
              <w:rPr>
                <w:rFonts w:hint="eastAsia" w:ascii="华文仿宋" w:hAnsi="华文仿宋" w:eastAsia="华文仿宋" w:cs="华文仿宋"/>
                <w:sz w:val="28"/>
                <w:szCs w:val="2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9294" w:type="dxa"/>
            <w:gridSpan w:val="6"/>
            <w:noWrap w:val="0"/>
            <w:vAlign w:val="center"/>
          </w:tcPr>
          <w:p>
            <w:pPr>
              <w:adjustRightInd w:val="0"/>
              <w:snapToGrid w:val="0"/>
              <w:spacing w:line="300" w:lineRule="exact"/>
              <w:jc w:val="left"/>
              <w:rPr>
                <w:rFonts w:hint="eastAsia" w:ascii="华文仿宋" w:hAnsi="华文仿宋" w:eastAsia="华文仿宋" w:cs="华文仿宋"/>
                <w:color w:val="000000"/>
                <w:kern w:val="0"/>
                <w:sz w:val="28"/>
                <w:szCs w:val="28"/>
                <w:lang w:bidi="ar"/>
              </w:rPr>
            </w:pPr>
            <w:r>
              <w:rPr>
                <w:rFonts w:hint="eastAsia" w:ascii="华文仿宋" w:hAnsi="华文仿宋" w:eastAsia="华文仿宋" w:cs="华文仿宋"/>
                <w:color w:val="000000"/>
                <w:kern w:val="0"/>
                <w:sz w:val="28"/>
                <w:szCs w:val="28"/>
                <w:lang w:bidi="ar"/>
              </w:rPr>
              <w:t>1.该配建停车面积包含机动车及非机动车停车面积；</w:t>
            </w:r>
            <w:r>
              <w:rPr>
                <w:rFonts w:hint="eastAsia" w:ascii="华文仿宋" w:hAnsi="华文仿宋" w:eastAsia="华文仿宋" w:cs="华文仿宋"/>
                <w:color w:val="000000"/>
                <w:kern w:val="0"/>
                <w:sz w:val="28"/>
                <w:szCs w:val="28"/>
                <w:lang w:bidi="ar"/>
              </w:rPr>
              <w:br w:type="textWrapping"/>
            </w:r>
            <w:r>
              <w:rPr>
                <w:rFonts w:hint="eastAsia" w:ascii="华文仿宋" w:hAnsi="华文仿宋" w:eastAsia="华文仿宋" w:cs="华文仿宋"/>
                <w:color w:val="000000"/>
                <w:kern w:val="0"/>
                <w:sz w:val="28"/>
                <w:szCs w:val="28"/>
                <w:lang w:bidi="ar"/>
              </w:rPr>
              <w:t>2.该配建停车面积包含小区公共停车位；</w:t>
            </w:r>
            <w:r>
              <w:rPr>
                <w:rFonts w:hint="eastAsia" w:ascii="华文仿宋" w:hAnsi="华文仿宋" w:eastAsia="华文仿宋" w:cs="华文仿宋"/>
                <w:color w:val="000000"/>
                <w:kern w:val="0"/>
                <w:sz w:val="28"/>
                <w:szCs w:val="28"/>
                <w:lang w:bidi="ar"/>
              </w:rPr>
              <w:br w:type="textWrapping"/>
            </w:r>
            <w:r>
              <w:rPr>
                <w:rFonts w:hint="eastAsia" w:ascii="华文仿宋" w:hAnsi="华文仿宋" w:eastAsia="华文仿宋" w:cs="华文仿宋"/>
                <w:color w:val="000000"/>
                <w:kern w:val="0"/>
                <w:sz w:val="28"/>
                <w:szCs w:val="28"/>
                <w:lang w:bidi="ar"/>
              </w:rPr>
              <w:t xml:space="preserve">3.小汽车位数量以小型车停泊位为标准泊位（微型车位按0.8个标准泊位折算）。自行车（含电动自行车）位数量以自行车停泊位为标准泊位。计算各类应配停车泊位总数时，不足 1个时按 1 个计算； </w:t>
            </w:r>
          </w:p>
          <w:p>
            <w:pPr>
              <w:adjustRightInd w:val="0"/>
              <w:snapToGrid w:val="0"/>
              <w:spacing w:line="300" w:lineRule="exact"/>
              <w:jc w:val="left"/>
              <w:rPr>
                <w:rFonts w:hint="eastAsia" w:ascii="华文仿宋" w:hAnsi="华文仿宋" w:eastAsia="华文仿宋" w:cs="华文仿宋"/>
                <w:color w:val="000000"/>
                <w:kern w:val="0"/>
                <w:sz w:val="28"/>
                <w:szCs w:val="28"/>
                <w:lang w:bidi="ar"/>
              </w:rPr>
            </w:pPr>
            <w:r>
              <w:rPr>
                <w:rFonts w:hint="eastAsia" w:ascii="华文仿宋" w:hAnsi="华文仿宋" w:eastAsia="华文仿宋" w:cs="华文仿宋"/>
                <w:color w:val="000000"/>
                <w:kern w:val="0"/>
                <w:sz w:val="28"/>
                <w:szCs w:val="28"/>
                <w:lang w:bidi="ar"/>
              </w:rPr>
              <w:t>4.住宅类新建项目不应设置机械式停车位；</w:t>
            </w:r>
          </w:p>
          <w:p>
            <w:pPr>
              <w:adjustRightInd w:val="0"/>
              <w:snapToGrid w:val="0"/>
              <w:spacing w:line="300" w:lineRule="exact"/>
              <w:jc w:val="left"/>
              <w:rPr>
                <w:rFonts w:hint="eastAsia" w:ascii="华文仿宋" w:hAnsi="华文仿宋" w:eastAsia="华文仿宋" w:cs="华文仿宋"/>
                <w:sz w:val="28"/>
                <w:szCs w:val="28"/>
              </w:rPr>
            </w:pPr>
            <w:r>
              <w:rPr>
                <w:rFonts w:hint="eastAsia" w:ascii="华文仿宋" w:hAnsi="华文仿宋" w:eastAsia="华文仿宋" w:cs="华文仿宋"/>
                <w:color w:val="000000"/>
                <w:kern w:val="0"/>
                <w:sz w:val="28"/>
                <w:szCs w:val="28"/>
                <w:lang w:bidi="ar"/>
              </w:rPr>
              <w:t>5.居住小区配建停车位中，应当控制10%为小区公共停车位。</w:t>
            </w:r>
          </w:p>
        </w:tc>
      </w:tr>
    </w:tbl>
    <w:p>
      <w:pPr>
        <w:topLinePunct/>
        <w:autoSpaceDE w:val="0"/>
        <w:adjustRightInd w:val="0"/>
        <w:snapToGrid w:val="0"/>
        <w:spacing w:line="560" w:lineRule="exact"/>
        <w:ind w:firstLine="642" w:firstLineChars="200"/>
        <w:rPr>
          <w:rFonts w:hint="eastAsia" w:eastAsia="仿宋"/>
          <w:b/>
          <w:sz w:val="32"/>
        </w:rPr>
      </w:pPr>
    </w:p>
    <w:p>
      <w:pPr>
        <w:topLinePunct/>
        <w:autoSpaceDE w:val="0"/>
        <w:adjustRightInd w:val="0"/>
        <w:snapToGrid w:val="0"/>
        <w:spacing w:line="560" w:lineRule="exact"/>
        <w:ind w:firstLine="642" w:firstLineChars="200"/>
        <w:rPr>
          <w:rFonts w:hint="eastAsia" w:eastAsia="仿宋"/>
          <w:b/>
          <w:sz w:val="32"/>
        </w:rPr>
      </w:pPr>
    </w:p>
    <w:p>
      <w:pPr>
        <w:pStyle w:val="6"/>
        <w:jc w:val="left"/>
        <w:rPr>
          <w:rStyle w:val="15"/>
          <w:rFonts w:hint="default" w:ascii="黑体" w:hAnsi="黑体" w:eastAsia="黑体"/>
          <w:sz w:val="32"/>
        </w:rPr>
      </w:pPr>
    </w:p>
    <w:sectPr>
      <w:pgSz w:w="11906" w:h="16838"/>
      <w:pgMar w:top="2098" w:right="1418" w:bottom="1418" w:left="1588" w:header="851" w:footer="1247"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
    <w:altName w:val="方正仿宋_GBK"/>
    <w:panose1 w:val="02010609060101010101"/>
    <w:charset w:val="00"/>
    <w:family w:val="modern"/>
    <w:pitch w:val="default"/>
    <w:sig w:usb0="00000000" w:usb1="00000000" w:usb2="00000016" w:usb3="00000000" w:csb0="00040001" w:csb1="00000000"/>
  </w:font>
  <w:font w:name="楷体">
    <w:altName w:val="方正楷体_GBK"/>
    <w:panose1 w:val="02010609060101010101"/>
    <w:charset w:val="00"/>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jc w:val="both"/>
      <w:rPr>
        <w:rStyle w:val="9"/>
        <w:sz w:val="28"/>
        <w:szCs w:val="28"/>
      </w:rPr>
    </w:pPr>
    <w:r>
      <w:rPr>
        <w:rStyle w:val="9"/>
        <w:rFonts w:hint="eastAsia"/>
        <w:sz w:val="28"/>
      </w:rPr>
      <w:t>—</w:t>
    </w:r>
    <w:r>
      <w:rPr>
        <w:rStyle w:val="9"/>
        <w:sz w:val="28"/>
      </w:rPr>
      <w:t xml:space="preserve"> </w:t>
    </w:r>
    <w:r>
      <w:rPr>
        <w:rStyle w:val="9"/>
        <w:rFonts w:hint="eastAsia" w:ascii="宋体" w:hAnsi="宋体"/>
        <w:sz w:val="28"/>
        <w:szCs w:val="28"/>
      </w:rPr>
      <w:fldChar w:fldCharType="begin"/>
    </w:r>
    <w:r>
      <w:rPr>
        <w:rStyle w:val="9"/>
        <w:rFonts w:hint="eastAsia" w:ascii="宋体" w:hAnsi="宋体"/>
        <w:sz w:val="28"/>
        <w:szCs w:val="28"/>
      </w:rPr>
      <w:instrText xml:space="preserve">PAGE  </w:instrText>
    </w:r>
    <w:r>
      <w:rPr>
        <w:rStyle w:val="9"/>
        <w:rFonts w:ascii="宋体" w:hAnsi="宋体"/>
        <w:sz w:val="28"/>
        <w:szCs w:val="28"/>
      </w:rPr>
      <w:fldChar w:fldCharType="separate"/>
    </w:r>
    <w:r>
      <w:rPr>
        <w:rStyle w:val="9"/>
        <w:rFonts w:ascii="宋体" w:hAnsi="宋体"/>
        <w:sz w:val="28"/>
        <w:szCs w:val="28"/>
      </w:rPr>
      <w:t>11</w:t>
    </w:r>
    <w:r>
      <w:rPr>
        <w:rStyle w:val="9"/>
        <w:rFonts w:hint="eastAsia" w:ascii="宋体" w:hAnsi="宋体"/>
        <w:sz w:val="28"/>
        <w:szCs w:val="28"/>
      </w:rPr>
      <w:fldChar w:fldCharType="end"/>
    </w:r>
    <w:r>
      <w:rPr>
        <w:rStyle w:val="9"/>
        <w:rFonts w:hint="eastAsia" w:ascii="宋体" w:hAnsi="宋体"/>
        <w:sz w:val="28"/>
        <w:szCs w:val="28"/>
      </w:rPr>
      <w:t xml:space="preserve"> </w:t>
    </w:r>
    <w:r>
      <w:rPr>
        <w:rStyle w:val="9"/>
        <w:rFonts w:hint="eastAsia"/>
        <w:sz w:val="28"/>
      </w:rPr>
      <w:t>—</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y="1"/>
      <w:jc w:val="both"/>
      <w:rPr>
        <w:rStyle w:val="9"/>
        <w:sz w:val="28"/>
        <w:szCs w:val="28"/>
      </w:rPr>
    </w:pPr>
    <w:r>
      <w:rPr>
        <w:rStyle w:val="9"/>
        <w:rFonts w:hint="eastAsia"/>
        <w:sz w:val="28"/>
      </w:rPr>
      <w:t>—</w:t>
    </w:r>
    <w:r>
      <w:rPr>
        <w:rStyle w:val="9"/>
        <w:sz w:val="28"/>
      </w:rPr>
      <w:t xml:space="preserve"> </w:t>
    </w:r>
    <w:r>
      <w:rPr>
        <w:rStyle w:val="9"/>
        <w:rFonts w:hint="eastAsia" w:ascii="宋体" w:hAnsi="宋体"/>
        <w:sz w:val="28"/>
        <w:szCs w:val="28"/>
      </w:rPr>
      <w:fldChar w:fldCharType="begin"/>
    </w:r>
    <w:r>
      <w:rPr>
        <w:rStyle w:val="9"/>
        <w:rFonts w:hint="eastAsia" w:ascii="宋体" w:hAnsi="宋体"/>
        <w:sz w:val="28"/>
        <w:szCs w:val="28"/>
      </w:rPr>
      <w:instrText xml:space="preserve">PAGE  </w:instrText>
    </w:r>
    <w:r>
      <w:rPr>
        <w:rStyle w:val="9"/>
        <w:rFonts w:ascii="宋体" w:hAnsi="宋体"/>
        <w:sz w:val="28"/>
        <w:szCs w:val="28"/>
      </w:rPr>
      <w:fldChar w:fldCharType="separate"/>
    </w:r>
    <w:r>
      <w:rPr>
        <w:rStyle w:val="9"/>
        <w:rFonts w:ascii="宋体" w:hAnsi="宋体"/>
        <w:sz w:val="28"/>
        <w:szCs w:val="28"/>
      </w:rPr>
      <w:t>12</w:t>
    </w:r>
    <w:r>
      <w:rPr>
        <w:rStyle w:val="9"/>
        <w:rFonts w:hint="eastAsia" w:ascii="宋体" w:hAnsi="宋体"/>
        <w:sz w:val="28"/>
        <w:szCs w:val="28"/>
      </w:rPr>
      <w:fldChar w:fldCharType="end"/>
    </w:r>
    <w:r>
      <w:rPr>
        <w:rStyle w:val="9"/>
        <w:rFonts w:hint="eastAsia" w:ascii="宋体" w:hAnsi="宋体"/>
        <w:sz w:val="28"/>
        <w:szCs w:val="28"/>
      </w:rPr>
      <w:t xml:space="preserve"> </w:t>
    </w:r>
    <w:r>
      <w:rPr>
        <w:rStyle w:val="9"/>
        <w:rFonts w:hint="eastAsia"/>
        <w:sz w:val="28"/>
      </w:rPr>
      <w:t>—</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8E9"/>
    <w:rsid w:val="00020015"/>
    <w:rsid w:val="000234B8"/>
    <w:rsid w:val="00045602"/>
    <w:rsid w:val="00052011"/>
    <w:rsid w:val="00096CC0"/>
    <w:rsid w:val="000B0F65"/>
    <w:rsid w:val="000C3612"/>
    <w:rsid w:val="000E045F"/>
    <w:rsid w:val="000F52A9"/>
    <w:rsid w:val="00127145"/>
    <w:rsid w:val="00131C25"/>
    <w:rsid w:val="00153998"/>
    <w:rsid w:val="00192B4B"/>
    <w:rsid w:val="001A27C9"/>
    <w:rsid w:val="001B2879"/>
    <w:rsid w:val="001F54C0"/>
    <w:rsid w:val="00202DAE"/>
    <w:rsid w:val="002431EB"/>
    <w:rsid w:val="00254ADE"/>
    <w:rsid w:val="00264C04"/>
    <w:rsid w:val="002778EF"/>
    <w:rsid w:val="002848C1"/>
    <w:rsid w:val="002938E9"/>
    <w:rsid w:val="002A6709"/>
    <w:rsid w:val="002C354A"/>
    <w:rsid w:val="002D2F5B"/>
    <w:rsid w:val="002D6790"/>
    <w:rsid w:val="00332903"/>
    <w:rsid w:val="00340752"/>
    <w:rsid w:val="003500CF"/>
    <w:rsid w:val="00380ED2"/>
    <w:rsid w:val="003B2A0A"/>
    <w:rsid w:val="003E67B8"/>
    <w:rsid w:val="00444D64"/>
    <w:rsid w:val="00466F49"/>
    <w:rsid w:val="004A7B98"/>
    <w:rsid w:val="004B1583"/>
    <w:rsid w:val="004C0EAD"/>
    <w:rsid w:val="004E65A0"/>
    <w:rsid w:val="004E7A9D"/>
    <w:rsid w:val="00502CFB"/>
    <w:rsid w:val="00503F85"/>
    <w:rsid w:val="0052444A"/>
    <w:rsid w:val="005357B8"/>
    <w:rsid w:val="00542304"/>
    <w:rsid w:val="005E75ED"/>
    <w:rsid w:val="005F3D78"/>
    <w:rsid w:val="00634B71"/>
    <w:rsid w:val="00643F31"/>
    <w:rsid w:val="00655568"/>
    <w:rsid w:val="0066175F"/>
    <w:rsid w:val="0068227A"/>
    <w:rsid w:val="00697490"/>
    <w:rsid w:val="006A7390"/>
    <w:rsid w:val="006A7F33"/>
    <w:rsid w:val="006C4565"/>
    <w:rsid w:val="00763A99"/>
    <w:rsid w:val="0077746D"/>
    <w:rsid w:val="0079546B"/>
    <w:rsid w:val="007D2CDF"/>
    <w:rsid w:val="008122AF"/>
    <w:rsid w:val="0081375E"/>
    <w:rsid w:val="00827D4D"/>
    <w:rsid w:val="00887B06"/>
    <w:rsid w:val="008B251C"/>
    <w:rsid w:val="009062B7"/>
    <w:rsid w:val="0091791F"/>
    <w:rsid w:val="0093470C"/>
    <w:rsid w:val="009516F2"/>
    <w:rsid w:val="0098604B"/>
    <w:rsid w:val="009D5221"/>
    <w:rsid w:val="00A04BFC"/>
    <w:rsid w:val="00A260E9"/>
    <w:rsid w:val="00A73A5F"/>
    <w:rsid w:val="00A90583"/>
    <w:rsid w:val="00AA0D3E"/>
    <w:rsid w:val="00AA70F9"/>
    <w:rsid w:val="00AE4D82"/>
    <w:rsid w:val="00AE7EB9"/>
    <w:rsid w:val="00B260B8"/>
    <w:rsid w:val="00B807E9"/>
    <w:rsid w:val="00B80F59"/>
    <w:rsid w:val="00B943C9"/>
    <w:rsid w:val="00BE6734"/>
    <w:rsid w:val="00BF6151"/>
    <w:rsid w:val="00C03C9A"/>
    <w:rsid w:val="00C748AD"/>
    <w:rsid w:val="00C777AB"/>
    <w:rsid w:val="00C81E02"/>
    <w:rsid w:val="00CA2EE7"/>
    <w:rsid w:val="00CB306C"/>
    <w:rsid w:val="00CF7519"/>
    <w:rsid w:val="00D14C29"/>
    <w:rsid w:val="00D4626D"/>
    <w:rsid w:val="00D63BFD"/>
    <w:rsid w:val="00D82911"/>
    <w:rsid w:val="00D90CE7"/>
    <w:rsid w:val="00DB2990"/>
    <w:rsid w:val="00DB44B3"/>
    <w:rsid w:val="00E06782"/>
    <w:rsid w:val="00E43BC1"/>
    <w:rsid w:val="00E81886"/>
    <w:rsid w:val="00EC1652"/>
    <w:rsid w:val="00ED46E0"/>
    <w:rsid w:val="00F13EC4"/>
    <w:rsid w:val="00F42060"/>
    <w:rsid w:val="00F67B27"/>
    <w:rsid w:val="00F71C21"/>
    <w:rsid w:val="00F76FF2"/>
    <w:rsid w:val="00FD27FA"/>
    <w:rsid w:val="00FE3FF1"/>
    <w:rsid w:val="7FFE9C43"/>
    <w:rsid w:val="BEEBF995"/>
    <w:rsid w:val="EF7FE7BC"/>
    <w:rsid w:val="FF7DA91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Date"/>
    <w:basedOn w:val="1"/>
    <w:next w:val="1"/>
    <w:link w:val="11"/>
    <w:uiPriority w:val="0"/>
    <w:pPr>
      <w:ind w:left="100" w:leftChars="2500"/>
    </w:pPr>
  </w:style>
  <w:style w:type="paragraph" w:styleId="4">
    <w:name w:val="footer"/>
    <w:basedOn w:val="1"/>
    <w:link w:val="12"/>
    <w:uiPriority w:val="0"/>
    <w:pPr>
      <w:tabs>
        <w:tab w:val="center" w:pos="4153"/>
        <w:tab w:val="right" w:pos="8306"/>
      </w:tabs>
      <w:snapToGrid w:val="0"/>
      <w:jc w:val="left"/>
    </w:pPr>
    <w:rPr>
      <w:sz w:val="18"/>
      <w:szCs w:val="18"/>
    </w:rPr>
  </w:style>
  <w:style w:type="paragraph" w:styleId="5">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6">
    <w:name w:val="Title"/>
    <w:qFormat/>
    <w:uiPriority w:val="0"/>
    <w:pPr>
      <w:spacing w:line="600" w:lineRule="exact"/>
      <w:jc w:val="center"/>
      <w:textAlignment w:val="center"/>
      <w:outlineLvl w:val="0"/>
    </w:pPr>
    <w:rPr>
      <w:rFonts w:ascii="Times New Roman" w:hAnsi="Times New Roman" w:eastAsia="方正小标宋简体" w:cs="Arial"/>
      <w:kern w:val="2"/>
      <w:sz w:val="44"/>
      <w:szCs w:val="32"/>
      <w:lang w:val="en-US" w:eastAsia="zh-CN" w:bidi="ar-SA"/>
    </w:rPr>
  </w:style>
  <w:style w:type="character" w:styleId="9">
    <w:name w:val="page number"/>
    <w:basedOn w:val="8"/>
    <w:qFormat/>
    <w:uiPriority w:val="0"/>
  </w:style>
  <w:style w:type="character" w:customStyle="1" w:styleId="10">
    <w:name w:val="标题 1 Char"/>
    <w:basedOn w:val="8"/>
    <w:link w:val="2"/>
    <w:qFormat/>
    <w:uiPriority w:val="9"/>
    <w:rPr>
      <w:b/>
      <w:bCs/>
      <w:kern w:val="44"/>
      <w:sz w:val="44"/>
      <w:szCs w:val="44"/>
    </w:rPr>
  </w:style>
  <w:style w:type="character" w:customStyle="1" w:styleId="11">
    <w:name w:val="日期 Char"/>
    <w:basedOn w:val="8"/>
    <w:link w:val="3"/>
    <w:uiPriority w:val="0"/>
    <w:rPr>
      <w:kern w:val="2"/>
      <w:sz w:val="21"/>
      <w:szCs w:val="24"/>
    </w:rPr>
  </w:style>
  <w:style w:type="character" w:customStyle="1" w:styleId="12">
    <w:name w:val="页脚 Char"/>
    <w:basedOn w:val="8"/>
    <w:link w:val="4"/>
    <w:qFormat/>
    <w:uiPriority w:val="0"/>
    <w:rPr>
      <w:kern w:val="2"/>
      <w:sz w:val="18"/>
      <w:szCs w:val="18"/>
    </w:rPr>
  </w:style>
  <w:style w:type="character" w:customStyle="1" w:styleId="13">
    <w:name w:val="页眉 Char"/>
    <w:basedOn w:val="8"/>
    <w:link w:val="5"/>
    <w:uiPriority w:val="0"/>
    <w:rPr>
      <w:kern w:val="2"/>
      <w:sz w:val="18"/>
      <w:szCs w:val="18"/>
    </w:rPr>
  </w:style>
  <w:style w:type="paragraph" w:customStyle="1" w:styleId="14">
    <w:name w:val="样式1"/>
    <w:basedOn w:val="6"/>
    <w:qFormat/>
    <w:uiPriority w:val="0"/>
    <w:pPr>
      <w:spacing w:line="520" w:lineRule="exact"/>
      <w:jc w:val="center"/>
    </w:pPr>
    <w:rPr>
      <w:rFonts w:ascii="宋体" w:hAnsi="宋体"/>
      <w:sz w:val="44"/>
      <w:szCs w:val="44"/>
    </w:rPr>
  </w:style>
  <w:style w:type="character" w:customStyle="1" w:styleId="15">
    <w:name w:val="font01"/>
    <w:basedOn w:val="8"/>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opt/APPS/LVUAAgentInstBaseRoot/bin/C:\Users\Administrator\AppData\Roaming\Microsoft\Templates\&#27733;&#33258;&#28982;&#36164;&#28304;&#65288;&#35831;&#31034;%20&#65289;.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汕自然资源（请示 ）</Template>
  <Company>微软中国</Company>
  <Pages>12</Pages>
  <Words>860</Words>
  <Characters>4905</Characters>
  <Lines>40</Lines>
  <Paragraphs>11</Paragraphs>
  <TotalTime>6</TotalTime>
  <ScaleCrop>false</ScaleCrop>
  <LinksUpToDate>false</LinksUpToDate>
  <CharactersWithSpaces>5754</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2026-10-27T09:43:00Z</dcterms:created>
  <dc:creator>USER</dc:creator>
  <cp:lastModifiedBy>user</cp:lastModifiedBy>
  <cp:lastPrinted>2026-10-20T10:11:00Z</cp:lastPrinted>
  <dcterms:modified xsi:type="dcterms:W3CDTF">2026-11-04T16:54:50Z</dcterms:modified>
  <dc:title>汕头市国土资源局文件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A411790EDC8E426963F7E76A436BA9D5</vt:lpwstr>
  </property>
</Properties>
</file>