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Cs/>
          <w:sz w:val="28"/>
          <w:szCs w:val="28"/>
        </w:rPr>
      </w:pPr>
    </w:p>
    <w:p>
      <w:pPr>
        <w:jc w:val="center"/>
        <w:rPr>
          <w:b/>
          <w:sz w:val="52"/>
        </w:rPr>
      </w:pPr>
    </w:p>
    <w:p>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bookmarkStart w:id="0" w:name="_GoBack"/>
      <w:r>
        <w:rPr>
          <w:rFonts w:hint="eastAsia" w:ascii="宋体" w:hAnsi="宋体" w:cs="宋体"/>
          <w:sz w:val="52"/>
          <w:szCs w:val="52"/>
          <w:u w:val="single"/>
          <w:lang w:val="en-US" w:eastAsia="zh-CN" w:bidi="ar"/>
        </w:rPr>
        <w:t>汕头市策汇测绘有限公司</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bookmarkEnd w:id="0"/>
    <w:p>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p/>
    <w:p/>
    <w:p/>
    <w:p/>
    <w:p>
      <w:pPr>
        <w:jc w:val="center"/>
        <w:rPr>
          <w:b/>
          <w:sz w:val="36"/>
        </w:rPr>
      </w:pPr>
      <w:r>
        <w:rPr>
          <w:rFonts w:ascii="Times New Roman" w:hAnsi="Times New Roman"/>
          <w:b/>
          <w:sz w:val="36"/>
          <w:lang w:bidi="ar"/>
        </w:rPr>
        <w:t xml:space="preserve"> </w:t>
      </w:r>
    </w:p>
    <w:p>
      <w:pPr>
        <w:rPr>
          <w:b/>
          <w:sz w:val="36"/>
        </w:rPr>
      </w:pPr>
    </w:p>
    <w:p>
      <w:pPr>
        <w:jc w:val="center"/>
        <w:rPr>
          <w:b/>
          <w:sz w:val="36"/>
        </w:rPr>
      </w:pPr>
    </w:p>
    <w:p>
      <w:pPr>
        <w:jc w:val="center"/>
        <w:rPr>
          <w:rFonts w:hint="eastAsia" w:ascii="Times New Roman" w:hAnsi="Times New Roman" w:cs="宋体"/>
          <w:b/>
          <w:spacing w:val="70"/>
          <w:sz w:val="36"/>
          <w:lang w:bidi="ar"/>
        </w:rPr>
      </w:pPr>
    </w:p>
    <w:p>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sz w:val="24"/>
              </w:rPr>
            </w:pPr>
            <w:r>
              <w:rPr>
                <w:rFonts w:hint="eastAsia"/>
                <w:sz w:val="24"/>
                <w:lang w:val="en-US" w:eastAsia="zh-CN"/>
              </w:rPr>
              <w:t>汕头市策汇测绘有限公司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91440515MA4X7ACX6A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民营企业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汕头市澄海区澄华街道蓬岭路建设大厦3幢九层93号之三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4"/>
                <w:lang w:val="en-US" w:eastAsia="zh-CN"/>
              </w:rPr>
            </w:pPr>
            <w:r>
              <w:rPr>
                <w:rFonts w:hint="eastAsia"/>
                <w:sz w:val="24"/>
                <w:lang w:val="en-US" w:eastAsia="zh-CN"/>
              </w:rPr>
              <w:t>陈思平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left"/>
              <w:rPr>
                <w:rFonts w:hint="default"/>
                <w:sz w:val="24"/>
                <w:lang w:val="en-US" w:eastAsia="zh-CN"/>
              </w:rPr>
            </w:pPr>
            <w:r>
              <w:rPr>
                <w:rFonts w:hint="eastAsia"/>
                <w:sz w:val="24"/>
                <w:lang w:val="en-US" w:eastAsia="zh-CN"/>
              </w:rPr>
              <w:t>乙级：工程测量（不得从事二等及以上控制测量、国家建设重点工程的规划测量、单个建筑物10万平方米及以上的建筑工程测量、特大型水利水电工程测量、4千米及以上隧道工程测量）、海洋测绘（不得从事深度基准测量、海图编制；不得从事连片区域100 平方千米及以上的海岸地形测量、水深测量、水文观测、海洋工程测量和扫海测量）、界线与不动产测绘（不得从事国界线测绘、规划许可证载单栋建筑10万平方米及以上的房产测绘）</w:t>
            </w:r>
          </w:p>
        </w:tc>
      </w:tr>
    </w:tbl>
    <w:p/>
    <w:p>
      <w:pPr>
        <w:jc w:val="center"/>
        <w:rPr>
          <w:b/>
          <w:spacing w:val="70"/>
          <w:sz w:val="36"/>
        </w:rPr>
      </w:pPr>
    </w:p>
    <w:p>
      <w:pPr>
        <w:jc w:val="center"/>
        <w:rPr>
          <w:b/>
          <w:spacing w:val="70"/>
          <w:sz w:val="36"/>
        </w:rPr>
      </w:pPr>
    </w:p>
    <w:p>
      <w:pPr>
        <w:jc w:val="center"/>
        <w:rPr>
          <w:b/>
          <w:spacing w:val="70"/>
          <w:sz w:val="36"/>
        </w:rPr>
      </w:pPr>
    </w:p>
    <w:p>
      <w:pPr>
        <w:jc w:val="center"/>
        <w:rPr>
          <w:b/>
          <w:spacing w:val="70"/>
          <w:sz w:val="36"/>
        </w:rPr>
      </w:pPr>
    </w:p>
    <w:p>
      <w:pPr>
        <w:jc w:val="center"/>
        <w:rPr>
          <w:b/>
          <w:spacing w:val="70"/>
          <w:sz w:val="36"/>
        </w:rPr>
      </w:pPr>
    </w:p>
    <w:p>
      <w:pPr>
        <w:jc w:val="center"/>
        <w:rPr>
          <w:b/>
          <w:spacing w:val="70"/>
          <w:sz w:val="36"/>
        </w:rPr>
      </w:pPr>
    </w:p>
    <w:p>
      <w:pPr>
        <w:jc w:val="center"/>
      </w:pPr>
      <w:r>
        <w:rPr>
          <w:rFonts w:hint="eastAsia" w:ascii="Times New Roman" w:hAnsi="Times New Roman" w:cs="宋体"/>
          <w:b/>
          <w:sz w:val="44"/>
          <w:szCs w:val="44"/>
          <w:lang w:bidi="ar"/>
        </w:rPr>
        <w:t>二、专业技术人员</w:t>
      </w:r>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测绘专业高级技术人员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p>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r>
              <w:rPr>
                <w:rFonts w:ascii="Times New Roman" w:hAnsi="Times New Roman"/>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pPr>
          </w:p>
        </w:tc>
      </w:tr>
    </w:tbl>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cs="Times New Roman"/>
                <w:lang w:val="en-US" w:eastAsia="zh-CN"/>
              </w:rPr>
            </w:pPr>
            <w:r>
              <w:rPr>
                <w:rFonts w:hint="eastAsia" w:eastAsia="宋体" w:cs="Times New Roman"/>
                <w:lang w:val="en-US" w:eastAsia="zh-CN"/>
              </w:rPr>
              <w:t>姚超</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cs="Times New Roman"/>
                <w:lang w:val="en-US" w:eastAsia="zh-CN"/>
              </w:rPr>
            </w:pPr>
            <w:r>
              <w:rPr>
                <w:rFonts w:hint="eastAsia" w:eastAsia="宋体" w:cs="Times New Roman"/>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cs="Times New Roman"/>
                <w:lang w:val="en-US" w:eastAsia="zh-CN"/>
              </w:rPr>
            </w:pPr>
            <w:r>
              <w:rPr>
                <w:rFonts w:hint="eastAsia" w:eastAsia="宋体" w:cs="Times New Roman"/>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30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cs="Times New Roman"/>
                <w:lang w:val="en-US" w:eastAsia="zh-CN"/>
              </w:rPr>
            </w:pPr>
            <w:r>
              <w:rPr>
                <w:rFonts w:hint="eastAsia" w:eastAsia="宋体" w:cs="Times New Roman"/>
                <w:lang w:val="en-US" w:eastAsia="zh-CN"/>
              </w:rPr>
              <w:t>郭静斐</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eastAsia" w:eastAsia="宋体" w:cs="Times New Roman"/>
                <w:lang w:val="en-US" w:eastAsia="zh-CN"/>
              </w:rPr>
            </w:pPr>
            <w:r>
              <w:rPr>
                <w:rFonts w:hint="eastAsia" w:eastAsia="宋体" w:cs="Times New Roman"/>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eastAsia="宋体" w:cs="Times New Roman"/>
                <w:lang w:val="en-US" w:eastAsia="zh-CN"/>
              </w:rPr>
            </w:pPr>
            <w:r>
              <w:rPr>
                <w:rFonts w:hint="eastAsia" w:eastAsia="宋体" w:cs="Times New Roman"/>
                <w:lang w:val="en-US" w:eastAsia="zh-CN"/>
              </w:rPr>
              <w:t>56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pPr>
          </w:p>
        </w:tc>
      </w:tr>
    </w:tbl>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测绘专业初级技术人员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周厚添</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28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林彦聪</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p>
        </w:tc>
      </w:tr>
    </w:tbl>
    <w:p>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p/>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pPr>
              <w:jc w:val="center"/>
              <w:rPr>
                <w:b/>
                <w:sz w:val="32"/>
              </w:rPr>
            </w:pPr>
            <w:r>
              <w:rPr>
                <w:rFonts w:hint="eastAsia" w:ascii="Times New Roman" w:hAnsi="Times New Roman" w:cs="宋体"/>
                <w:b/>
                <w:sz w:val="32"/>
                <w:lang w:bidi="ar"/>
              </w:rPr>
              <w:t>测绘相关专业技术人员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w:t>
            </w:r>
          </w:p>
          <w:p>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1</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赵泽佳</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eastAsia="宋体" w:cs="Times New Roman"/>
                <w:lang w:val="en-US" w:eastAsia="zh-CN"/>
              </w:rPr>
              <w:t>26</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default"/>
                <w:lang w:val="en-US"/>
              </w:rPr>
            </w:pPr>
            <w:r>
              <w:rPr>
                <w:rFonts w:hint="eastAsia" w:eastAsia="宋体"/>
                <w:lang w:val="en-US" w:eastAsia="zh-CN"/>
              </w:rPr>
              <w:t>工程测量</w:t>
            </w:r>
            <w:r>
              <w:rPr>
                <w:rFonts w:hint="eastAsia"/>
                <w:lang w:val="en-US" w:eastAsia="zh-CN"/>
              </w:rPr>
              <w:t>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pPr>
              <w:jc w:val="center"/>
            </w:pPr>
            <w:r>
              <w:rPr>
                <w:rFonts w:hint="eastAsia"/>
                <w:lang w:val="en-US" w:eastAsia="zh-CN"/>
              </w:rPr>
              <w:t>2</w:t>
            </w:r>
          </w:p>
        </w:tc>
        <w:tc>
          <w:tcPr>
            <w:tcW w:w="357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rPr>
              <w:t>黄墩义</w:t>
            </w:r>
          </w:p>
        </w:tc>
        <w:tc>
          <w:tcPr>
            <w:tcW w:w="26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29</w:t>
            </w:r>
          </w:p>
        </w:tc>
        <w:tc>
          <w:tcPr>
            <w:tcW w:w="497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pPr>
            <w:r>
              <w:rPr>
                <w:rFonts w:hint="eastAsia"/>
                <w:lang w:val="en-US" w:eastAsia="zh-CN"/>
              </w:rPr>
              <w:t>道路桥梁工程技术</w:t>
            </w:r>
          </w:p>
        </w:tc>
      </w:tr>
    </w:tbl>
    <w:p/>
    <w:p>
      <w:pPr>
        <w:jc w:val="center"/>
        <w:rPr>
          <w:b/>
          <w:sz w:val="44"/>
          <w:szCs w:val="44"/>
        </w:rPr>
      </w:pPr>
    </w:p>
    <w:p>
      <w:pPr>
        <w:jc w:val="center"/>
        <w:rPr>
          <w:b/>
          <w:sz w:val="44"/>
          <w:szCs w:val="44"/>
        </w:rPr>
      </w:pPr>
    </w:p>
    <w:p>
      <w:pPr>
        <w:jc w:val="center"/>
      </w:pPr>
      <w:r>
        <w:rPr>
          <w:rFonts w:hint="eastAsia" w:ascii="Times New Roman" w:hAnsi="Times New Roman" w:cs="宋体"/>
          <w:b/>
          <w:sz w:val="44"/>
          <w:szCs w:val="44"/>
          <w:lang w:bidi="ar"/>
        </w:rPr>
        <w:t>三、技术装备</w:t>
      </w:r>
    </w:p>
    <w:p/>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b/>
                <w:sz w:val="32"/>
                <w:szCs w:val="32"/>
              </w:rPr>
            </w:pPr>
            <w:r>
              <w:rPr>
                <w:rFonts w:hint="eastAsia" w:ascii="Times New Roman" w:hAnsi="Times New Roman" w:cs="宋体"/>
                <w:b/>
                <w:sz w:val="32"/>
                <w:szCs w:val="32"/>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1</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rPr>
              <w:t>GNSS接收机</w:t>
            </w:r>
            <w:r>
              <w:rPr>
                <w:rFonts w:hint="eastAsia"/>
                <w:lang w:eastAsia="zh-CN"/>
              </w:rPr>
              <w:t>（</w:t>
            </w:r>
            <w:r>
              <w:rPr>
                <w:rFonts w:hint="eastAsia"/>
              </w:rPr>
              <w:t>不低于5mm+1ppm精度</w:t>
            </w:r>
            <w:r>
              <w:rPr>
                <w:rFonts w:hint="eastAsia"/>
                <w:lang w:eastAsia="zh-CN"/>
              </w:rPr>
              <w:t>）</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华测，X6</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240" w:lineRule="exact"/>
              <w:ind w:left="-105" w:leftChars="0" w:right="-105" w:rightChars="0"/>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2</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rPr>
              <w:t>全站仪</w:t>
            </w:r>
            <w:r>
              <w:rPr>
                <w:rFonts w:hint="eastAsia"/>
                <w:lang w:eastAsia="zh-CN"/>
              </w:rPr>
              <w:t>（</w:t>
            </w:r>
            <w:r>
              <w:rPr>
                <w:rFonts w:hint="eastAsia"/>
              </w:rPr>
              <w:t>2mm精度以上</w:t>
            </w:r>
            <w:r>
              <w:rPr>
                <w:rFonts w:hint="eastAsia"/>
                <w:lang w:eastAsia="zh-CN"/>
              </w:rPr>
              <w:t>）</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KOLIDA， KTS-442R10LCN</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240" w:lineRule="exact"/>
              <w:ind w:left="-105" w:leftChars="0" w:right="-105" w:rightChars="0"/>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3</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rPr>
              <w:t>水准仪</w:t>
            </w:r>
            <w:r>
              <w:rPr>
                <w:rFonts w:hint="eastAsia"/>
                <w:lang w:eastAsia="zh-CN"/>
              </w:rPr>
              <w:t>（</w:t>
            </w:r>
            <w:r>
              <w:rPr>
                <w:rFonts w:hint="eastAsia"/>
              </w:rPr>
              <w:t>S1级精度以上</w:t>
            </w:r>
            <w:r>
              <w:rPr>
                <w:rFonts w:hint="eastAsia"/>
                <w:lang w:eastAsia="zh-CN"/>
              </w:rPr>
              <w:t>）</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苏州一光，DSZ1</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240" w:lineRule="exact"/>
              <w:ind w:left="-105" w:leftChars="0" w:right="-105" w:rightChars="0"/>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4</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地下管线探测仪</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240" w:lineRule="exact"/>
              <w:ind w:left="-105" w:leftChars="0" w:right="-105" w:rightChars="0"/>
              <w:jc w:val="center"/>
              <w:rPr>
                <w:rFonts w:hint="default"/>
                <w:lang w:val="en-US" w:eastAsia="zh-CN"/>
              </w:rPr>
            </w:pPr>
            <w:r>
              <w:rPr>
                <w:rFonts w:hint="eastAsia"/>
                <w:lang w:val="en-US" w:eastAsia="zh-CN"/>
              </w:rPr>
              <w:t>英国雷迪，RD8200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240" w:lineRule="exact"/>
              <w:ind w:left="-105" w:leftChars="0" w:right="-105" w:rightChars="0"/>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5</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40" w:lineRule="exact"/>
              <w:ind w:left="-105" w:leftChars="0" w:right="-105" w:rightChars="0"/>
              <w:jc w:val="center"/>
              <w:rPr>
                <w:rFonts w:hint="eastAsia"/>
                <w:lang w:val="en-US" w:eastAsia="zh-CN"/>
              </w:rPr>
            </w:pPr>
            <w:r>
              <w:rPr>
                <w:rFonts w:hint="eastAsia"/>
                <w:lang w:val="en-US" w:eastAsia="zh-CN"/>
              </w:rPr>
              <w:t>测深仪</w:t>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240" w:lineRule="exact"/>
              <w:ind w:left="-105" w:leftChars="0" w:right="-105" w:rightChars="0"/>
              <w:jc w:val="center"/>
              <w:rPr>
                <w:rFonts w:hint="eastAsia"/>
                <w:lang w:val="en-US" w:eastAsia="zh-CN"/>
              </w:rPr>
            </w:pPr>
            <w:r>
              <w:rPr>
                <w:rFonts w:hint="eastAsia"/>
                <w:lang w:val="en-US" w:eastAsia="zh-CN"/>
              </w:rPr>
              <w:t>华测，D230</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240" w:lineRule="exact"/>
              <w:ind w:left="-105" w:leftChars="0" w:right="-105" w:rightChars="0"/>
              <w:jc w:val="center"/>
              <w:rPr>
                <w:rFonts w:hint="eastAsia"/>
                <w:lang w:val="en-US" w:eastAsia="zh-CN"/>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348" w:type="dxa"/>
            <w:tcBorders>
              <w:top w:val="single" w:color="auto" w:sz="4" w:space="0"/>
              <w:left w:val="single" w:color="auto" w:sz="4" w:space="0"/>
              <w:bottom w:val="single" w:color="auto" w:sz="4" w:space="0"/>
              <w:right w:val="single" w:color="auto" w:sz="4" w:space="0"/>
            </w:tcBorders>
            <w:noWrap w:val="0"/>
            <w:vAlign w:val="center"/>
          </w:tcPr>
          <w:p>
            <w:pPr>
              <w:rPr>
                <w:sz w:val="24"/>
              </w:rPr>
            </w:pPr>
          </w:p>
        </w:tc>
        <w:tc>
          <w:tcPr>
            <w:tcW w:w="5703" w:type="dxa"/>
            <w:tcBorders>
              <w:top w:val="single" w:color="auto" w:sz="4" w:space="0"/>
              <w:left w:val="single" w:color="auto" w:sz="4" w:space="0"/>
              <w:bottom w:val="single" w:color="auto" w:sz="4" w:space="0"/>
              <w:right w:val="single" w:color="auto" w:sz="4" w:space="0"/>
            </w:tcBorders>
            <w:noWrap w:val="0"/>
            <w:vAlign w:val="top"/>
          </w:tcPr>
          <w:p>
            <w:pPr>
              <w:rPr>
                <w:sz w:val="24"/>
              </w:rPr>
            </w:pPr>
          </w:p>
        </w:tc>
        <w:tc>
          <w:tcPr>
            <w:tcW w:w="1256" w:type="dxa"/>
            <w:tcBorders>
              <w:top w:val="single" w:color="auto" w:sz="4" w:space="0"/>
              <w:left w:val="single" w:color="auto" w:sz="4" w:space="0"/>
              <w:bottom w:val="single" w:color="auto" w:sz="4" w:space="0"/>
              <w:right w:val="single" w:color="auto" w:sz="4" w:space="0"/>
            </w:tcBorders>
            <w:noWrap w:val="0"/>
            <w:vAlign w:val="top"/>
          </w:tcPr>
          <w:p>
            <w:pPr>
              <w:rPr>
                <w:sz w:val="24"/>
              </w:rPr>
            </w:pPr>
          </w:p>
        </w:tc>
      </w:tr>
    </w:tbl>
    <w:p/>
    <w:p>
      <w:pPr>
        <w:jc w:val="center"/>
        <w:rPr>
          <w:b/>
          <w:sz w:val="44"/>
          <w:szCs w:val="44"/>
        </w:rPr>
      </w:pPr>
    </w:p>
    <w:p>
      <w:pPr>
        <w:jc w:val="center"/>
        <w:rPr>
          <w:b/>
          <w:sz w:val="44"/>
          <w:szCs w:val="44"/>
        </w:rPr>
      </w:pPr>
    </w:p>
    <w:p>
      <w:pPr>
        <w:jc w:val="center"/>
        <w:rPr>
          <w:b/>
          <w:sz w:val="44"/>
          <w:szCs w:val="44"/>
        </w:rPr>
      </w:pPr>
    </w:p>
    <w:p>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2761"/>
        <w:gridCol w:w="5879"/>
        <w:gridCol w:w="837"/>
        <w:gridCol w:w="1143"/>
        <w:gridCol w:w="1583"/>
        <w:gridCol w:w="1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1" w:hRule="exact"/>
        </w:trPr>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项目名称</w:t>
            </w:r>
          </w:p>
        </w:tc>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基本情况（项目地点、作业内容等）</w:t>
            </w:r>
          </w:p>
        </w:tc>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bidi="ar"/>
              </w:rPr>
              <w:t>所属专业类别</w:t>
            </w:r>
          </w:p>
        </w:tc>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4" w:hRule="exact"/>
        </w:trPr>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ascii="Calibri" w:hAnsi="Calibri" w:eastAsia="宋体" w:cs="Times New Roman"/>
                <w:kern w:val="2"/>
                <w:sz w:val="21"/>
                <w:szCs w:val="24"/>
                <w:lang w:val="en-US" w:eastAsia="zh-CN" w:bidi="ar-SA"/>
              </w:rPr>
            </w:pPr>
            <w:r>
              <w:rPr>
                <w:rFonts w:hint="eastAsia" w:ascii="等线" w:hAnsi="等线" w:eastAsia="等线" w:cs="等线"/>
                <w:i w:val="0"/>
                <w:iCs w:val="0"/>
                <w:color w:val="000000"/>
                <w:kern w:val="0"/>
                <w:sz w:val="24"/>
                <w:szCs w:val="24"/>
                <w:u w:val="none"/>
                <w:lang w:val="en-US" w:eastAsia="zh-CN" w:bidi="ar"/>
              </w:rPr>
              <w:t>汕头市澄海区百二两小学操场改造测绘</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项目位于汕头市澄海区凤翔街道，主要工作为对白二两小学操场进行现状测绘，完成工作内容有：①完成控制点布设3个、②完成 1:500 地形图测绘共7109平方米</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工程测量</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0.752</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2024.03.15</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bCs/>
              </w:rPr>
            </w:pPr>
            <w:r>
              <w:rPr>
                <w:rFonts w:hint="eastAsia" w:ascii="等线" w:hAnsi="等线" w:eastAsia="等线" w:cs="等线"/>
                <w:i w:val="0"/>
                <w:iCs w:val="0"/>
                <w:color w:val="000000"/>
                <w:kern w:val="0"/>
                <w:sz w:val="24"/>
                <w:szCs w:val="24"/>
                <w:u w:val="none"/>
                <w:lang w:val="en-US" w:eastAsia="zh-CN" w:bidi="ar"/>
              </w:rPr>
              <w:t>汕头市澄海区百二两小学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8" w:hRule="exact"/>
        </w:trPr>
        <w:tc>
          <w:tcPr>
            <w:tcW w:w="0" w:type="auto"/>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宋体"/>
                <w:lang w:val="en-US" w:eastAsia="zh-CN"/>
              </w:rPr>
            </w:pPr>
            <w:r>
              <w:rPr>
                <w:rFonts w:hint="eastAsia"/>
                <w:lang w:val="en-US" w:eastAsia="zh-CN"/>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ascii="Calibri" w:hAnsi="Calibri" w:eastAsia="宋体" w:cs="Times New Roman"/>
                <w:kern w:val="2"/>
                <w:sz w:val="21"/>
                <w:szCs w:val="24"/>
                <w:lang w:val="en-US" w:eastAsia="zh-CN" w:bidi="ar-SA"/>
              </w:rPr>
            </w:pPr>
            <w:r>
              <w:rPr>
                <w:rFonts w:hint="eastAsia" w:ascii="等线" w:hAnsi="等线" w:eastAsia="等线" w:cs="等线"/>
                <w:i w:val="0"/>
                <w:iCs w:val="0"/>
                <w:color w:val="000000"/>
                <w:kern w:val="0"/>
                <w:sz w:val="24"/>
                <w:szCs w:val="24"/>
                <w:u w:val="none"/>
                <w:lang w:val="en-US" w:eastAsia="zh-CN" w:bidi="ar"/>
              </w:rPr>
              <w:t>汕头市澄海洁源垃圾发电厂有限公司—三期扩建污泥项目配套设施工程项目定桩和现状测绘</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项目位于汕头市澄海区溪南镇，主要工作为对三期扩建污泥项目配套设施工程项目进行现状测绘，完成工作内容有：①完成控制点布设4个、②完成 1:500 地形图测绘共32078平方米</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工程测量</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3.8</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2025.03.24</w:t>
            </w:r>
          </w:p>
        </w:tc>
        <w:tc>
          <w:tcPr>
            <w:tcW w:w="0" w:type="auto"/>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bCs/>
              </w:rPr>
            </w:pPr>
            <w:r>
              <w:rPr>
                <w:rFonts w:hint="eastAsia" w:ascii="等线" w:hAnsi="等线" w:eastAsia="等线" w:cs="等线"/>
                <w:i w:val="0"/>
                <w:iCs w:val="0"/>
                <w:color w:val="000000"/>
                <w:kern w:val="0"/>
                <w:sz w:val="24"/>
                <w:szCs w:val="24"/>
                <w:u w:val="none"/>
                <w:lang w:val="en-US" w:eastAsia="zh-CN" w:bidi="ar"/>
              </w:rPr>
              <w:t>汕头市澄海洁源垃圾发电厂有限公司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78" w:hRule="exact"/>
        </w:trPr>
        <w:tc>
          <w:tcPr>
            <w:tcW w:w="0" w:type="auto"/>
          </w:tcPr>
          <w:p>
            <w:pPr>
              <w:jc w:val="center"/>
              <w:rPr>
                <w:rFonts w:hint="eastAsia" w:eastAsia="宋体"/>
                <w:lang w:val="en-US" w:eastAsia="zh-CN"/>
              </w:rPr>
            </w:pPr>
            <w:r>
              <w:rPr>
                <w:rFonts w:hint="eastAsia"/>
                <w:lang w:val="en-US" w:eastAsia="zh-CN"/>
              </w:rPr>
              <w:t>3</w:t>
            </w:r>
          </w:p>
        </w:tc>
        <w:tc>
          <w:tcPr>
            <w:tcW w:w="0" w:type="auto"/>
            <w:shd w:val="clear" w:color="auto" w:fill="auto"/>
            <w:vAlign w:val="center"/>
          </w:tcPr>
          <w:p>
            <w:pPr>
              <w:keepNext w:val="0"/>
              <w:keepLines w:val="0"/>
              <w:widowControl/>
              <w:suppressLineNumbers w:val="0"/>
              <w:jc w:val="center"/>
              <w:textAlignment w:val="center"/>
              <w:rPr>
                <w:rFonts w:ascii="Calibri" w:hAnsi="Calibri" w:eastAsia="宋体" w:cs="Times New Roman"/>
                <w:kern w:val="2"/>
                <w:sz w:val="21"/>
                <w:szCs w:val="24"/>
                <w:lang w:val="en-US" w:eastAsia="zh-CN" w:bidi="ar-SA"/>
              </w:rPr>
            </w:pPr>
            <w:r>
              <w:rPr>
                <w:rFonts w:hint="eastAsia" w:ascii="等线" w:hAnsi="等线" w:eastAsia="等线" w:cs="等线"/>
                <w:i w:val="0"/>
                <w:iCs w:val="0"/>
                <w:color w:val="000000"/>
                <w:kern w:val="0"/>
                <w:sz w:val="24"/>
                <w:szCs w:val="24"/>
                <w:u w:val="none"/>
                <w:lang w:val="en-US" w:eastAsia="zh-CN" w:bidi="ar"/>
              </w:rPr>
              <w:t>金狮路（国道324线—南涂线）建设工程项目现状及定桩测量</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项目位于汕头市澄海区莲上镇，主要工作为对金狮路项目进行现状测绘，完成工作内容有：①完成控制点布设8个、②完成 1:500 地形图测绘共77701平方米、③完成定桩测量254个点</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工程测量</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16</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2025.07.20</w:t>
            </w:r>
          </w:p>
        </w:tc>
        <w:tc>
          <w:tcPr>
            <w:tcW w:w="0" w:type="auto"/>
            <w:vAlign w:val="center"/>
          </w:tcPr>
          <w:p>
            <w:pPr>
              <w:keepNext w:val="0"/>
              <w:keepLines w:val="0"/>
              <w:widowControl/>
              <w:suppressLineNumbers w:val="0"/>
              <w:jc w:val="center"/>
              <w:textAlignment w:val="center"/>
              <w:rPr>
                <w:bCs/>
              </w:rPr>
            </w:pPr>
            <w:r>
              <w:rPr>
                <w:rFonts w:hint="eastAsia" w:ascii="等线" w:hAnsi="等线" w:eastAsia="等线" w:cs="等线"/>
                <w:i w:val="0"/>
                <w:iCs w:val="0"/>
                <w:color w:val="000000"/>
                <w:kern w:val="0"/>
                <w:sz w:val="24"/>
                <w:szCs w:val="24"/>
                <w:u w:val="none"/>
                <w:lang w:val="en-US" w:eastAsia="zh-CN" w:bidi="ar"/>
              </w:rPr>
              <w:t>汕头市澄海区莲上镇人民政府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1" w:hRule="exact"/>
        </w:trPr>
        <w:tc>
          <w:tcPr>
            <w:tcW w:w="0" w:type="auto"/>
          </w:tcPr>
          <w:p>
            <w:pPr>
              <w:jc w:val="center"/>
              <w:rPr>
                <w:rFonts w:hint="eastAsia" w:eastAsia="宋体"/>
                <w:lang w:val="en-US" w:eastAsia="zh-CN"/>
              </w:rPr>
            </w:pPr>
            <w:r>
              <w:rPr>
                <w:rFonts w:hint="eastAsia"/>
                <w:lang w:val="en-US" w:eastAsia="zh-CN"/>
              </w:rPr>
              <w:t>4</w:t>
            </w:r>
          </w:p>
        </w:tc>
        <w:tc>
          <w:tcPr>
            <w:tcW w:w="0" w:type="auto"/>
            <w:shd w:val="clear" w:color="auto" w:fill="auto"/>
            <w:vAlign w:val="center"/>
          </w:tcPr>
          <w:p>
            <w:pPr>
              <w:keepNext w:val="0"/>
              <w:keepLines w:val="0"/>
              <w:widowControl/>
              <w:suppressLineNumbers w:val="0"/>
              <w:jc w:val="center"/>
              <w:textAlignment w:val="center"/>
              <w:rPr>
                <w:rFonts w:ascii="Calibri" w:hAnsi="Calibri" w:eastAsia="宋体" w:cs="Times New Roman"/>
                <w:kern w:val="2"/>
                <w:sz w:val="21"/>
                <w:szCs w:val="24"/>
                <w:lang w:val="en-US" w:eastAsia="zh-CN" w:bidi="ar-SA"/>
              </w:rPr>
            </w:pPr>
            <w:r>
              <w:rPr>
                <w:rFonts w:hint="eastAsia" w:ascii="等线" w:hAnsi="等线" w:eastAsia="等线" w:cs="等线"/>
                <w:i w:val="0"/>
                <w:iCs w:val="0"/>
                <w:color w:val="000000"/>
                <w:kern w:val="0"/>
                <w:sz w:val="24"/>
                <w:szCs w:val="24"/>
                <w:u w:val="none"/>
                <w:lang w:val="en-US" w:eastAsia="zh-CN" w:bidi="ar"/>
              </w:rPr>
              <w:t>汕头市科露雅香料实业有限公司生产厂房扩建项目（一期）测绘</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项目位于汕头市金平区揭阳路32号，主要工作为项目进行房产测绘，完成工作内容有：①完成1栋面积约1400平方米的建筑物房产测绘、②完成 1:500 地形图测绘共77701平方米、③完成定桩测量254个点</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界线与不动产测绘</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2</w:t>
            </w:r>
          </w:p>
        </w:tc>
        <w:tc>
          <w:tcPr>
            <w:tcW w:w="0" w:type="auto"/>
            <w:vAlign w:val="center"/>
          </w:tcPr>
          <w:p>
            <w:pPr>
              <w:keepNext w:val="0"/>
              <w:keepLines w:val="0"/>
              <w:widowControl/>
              <w:suppressLineNumbers w:val="0"/>
              <w:jc w:val="center"/>
              <w:textAlignment w:val="center"/>
            </w:pPr>
            <w:r>
              <w:rPr>
                <w:rFonts w:hint="eastAsia" w:ascii="等线" w:hAnsi="等线" w:eastAsia="等线" w:cs="等线"/>
                <w:i w:val="0"/>
                <w:iCs w:val="0"/>
                <w:color w:val="000000"/>
                <w:kern w:val="0"/>
                <w:sz w:val="24"/>
                <w:szCs w:val="24"/>
                <w:u w:val="none"/>
                <w:lang w:val="en-US" w:eastAsia="zh-CN" w:bidi="ar"/>
              </w:rPr>
              <w:t>2023.08.25</w:t>
            </w:r>
          </w:p>
        </w:tc>
        <w:tc>
          <w:tcPr>
            <w:tcW w:w="0" w:type="auto"/>
            <w:vAlign w:val="center"/>
          </w:tcPr>
          <w:p>
            <w:pPr>
              <w:keepNext w:val="0"/>
              <w:keepLines w:val="0"/>
              <w:widowControl/>
              <w:suppressLineNumbers w:val="0"/>
              <w:jc w:val="center"/>
              <w:textAlignment w:val="center"/>
              <w:rPr>
                <w:bCs/>
              </w:rPr>
            </w:pPr>
            <w:r>
              <w:rPr>
                <w:rFonts w:hint="eastAsia" w:ascii="等线" w:hAnsi="等线" w:eastAsia="等线" w:cs="等线"/>
                <w:i w:val="0"/>
                <w:iCs w:val="0"/>
                <w:color w:val="000000"/>
                <w:kern w:val="0"/>
                <w:sz w:val="24"/>
                <w:szCs w:val="24"/>
                <w:u w:val="none"/>
                <w:lang w:val="en-US" w:eastAsia="zh-CN" w:bidi="ar"/>
              </w:rPr>
              <w:t>汕头市科露雅香料实业有限公司</w:t>
            </w:r>
          </w:p>
        </w:tc>
      </w:tr>
    </w:tbl>
    <w:p/>
    <w:p>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bCs/>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eastAsia="宋体" w:cs="仿宋_GB2312"/>
                <w:kern w:val="0"/>
                <w:sz w:val="24"/>
                <w:lang w:val="en-US" w:eastAsia="zh-CN"/>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sz w:val="24"/>
                <w:lang w:val="en-US" w:eastAsia="zh-CN"/>
              </w:rPr>
              <w:t>符合</w:t>
            </w:r>
          </w:p>
        </w:tc>
      </w:tr>
    </w:tbl>
    <w:p>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400001FF" w:csb1="FFFF0000"/>
  </w:font>
  <w:font w:name="方正黑体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宋体-PUA">
    <w:altName w:val="方正书宋_GBK"/>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15BF2E27"/>
    <w:rsid w:val="1B8B54D3"/>
    <w:rsid w:val="219C5FB5"/>
    <w:rsid w:val="27A154D3"/>
    <w:rsid w:val="2C31106C"/>
    <w:rsid w:val="2D731577"/>
    <w:rsid w:val="2DA059AB"/>
    <w:rsid w:val="2F53368A"/>
    <w:rsid w:val="34F34E4B"/>
    <w:rsid w:val="355359F9"/>
    <w:rsid w:val="3B4D02DD"/>
    <w:rsid w:val="3F924E0B"/>
    <w:rsid w:val="41ED15AE"/>
    <w:rsid w:val="452E7C4D"/>
    <w:rsid w:val="52943CCE"/>
    <w:rsid w:val="63EE35D2"/>
    <w:rsid w:val="664F5A30"/>
    <w:rsid w:val="789A32FC"/>
    <w:rsid w:val="79FDCBBF"/>
    <w:rsid w:val="7DEC10E4"/>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2454</Words>
  <Characters>2634</Characters>
  <Lines>0</Lines>
  <Paragraphs>0</Paragraphs>
  <TotalTime>10</TotalTime>
  <ScaleCrop>false</ScaleCrop>
  <LinksUpToDate>false</LinksUpToDate>
  <CharactersWithSpaces>2652</CharactersWithSpaces>
  <Application>WPS Office_11.8.2.12291_F1E327BC-269C-435d-A152-05C5408002CA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2026-05-10T03:14:00Z</dcterms:created>
  <dc:creator>USER</dc:creator>
  <cp:lastModifiedBy>chk</cp:lastModifiedBy>
  <dcterms:modified xsi:type="dcterms:W3CDTF">2026-10-22T10:19:51Z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2052-11.8.2.12291</vt:lpwstr>
  </property>
  <property fmtid="{D5CDD505-2E9C-101B-9397-08002B2CF9AE}" pid="3" name="ICV">
    <vt:lpwstr>5D245C3B75A318C2C772D96A4B6C5D91</vt:lpwstr>
  </property>
  <property fmtid="{D5CDD505-2E9C-101B-9397-08002B2CF9AE}" pid="4" name="KSOTemplateDocerSaveRecord">
    <vt:lpwstr>eyJoZGlkIjoiZjgxNmY4OTIxZWQ2MzVhZGJjMTNkZTc0YTM4NWVhY2YiLCJ1c2VySWQiOiIxMzc0NDI4NDkwNDEifQ==</vt:lpwstr>
  </property>
</Properties>
</file>