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eastAsia" w:ascii="方正小标宋简体" w:eastAsia="方正小标宋简体" w:cs="Times New Roman"/>
          <w:color w:val="auto"/>
          <w:sz w:val="40"/>
          <w:szCs w:val="40"/>
          <w:lang w:val="en-US" w:eastAsia="zh-CN" w:bidi="ar-SA"/>
        </w:rPr>
      </w:pPr>
      <w:r>
        <w:rPr>
          <w:rFonts w:hint="eastAsia" w:ascii="黑体" w:hAnsi="黑体" w:eastAsia="黑体" w:cs="黑体"/>
          <w:color w:val="auto"/>
          <w:sz w:val="32"/>
          <w:szCs w:val="32"/>
          <w:lang w:eastAsia="zh-CN" w:bidi="ar-SA"/>
        </w:rPr>
        <w:t>附件</w:t>
      </w:r>
      <w:r>
        <w:rPr>
          <w:rFonts w:hint="eastAsia" w:ascii="方正小标宋简体" w:eastAsia="方正小标宋简体" w:cs="Times New Roman"/>
          <w:color w:val="auto"/>
          <w:sz w:val="40"/>
          <w:szCs w:val="40"/>
          <w:lang w:val="en-US" w:eastAsia="zh-CN" w:bidi="ar-SA"/>
        </w:rPr>
        <w:t xml:space="preserve">   </w:t>
      </w:r>
    </w:p>
    <w:p>
      <w:pPr>
        <w:pStyle w:val="2"/>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方正小标宋简体" w:hAnsi="Times New Roman" w:eastAsia="方正小标宋简体" w:cs="Times New Roman"/>
          <w:color w:val="auto"/>
          <w:sz w:val="44"/>
          <w:szCs w:val="44"/>
          <w:lang w:val="en-US" w:eastAsia="zh-CN" w:bidi="ar-SA"/>
        </w:rPr>
      </w:pPr>
      <w:r>
        <w:rPr>
          <w:rFonts w:hint="default" w:ascii="方正小标宋简体" w:eastAsia="方正小标宋简体" w:cs="Times New Roman"/>
          <w:color w:val="auto"/>
          <w:sz w:val="44"/>
          <w:szCs w:val="44"/>
          <w:lang w:eastAsia="zh-CN" w:bidi="ar-SA"/>
        </w:rPr>
        <w:t>公开</w:t>
      </w:r>
      <w:r>
        <w:rPr>
          <w:rFonts w:hint="eastAsia" w:ascii="方正小标宋简体" w:eastAsia="方正小标宋简体" w:cs="Times New Roman"/>
          <w:color w:val="auto"/>
          <w:sz w:val="44"/>
          <w:szCs w:val="44"/>
          <w:lang w:val="en-US" w:eastAsia="zh-CN" w:bidi="ar-SA"/>
        </w:rPr>
        <w:t>征集</w:t>
      </w:r>
      <w:r>
        <w:rPr>
          <w:rFonts w:hint="default" w:ascii="方正小标宋简体" w:eastAsia="方正小标宋简体" w:cs="Times New Roman"/>
          <w:color w:val="auto"/>
          <w:sz w:val="44"/>
          <w:szCs w:val="44"/>
          <w:lang w:eastAsia="zh-CN" w:bidi="ar-SA"/>
        </w:rPr>
        <w:t>意见采纳情况表</w:t>
      </w:r>
    </w:p>
    <w:tbl>
      <w:tblPr>
        <w:tblStyle w:val="4"/>
        <w:tblW w:w="14327"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5"/>
        <w:gridCol w:w="1699"/>
        <w:gridCol w:w="8310"/>
        <w:gridCol w:w="34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trPr>
        <w:tc>
          <w:tcPr>
            <w:tcW w:w="865"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黑体" w:hAnsi="黑体" w:eastAsia="黑体" w:cs="黑体"/>
                <w:b w:val="0"/>
                <w:bCs/>
                <w:sz w:val="28"/>
                <w:szCs w:val="28"/>
                <w:lang w:val="en-US" w:eastAsia="zh-CN"/>
              </w:rPr>
            </w:pPr>
            <w:r>
              <w:rPr>
                <w:rFonts w:hint="eastAsia" w:ascii="黑体" w:hAnsi="黑体" w:eastAsia="黑体" w:cs="黑体"/>
                <w:b w:val="0"/>
                <w:bCs/>
                <w:sz w:val="28"/>
                <w:szCs w:val="28"/>
                <w:lang w:val="en-US" w:eastAsia="zh-CN"/>
              </w:rPr>
              <w:t>序号</w:t>
            </w:r>
          </w:p>
        </w:tc>
        <w:tc>
          <w:tcPr>
            <w:tcW w:w="1699"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Chars="0" w:firstLine="0" w:firstLineChars="0"/>
              <w:jc w:val="center"/>
              <w:textAlignment w:val="auto"/>
              <w:rPr>
                <w:rFonts w:hint="eastAsia" w:ascii="黑体" w:hAnsi="黑体" w:eastAsia="黑体" w:cs="黑体"/>
                <w:b w:val="0"/>
                <w:bCs/>
                <w:sz w:val="28"/>
                <w:szCs w:val="28"/>
                <w:lang w:val="en-US" w:eastAsia="zh-CN"/>
              </w:rPr>
            </w:pPr>
            <w:r>
              <w:rPr>
                <w:rFonts w:hint="eastAsia" w:ascii="黑体" w:hAnsi="黑体" w:eastAsia="黑体" w:cs="黑体"/>
                <w:b w:val="0"/>
                <w:bCs/>
                <w:sz w:val="28"/>
                <w:szCs w:val="28"/>
                <w:lang w:val="en-US" w:eastAsia="zh-CN"/>
              </w:rPr>
              <w:t xml:space="preserve"> 意见来源</w:t>
            </w:r>
          </w:p>
        </w:tc>
        <w:tc>
          <w:tcPr>
            <w:tcW w:w="8310"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Chars="0" w:firstLine="0" w:firstLineChars="0"/>
              <w:jc w:val="center"/>
              <w:textAlignment w:val="auto"/>
              <w:rPr>
                <w:rFonts w:hint="eastAsia" w:ascii="黑体" w:hAnsi="黑体" w:eastAsia="黑体" w:cs="黑体"/>
                <w:b w:val="0"/>
                <w:bCs/>
                <w:sz w:val="28"/>
                <w:szCs w:val="28"/>
                <w:lang w:val="en-US" w:eastAsia="zh-CN"/>
              </w:rPr>
            </w:pPr>
            <w:r>
              <w:rPr>
                <w:rFonts w:hint="eastAsia" w:ascii="黑体" w:hAnsi="黑体" w:eastAsia="黑体" w:cs="黑体"/>
                <w:b w:val="0"/>
                <w:bCs/>
                <w:sz w:val="28"/>
                <w:szCs w:val="28"/>
                <w:lang w:val="en-US" w:eastAsia="zh-CN"/>
              </w:rPr>
              <w:t xml:space="preserve"> 主要意见</w:t>
            </w:r>
          </w:p>
        </w:tc>
        <w:tc>
          <w:tcPr>
            <w:tcW w:w="3453"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Chars="0" w:firstLine="0" w:firstLineChars="0"/>
              <w:jc w:val="center"/>
              <w:textAlignment w:val="auto"/>
              <w:rPr>
                <w:rFonts w:hint="eastAsia" w:ascii="黑体" w:hAnsi="黑体" w:eastAsia="黑体" w:cs="黑体"/>
                <w:b w:val="0"/>
                <w:bCs/>
                <w:sz w:val="28"/>
                <w:szCs w:val="28"/>
                <w:lang w:val="en-US" w:eastAsia="zh-CN"/>
              </w:rPr>
            </w:pPr>
            <w:r>
              <w:rPr>
                <w:rFonts w:hint="eastAsia" w:ascii="黑体" w:hAnsi="黑体" w:eastAsia="黑体" w:cs="黑体"/>
                <w:b w:val="0"/>
                <w:bCs/>
                <w:sz w:val="28"/>
                <w:szCs w:val="28"/>
                <w:lang w:val="en-US" w:eastAsia="zh-CN"/>
              </w:rPr>
              <w:t xml:space="preserve"> 采纳情况及说明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8" w:hRule="atLeast"/>
        </w:trPr>
        <w:tc>
          <w:tcPr>
            <w:tcW w:w="865"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w:t>
            </w:r>
          </w:p>
        </w:tc>
        <w:tc>
          <w:tcPr>
            <w:tcW w:w="1699"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电子邮件</w:t>
            </w:r>
          </w:p>
        </w:tc>
        <w:tc>
          <w:tcPr>
            <w:tcW w:w="8310"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right="0" w:rightChars="0" w:firstLine="560" w:firstLineChars="200"/>
              <w:jc w:val="left"/>
              <w:textAlignment w:val="auto"/>
              <w:outlineLvl w:val="9"/>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建议第十条修改为：本经济特区建立完善群众参与和部门联动的车辆停放管理执法机制。由公安机关交通管理部门牵头，组织城市管理和综合执法、住房和城乡建设、消防救援等部门，会同镇人民政府（街道办事处）及社区建立完善执法协作的网格化工作机制。充分发动社会群众参与监督，依托群众举报形成强大震慑效应，鼓励群众举报车辆违规停放行为。建立违法停车举报奖励制度，群众提交的违法停放照片、视频等材料经查证属实的，可以作为处罚证据，并按规定给予举报人奖励。</w:t>
            </w:r>
          </w:p>
        </w:tc>
        <w:tc>
          <w:tcPr>
            <w:tcW w:w="3453"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left"/>
              <w:textAlignment w:val="auto"/>
              <w:outlineLvl w:val="9"/>
              <w:rPr>
                <w:rFonts w:hint="eastAsia" w:ascii="仿宋" w:hAnsi="仿宋" w:eastAsia="仿宋" w:cs="仿宋"/>
                <w:color w:val="auto"/>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left"/>
              <w:textAlignment w:val="auto"/>
              <w:outlineLvl w:val="9"/>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不采纳。具体的实施规定不在本决定中详细表述，本决定主要是理顺各部门管理职责和执法权责。</w:t>
            </w:r>
            <w:bookmarkStart w:id="0" w:name="_GoBack"/>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8" w:hRule="atLeast"/>
        </w:trPr>
        <w:tc>
          <w:tcPr>
            <w:tcW w:w="865"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w:t>
            </w:r>
          </w:p>
        </w:tc>
        <w:tc>
          <w:tcPr>
            <w:tcW w:w="1699"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电子邮件</w:t>
            </w:r>
          </w:p>
        </w:tc>
        <w:tc>
          <w:tcPr>
            <w:tcW w:w="8310"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right="0" w:rightChars="0" w:firstLine="560" w:firstLineChars="200"/>
              <w:jc w:val="left"/>
              <w:textAlignment w:val="auto"/>
              <w:outlineLvl w:val="9"/>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各个城市都有人民群众，举报违停或者是高速公路占用应急车道的一个随手拍小程序，建议在加上这一个。像一些城市他们的交通违停，随手拍会有一些奖励措施，这个就看怎么制定了。这个奖励措施可以没有，可以有。主要是建议将市民随手拍小程序也加入到这个里面。</w:t>
            </w:r>
          </w:p>
        </w:tc>
        <w:tc>
          <w:tcPr>
            <w:tcW w:w="3453"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left"/>
              <w:textAlignment w:val="auto"/>
              <w:outlineLvl w:val="9"/>
              <w:rPr>
                <w:rFonts w:hint="eastAsia" w:ascii="仿宋" w:hAnsi="仿宋" w:eastAsia="仿宋" w:cs="仿宋"/>
                <w:color w:val="auto"/>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left"/>
              <w:textAlignment w:val="auto"/>
              <w:outlineLvl w:val="9"/>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不采纳。该意见没有对《关于加强车辆停放秩序规范化管理的决定（草案征求意见稿）》提出具体修改建议。</w:t>
            </w:r>
          </w:p>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left"/>
              <w:textAlignment w:val="auto"/>
              <w:outlineLvl w:val="9"/>
              <w:rPr>
                <w:rFonts w:hint="default" w:ascii="仿宋" w:hAnsi="仿宋" w:eastAsia="仿宋" w:cs="仿宋"/>
                <w:color w:val="auto"/>
                <w:sz w:val="28"/>
                <w:szCs w:val="2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8" w:hRule="atLeast"/>
        </w:trPr>
        <w:tc>
          <w:tcPr>
            <w:tcW w:w="865"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3</w:t>
            </w:r>
          </w:p>
        </w:tc>
        <w:tc>
          <w:tcPr>
            <w:tcW w:w="1699"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电子邮件</w:t>
            </w:r>
          </w:p>
        </w:tc>
        <w:tc>
          <w:tcPr>
            <w:tcW w:w="8310"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right="0" w:rightChars="0" w:firstLine="560" w:firstLineChars="200"/>
              <w:jc w:val="left"/>
              <w:textAlignment w:val="auto"/>
              <w:outlineLvl w:val="9"/>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广厦怀英花园是较老式的建筑，园内规划停车位有限，而且人口密度大，汽车保有量多，导致很多周边车主只能停小区周边路边划线的车位，因都是工薪阶层，都是没有自己的车位，甚至想租都租不到。周边智慧停车收费太高。</w:t>
            </w:r>
          </w:p>
        </w:tc>
        <w:tc>
          <w:tcPr>
            <w:tcW w:w="3453"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left"/>
              <w:textAlignment w:val="auto"/>
              <w:outlineLvl w:val="9"/>
              <w:rPr>
                <w:rFonts w:hint="eastAsia" w:ascii="仿宋" w:hAnsi="仿宋" w:eastAsia="仿宋" w:cs="仿宋"/>
                <w:color w:val="auto"/>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left"/>
              <w:textAlignment w:val="auto"/>
              <w:outlineLvl w:val="9"/>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不采纳。该意见没有对《关于加强车辆停放秩序规范化管理的决定（草案征求意见稿）》提出具体修改建议。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8" w:hRule="atLeast"/>
        </w:trPr>
        <w:tc>
          <w:tcPr>
            <w:tcW w:w="865"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4</w:t>
            </w:r>
          </w:p>
        </w:tc>
        <w:tc>
          <w:tcPr>
            <w:tcW w:w="1699"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电子邮件</w:t>
            </w:r>
          </w:p>
        </w:tc>
        <w:tc>
          <w:tcPr>
            <w:tcW w:w="8310"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right="0" w:rightChars="0"/>
              <w:jc w:val="left"/>
              <w:textAlignment w:val="auto"/>
              <w:outlineLvl w:val="9"/>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一、建议建立“随手拍”举报机制，并严格保护举报者隐私。</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right="0" w:rightChars="0"/>
              <w:jc w:val="left"/>
              <w:textAlignment w:val="auto"/>
              <w:outlineLvl w:val="9"/>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二、建议大幅提高违停罚款金额，实行“分路段、分情形”差异化处罚。《决定（草案）》目前沿用的处罚标准较低（印象中目前汕头违停处罚仅为200元），建议参照《深圳经济特区道路交通安全违法行为处罚条例》第十二条规定，对违停行为实行分级处罚，提高违法成本。</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right="0" w:rightChars="0"/>
              <w:jc w:val="left"/>
              <w:textAlignment w:val="auto"/>
              <w:outlineLvl w:val="9"/>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三、建议合理设置夜间便民停车时段，疏堵结合解决居民区停车难</w:t>
            </w:r>
            <w:r>
              <w:rPr>
                <w:rFonts w:hint="eastAsia" w:ascii="仿宋" w:hAnsi="仿宋" w:eastAsia="仿宋" w:cs="仿宋"/>
                <w:color w:val="auto"/>
                <w:sz w:val="28"/>
                <w:szCs w:val="28"/>
                <w:lang w:val="en-US" w:eastAsia="zh-CN"/>
              </w:rPr>
              <w:br w:type="textWrapping"/>
            </w:r>
            <w:r>
              <w:rPr>
                <w:rFonts w:hint="eastAsia" w:ascii="仿宋" w:hAnsi="仿宋" w:eastAsia="仿宋" w:cs="仿宋"/>
                <w:color w:val="auto"/>
                <w:sz w:val="28"/>
                <w:szCs w:val="28"/>
                <w:lang w:val="en-US" w:eastAsia="zh-CN"/>
              </w:rPr>
              <w:t>在严管重罚的同时，也要考虑到汕头老旧小区停车资源严重不足的现实。</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right="0" w:rightChars="0"/>
              <w:jc w:val="left"/>
              <w:textAlignment w:val="auto"/>
              <w:outlineLvl w:val="9"/>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四、建议采取“先中心后外围”的渐进式实施策略。建议上述措施可以先从汕头市中心城区开始试点推行，积累经验、完善机制后，再逐步向潮阳区、潮南区、澄海区以及南澳县拓展，最终实现全市覆盖。</w:t>
            </w:r>
          </w:p>
        </w:tc>
        <w:tc>
          <w:tcPr>
            <w:tcW w:w="3453"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left"/>
              <w:textAlignment w:val="auto"/>
              <w:outlineLvl w:val="9"/>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不采纳。该意见没有对《关于加强车辆停放秩序规范化管理的决定（草案征求意见稿）》提出具体修改建议。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8" w:hRule="atLeast"/>
        </w:trPr>
        <w:tc>
          <w:tcPr>
            <w:tcW w:w="865"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5</w:t>
            </w:r>
          </w:p>
        </w:tc>
        <w:tc>
          <w:tcPr>
            <w:tcW w:w="1699"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电子邮件</w:t>
            </w:r>
          </w:p>
        </w:tc>
        <w:tc>
          <w:tcPr>
            <w:tcW w:w="8310" w:type="dxa"/>
            <w:noWrap w:val="0"/>
            <w:vAlign w:val="center"/>
          </w:tcPr>
          <w:p>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right="0" w:rightChars="0"/>
              <w:jc w:val="left"/>
              <w:textAlignment w:val="auto"/>
              <w:outlineLvl w:val="9"/>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城管无执法权，只能依托交警进行处罚。如何确保城管在处理背街小巷的违停问题上不会变成小摊贩式的游击战？在非严管道路，有10-15分钟时间挪走，那违停车辆稍微挪动下位置或者下一辆补位，是不是又变成游击战？如何使堵住道路各违停车辆能被及时处罚很重要。</w:t>
            </w:r>
            <w:r>
              <w:rPr>
                <w:rFonts w:hint="eastAsia" w:ascii="仿宋" w:hAnsi="仿宋" w:eastAsia="仿宋" w:cs="仿宋"/>
                <w:color w:val="auto"/>
                <w:sz w:val="28"/>
                <w:szCs w:val="28"/>
                <w:lang w:val="en-US" w:eastAsia="zh-CN"/>
              </w:rPr>
              <w:br w:type="textWrapping"/>
            </w:r>
            <w:r>
              <w:rPr>
                <w:rFonts w:hint="eastAsia" w:ascii="仿宋" w:hAnsi="仿宋" w:eastAsia="仿宋" w:cs="仿宋"/>
                <w:color w:val="auto"/>
                <w:sz w:val="28"/>
                <w:szCs w:val="28"/>
                <w:lang w:val="en-US" w:eastAsia="zh-CN"/>
              </w:rPr>
              <w:t>二、建议恢复交警随手拍。</w:t>
            </w:r>
            <w:r>
              <w:rPr>
                <w:rFonts w:hint="eastAsia" w:ascii="仿宋" w:hAnsi="仿宋" w:eastAsia="仿宋" w:cs="仿宋"/>
                <w:color w:val="auto"/>
                <w:sz w:val="28"/>
                <w:szCs w:val="28"/>
                <w:lang w:val="en-US" w:eastAsia="zh-CN"/>
              </w:rPr>
              <w:br w:type="textWrapping"/>
            </w:r>
            <w:r>
              <w:rPr>
                <w:rFonts w:hint="eastAsia" w:ascii="仿宋" w:hAnsi="仿宋" w:eastAsia="仿宋" w:cs="仿宋"/>
                <w:color w:val="auto"/>
                <w:sz w:val="28"/>
                <w:szCs w:val="28"/>
                <w:lang w:val="en-US" w:eastAsia="zh-CN"/>
              </w:rPr>
              <w:t>三、对于那种公然堵住背街小巷和堵住各种道路乱停车阻碍通行的，应视同严管路标准，不应该给10分钟挪车时间。</w:t>
            </w:r>
          </w:p>
        </w:tc>
        <w:tc>
          <w:tcPr>
            <w:tcW w:w="3453"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left"/>
              <w:textAlignment w:val="auto"/>
              <w:outlineLvl w:val="9"/>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不采纳。该意见没有对《关于加强车辆停放秩序规范化管理的决定（草案征求意见稿）》提出具体修改建议。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8" w:hRule="atLeast"/>
        </w:trPr>
        <w:tc>
          <w:tcPr>
            <w:tcW w:w="865"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6</w:t>
            </w:r>
          </w:p>
        </w:tc>
        <w:tc>
          <w:tcPr>
            <w:tcW w:w="1699"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电子邮件</w:t>
            </w:r>
          </w:p>
        </w:tc>
        <w:tc>
          <w:tcPr>
            <w:tcW w:w="8310" w:type="dxa"/>
            <w:noWrap w:val="0"/>
            <w:vAlign w:val="center"/>
          </w:tcPr>
          <w:p>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right="0" w:rightChars="0"/>
              <w:jc w:val="left"/>
              <w:textAlignment w:val="auto"/>
              <w:outlineLvl w:val="9"/>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第二条建议修改为：城市管理和综合执法部门应当会同公安机关交通管理、自然资源、住房和城乡建设等部门，根据道路周边停车需求、道路通行条件和承载能力以及相关设置规范，合理规划建设机动车及非机动车停车设施、施划停车泊位；编制停车设施专项规划和年度建设计划，重点补建老旧小区、无物业小区、医院、学校、市场等区域停车设施；支持利用边角地、闲置地、待建土地、空闲厂区等建设停车楼、机械式立体停车库；新建、改建立体停车设施应当同步规划建设新能源汽车充电设施、非机动车停放充电设施，并预留光伏发电安装条件。定期评估停车设施使用情况，并及时进行调整。</w:t>
            </w:r>
          </w:p>
          <w:p>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right="0" w:rightChars="0"/>
              <w:jc w:val="left"/>
              <w:textAlignment w:val="auto"/>
              <w:outlineLvl w:val="9"/>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第五条建议修改为：镇人民政府（街道办事处）负责辖区内老旧小区、无物业小区等区间道、背街小巷停车秩序综合治理，建立健全社区内交通秩序管理制度，组织基层城管执法队伍开展停车秩序治理工作。镇人民政府（街道办事处）应当组织对辖区内老旧小区、无物业小区停车资源进行逐片摸排，建立停车楼（立体停车库）选址储备库；在老旧小区改造中同步补建停车设施；指导社区居委会、业主委员会、物业服务人或者停车自治管理小组开展停车自治管理和服务工作。</w:t>
            </w:r>
          </w:p>
          <w:p>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right="0" w:rightChars="0"/>
              <w:jc w:val="left"/>
              <w:textAlignment w:val="auto"/>
              <w:outlineLvl w:val="9"/>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第七条建议增加住建部门在老旧小区改造中统筹停车设施和电动自行车集中充电场所建设，督促物业服务人不得擅自改变停车设施用途，并推动充电设施建设。</w:t>
            </w:r>
          </w:p>
          <w:p>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right="0" w:rightChars="0"/>
              <w:jc w:val="left"/>
              <w:textAlignment w:val="auto"/>
              <w:outlineLvl w:val="9"/>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第十条建议在网格化执法协作机制中，明确城市管理、公安交管、住建、消防救援、镇街之间的职责边界和案件移送时限；同时将智慧停车平台、非机动车停放区、共享单车电子围栏数据纳入“一网统管”，在“汕头智行”中增设非机动车停放区查询功能。</w:t>
            </w:r>
          </w:p>
          <w:p>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right="0" w:rightChars="0"/>
              <w:jc w:val="left"/>
              <w:textAlignment w:val="auto"/>
              <w:outlineLvl w:val="9"/>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建议新增条款。（一）关于老旧小区停车楼规划建设。建议新增条款，明确支持在老旧小区及周边利用200至500平方米的闲置厂房、边角空地、废弃花坛等建设停车楼或机械式立体停车库。（二）关于气候适配设计。建议新增条款，明确停车楼和周边道路应适配汕头多雨、台风多发气候。（三）关于人行道阻车设施和无障碍通行。（四）关于非机动车停放与充电设施。（五）关于资金筹措与收费惠民。建议新增条款：将停车楼纳入老旧小区改造完善类内容。</w:t>
            </w:r>
          </w:p>
        </w:tc>
        <w:tc>
          <w:tcPr>
            <w:tcW w:w="3453"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left"/>
              <w:textAlignment w:val="auto"/>
              <w:outlineLvl w:val="9"/>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不采纳。具体的实施规定不在本决定中详细表述，本决定主要是理顺各部门管理职责和执法权责。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8" w:hRule="atLeast"/>
        </w:trPr>
        <w:tc>
          <w:tcPr>
            <w:tcW w:w="865"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7</w:t>
            </w:r>
          </w:p>
        </w:tc>
        <w:tc>
          <w:tcPr>
            <w:tcW w:w="1699"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电子邮件</w:t>
            </w:r>
          </w:p>
        </w:tc>
        <w:tc>
          <w:tcPr>
            <w:tcW w:w="8310"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right="0" w:rightChars="0" w:firstLine="560" w:firstLineChars="200"/>
              <w:jc w:val="left"/>
              <w:textAlignment w:val="auto"/>
              <w:outlineLvl w:val="9"/>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停车看似小事，实则关乎民生尊严、群众底气。恳请相关部门优化停车治理，让老百姓真正实现车有所停、停得安心、停得有尊严、停车有底气。</w:t>
            </w:r>
          </w:p>
        </w:tc>
        <w:tc>
          <w:tcPr>
            <w:tcW w:w="3453"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left"/>
              <w:textAlignment w:val="auto"/>
              <w:outlineLvl w:val="9"/>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不采纳。该意见没有对《关于加强车辆停放秩序规范化管理的决定（草案征求意见稿）》提出具体修改建议。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8" w:hRule="atLeast"/>
        </w:trPr>
        <w:tc>
          <w:tcPr>
            <w:tcW w:w="865"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8</w:t>
            </w:r>
          </w:p>
        </w:tc>
        <w:tc>
          <w:tcPr>
            <w:tcW w:w="1699"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电子邮件</w:t>
            </w:r>
          </w:p>
        </w:tc>
        <w:tc>
          <w:tcPr>
            <w:tcW w:w="8310"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right="0" w:rightChars="0" w:firstLine="560" w:firstLineChars="200"/>
              <w:jc w:val="left"/>
              <w:textAlignment w:val="auto"/>
              <w:outlineLvl w:val="9"/>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一、由交警和住建部门牵头，对全市进行实地走访了解摸底，有条件的小区、路线实行单向行驶，这样可以增设一定数量的停车位，也可以减少由于路口多造成的拥堵。</w:t>
            </w:r>
            <w:r>
              <w:rPr>
                <w:rFonts w:hint="eastAsia" w:ascii="仿宋" w:hAnsi="仿宋" w:eastAsia="仿宋" w:cs="仿宋"/>
                <w:color w:val="auto"/>
                <w:sz w:val="28"/>
                <w:szCs w:val="28"/>
                <w:lang w:val="en-US" w:eastAsia="zh-CN"/>
              </w:rPr>
              <w:br w:type="textWrapping"/>
            </w:r>
            <w:r>
              <w:rPr>
                <w:rFonts w:hint="eastAsia" w:ascii="仿宋" w:hAnsi="仿宋" w:eastAsia="仿宋" w:cs="仿宋"/>
                <w:color w:val="auto"/>
                <w:sz w:val="28"/>
                <w:szCs w:val="28"/>
                <w:lang w:val="en-US" w:eastAsia="zh-CN"/>
              </w:rPr>
              <w:t>      二、借助人工智能，对车辆密度的的路口、路段，实行分时段按通行情况管控红绿灯或者通行速度。</w:t>
            </w:r>
            <w:r>
              <w:rPr>
                <w:rFonts w:hint="eastAsia" w:ascii="仿宋" w:hAnsi="仿宋" w:eastAsia="仿宋" w:cs="仿宋"/>
                <w:color w:val="auto"/>
                <w:sz w:val="28"/>
                <w:szCs w:val="28"/>
                <w:lang w:val="en-US" w:eastAsia="zh-CN"/>
              </w:rPr>
              <w:br w:type="textWrapping"/>
            </w:r>
            <w:r>
              <w:rPr>
                <w:rFonts w:hint="eastAsia" w:ascii="仿宋" w:hAnsi="仿宋" w:eastAsia="仿宋" w:cs="仿宋"/>
                <w:color w:val="auto"/>
                <w:sz w:val="28"/>
                <w:szCs w:val="28"/>
                <w:lang w:val="en-US" w:eastAsia="zh-CN"/>
              </w:rPr>
              <w:t>      三、“汕头智行”收费过高，建议降低收费标准。</w:t>
            </w:r>
          </w:p>
        </w:tc>
        <w:tc>
          <w:tcPr>
            <w:tcW w:w="3453"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left"/>
              <w:textAlignment w:val="auto"/>
              <w:outlineLvl w:val="9"/>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不采纳。该意见没有对《关于加强车辆停放秩序规范化管理的决定（草案征求意见稿）》提出具体修改建议。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8" w:hRule="atLeast"/>
        </w:trPr>
        <w:tc>
          <w:tcPr>
            <w:tcW w:w="865"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9</w:t>
            </w:r>
          </w:p>
        </w:tc>
        <w:tc>
          <w:tcPr>
            <w:tcW w:w="1699"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电子邮件</w:t>
            </w:r>
          </w:p>
        </w:tc>
        <w:tc>
          <w:tcPr>
            <w:tcW w:w="8310"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right="0" w:rightChars="0" w:firstLine="560" w:firstLineChars="200"/>
              <w:jc w:val="left"/>
              <w:textAlignment w:val="auto"/>
              <w:outlineLvl w:val="9"/>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有的道路人行步道较宽，及一些住宅区巷道，在不影响通行情况下，晚间应该给市民临时停车，建议严管执法多注重人性化。</w:t>
            </w:r>
          </w:p>
        </w:tc>
        <w:tc>
          <w:tcPr>
            <w:tcW w:w="3453"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left"/>
              <w:textAlignment w:val="auto"/>
              <w:outlineLvl w:val="9"/>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不采纳。该意见没有对《关于加强车辆停放秩序规范化管理的决定（草案征求意见稿）》提出具体修改建议。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8" w:hRule="atLeast"/>
        </w:trPr>
        <w:tc>
          <w:tcPr>
            <w:tcW w:w="865"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10</w:t>
            </w:r>
          </w:p>
        </w:tc>
        <w:tc>
          <w:tcPr>
            <w:tcW w:w="1699"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电子邮件</w:t>
            </w:r>
          </w:p>
        </w:tc>
        <w:tc>
          <w:tcPr>
            <w:tcW w:w="8310"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right="0" w:rightChars="0" w:firstLine="560" w:firstLineChars="200"/>
              <w:jc w:val="left"/>
              <w:textAlignment w:val="auto"/>
              <w:outlineLvl w:val="9"/>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在严管违停的同时，建议同步解决市民核心痛点，车位供应不足，部分区域停车收费偏高，停车资源分配不均衡问题。</w:t>
            </w:r>
          </w:p>
        </w:tc>
        <w:tc>
          <w:tcPr>
            <w:tcW w:w="3453"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left"/>
              <w:textAlignment w:val="auto"/>
              <w:outlineLvl w:val="9"/>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不采纳。该意见没有对《关于加强车辆停放秩序规范化管理的决定（草案征求意见稿）》提出具体修改建议。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8" w:hRule="atLeast"/>
        </w:trPr>
        <w:tc>
          <w:tcPr>
            <w:tcW w:w="865"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11</w:t>
            </w:r>
          </w:p>
        </w:tc>
        <w:tc>
          <w:tcPr>
            <w:tcW w:w="1699"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电子邮件</w:t>
            </w:r>
          </w:p>
        </w:tc>
        <w:tc>
          <w:tcPr>
            <w:tcW w:w="8310"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right="0" w:rightChars="0" w:firstLine="560" w:firstLineChars="200"/>
              <w:jc w:val="left"/>
              <w:textAlignment w:val="auto"/>
              <w:outlineLvl w:val="9"/>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建议智慧停车调整收费标准。</w:t>
            </w:r>
          </w:p>
        </w:tc>
        <w:tc>
          <w:tcPr>
            <w:tcW w:w="3453"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left"/>
              <w:textAlignment w:val="auto"/>
              <w:outlineLvl w:val="9"/>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不采纳。该意见没有对《关于加强车辆停放秩序规范化管理的决定（草案征求意见稿）》提出具体修改建议。</w:t>
            </w:r>
          </w:p>
        </w:tc>
      </w:tr>
    </w:tbl>
    <w:p>
      <w:pPr>
        <w:rPr>
          <w:rFonts w:hint="eastAsia"/>
          <w:lang w:val="en-US" w:eastAsia="zh-CN"/>
        </w:rPr>
      </w:pPr>
    </w:p>
    <w:sectPr>
      <w:pgSz w:w="16838" w:h="11906" w:orient="landscape"/>
      <w:pgMar w:top="1800" w:right="1020" w:bottom="180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00007A87" w:usb1="80000000" w:usb2="00000008"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小标宋">
    <w:altName w:val="微软雅黑"/>
    <w:panose1 w:val="03000509000000000000"/>
    <w:charset w:val="00"/>
    <w:family w:val="script"/>
    <w:pitch w:val="default"/>
    <w:sig w:usb0="00000000" w:usb1="0000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15F902"/>
    <w:multiLevelType w:val="singleLevel"/>
    <w:tmpl w:val="1115F902"/>
    <w:lvl w:ilvl="0" w:tentative="0">
      <w:start w:val="1"/>
      <w:numFmt w:val="chineseCounting"/>
      <w:suff w:val="nothing"/>
      <w:lvlText w:val="%1、"/>
      <w:lvlJc w:val="left"/>
      <w:rPr>
        <w:rFonts w:hint="eastAsia"/>
      </w:rPr>
    </w:lvl>
  </w:abstractNum>
  <w:abstractNum w:abstractNumId="1">
    <w:nsid w:val="714187C8"/>
    <w:multiLevelType w:val="singleLevel"/>
    <w:tmpl w:val="714187C8"/>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JjMzQzNWU1ZDE1ZTFkOWE0Y2ExYjE4OTc3YTk2YWMifQ=="/>
  </w:docVars>
  <w:rsids>
    <w:rsidRoot w:val="6F315D4C"/>
    <w:rsid w:val="00303428"/>
    <w:rsid w:val="039D325B"/>
    <w:rsid w:val="04CC72B4"/>
    <w:rsid w:val="09F57382"/>
    <w:rsid w:val="0B7E0F3E"/>
    <w:rsid w:val="0D5E04FB"/>
    <w:rsid w:val="0F921419"/>
    <w:rsid w:val="0FF64465"/>
    <w:rsid w:val="104E485E"/>
    <w:rsid w:val="12CC4FFB"/>
    <w:rsid w:val="13197012"/>
    <w:rsid w:val="1C3C6A44"/>
    <w:rsid w:val="1E3F9531"/>
    <w:rsid w:val="1F1B0FDE"/>
    <w:rsid w:val="282D3C8D"/>
    <w:rsid w:val="2C376EAB"/>
    <w:rsid w:val="2C7E33B8"/>
    <w:rsid w:val="2DFE564E"/>
    <w:rsid w:val="2FAA4E70"/>
    <w:rsid w:val="2FD78890"/>
    <w:rsid w:val="30C077AA"/>
    <w:rsid w:val="31D51596"/>
    <w:rsid w:val="327E6BD1"/>
    <w:rsid w:val="33FE6513"/>
    <w:rsid w:val="3E3C2A72"/>
    <w:rsid w:val="3E6E3DD3"/>
    <w:rsid w:val="3ECF3873"/>
    <w:rsid w:val="3FA837A5"/>
    <w:rsid w:val="3FBA371B"/>
    <w:rsid w:val="3FFCAA65"/>
    <w:rsid w:val="422D58A8"/>
    <w:rsid w:val="4BB66E0D"/>
    <w:rsid w:val="516C3C72"/>
    <w:rsid w:val="51C64111"/>
    <w:rsid w:val="56895C55"/>
    <w:rsid w:val="57F805FC"/>
    <w:rsid w:val="5B6A6053"/>
    <w:rsid w:val="5BC77EA1"/>
    <w:rsid w:val="5C4E699B"/>
    <w:rsid w:val="5D4910C8"/>
    <w:rsid w:val="5DABA52C"/>
    <w:rsid w:val="5DC82230"/>
    <w:rsid w:val="5DFEB386"/>
    <w:rsid w:val="5ED1FC95"/>
    <w:rsid w:val="5FD77380"/>
    <w:rsid w:val="5FFEDE55"/>
    <w:rsid w:val="60055A2C"/>
    <w:rsid w:val="635B53C5"/>
    <w:rsid w:val="663A3800"/>
    <w:rsid w:val="664F1BAD"/>
    <w:rsid w:val="66EFA790"/>
    <w:rsid w:val="67217F5F"/>
    <w:rsid w:val="67FC0ECF"/>
    <w:rsid w:val="6AE1C1BF"/>
    <w:rsid w:val="6DC07834"/>
    <w:rsid w:val="6DFF3E01"/>
    <w:rsid w:val="6EED5CE6"/>
    <w:rsid w:val="6F315D4C"/>
    <w:rsid w:val="717C64E8"/>
    <w:rsid w:val="71DC7910"/>
    <w:rsid w:val="71FC4233"/>
    <w:rsid w:val="7479DE09"/>
    <w:rsid w:val="757C5BFD"/>
    <w:rsid w:val="77CF00ED"/>
    <w:rsid w:val="77D46801"/>
    <w:rsid w:val="77FF0695"/>
    <w:rsid w:val="7AF34939"/>
    <w:rsid w:val="7F776A4A"/>
    <w:rsid w:val="7F9D32A6"/>
    <w:rsid w:val="87B7725A"/>
    <w:rsid w:val="8AFD4AFE"/>
    <w:rsid w:val="AFBFA600"/>
    <w:rsid w:val="B2F32492"/>
    <w:rsid w:val="BBFD658F"/>
    <w:rsid w:val="BE6FC5CA"/>
    <w:rsid w:val="BFFB5A9C"/>
    <w:rsid w:val="DB6FD249"/>
    <w:rsid w:val="DE95C3BE"/>
    <w:rsid w:val="DFDB9364"/>
    <w:rsid w:val="DFFFF502"/>
    <w:rsid w:val="E6B2DC51"/>
    <w:rsid w:val="E6FFAA47"/>
    <w:rsid w:val="E7DD4A0B"/>
    <w:rsid w:val="E7F52B79"/>
    <w:rsid w:val="EB7F8D93"/>
    <w:rsid w:val="EBEC3519"/>
    <w:rsid w:val="EC702989"/>
    <w:rsid w:val="F28F2EBE"/>
    <w:rsid w:val="F5FC7629"/>
    <w:rsid w:val="F6D6831A"/>
    <w:rsid w:val="F6DFB6FE"/>
    <w:rsid w:val="F6EEF824"/>
    <w:rsid w:val="F77F6543"/>
    <w:rsid w:val="F7DF5146"/>
    <w:rsid w:val="FAFF9CCE"/>
    <w:rsid w:val="FBCFC9B0"/>
    <w:rsid w:val="FEFD1C79"/>
    <w:rsid w:val="FF9E0921"/>
    <w:rsid w:val="FFFDA1D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line="0" w:lineRule="atLeast"/>
    </w:pPr>
    <w:rPr>
      <w:rFonts w:ascii="Times New Roman" w:hAnsi="Times New Roman" w:eastAsia="小标宋"/>
      <w:kern w:val="0"/>
      <w:sz w:val="44"/>
      <w:szCs w:val="20"/>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1810</Words>
  <Characters>1833</Characters>
  <Lines>0</Lines>
  <Paragraphs>0</Paragraphs>
  <TotalTime>0</TotalTime>
  <ScaleCrop>false</ScaleCrop>
  <LinksUpToDate>false</LinksUpToDate>
  <CharactersWithSpaces>1843</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2022-07-01T08:32:00Z</dcterms:created>
  <dc:creator>w</dc:creator>
  <cp:lastModifiedBy>林萍</cp:lastModifiedBy>
  <cp:lastPrinted>2026-10-19T01:14:09Z</cp:lastPrinted>
  <dcterms:modified xsi:type="dcterms:W3CDTF">2026-10-19T01:23:40Z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CB2A01C79F784111932C62AAB9566232_13</vt:lpwstr>
  </property>
  <property fmtid="{D5CDD505-2E9C-101B-9397-08002B2CF9AE}" pid="4" name="KSOTemplateDocerSaveRecord">
    <vt:lpwstr>eyJoZGlkIjoiYzYwNTdhMjhiYTQ2ZjI5ZWM0YzczMGEzYjY2NWNiOWYiLCJ1c2VySWQiOiIyMTcwNzM1MTEifQ==</vt:lpwstr>
  </property>
</Properties>
</file>