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bCs/>
          <w:sz w:val="28"/>
          <w:szCs w:val="28"/>
        </w:rPr>
      </w:pPr>
    </w:p>
    <w:p>
      <w:pPr>
        <w:jc w:val="center"/>
        <w:rPr>
          <w:b/>
          <w:sz w:val="52"/>
        </w:rPr>
      </w:pPr>
    </w:p>
    <w:p>
      <w:pPr>
        <w:jc w:val="center"/>
        <w:rPr>
          <w:rFonts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sz w:val="52"/>
          <w:szCs w:val="52"/>
          <w:u w:val="single"/>
          <w:lang w:bidi="ar"/>
        </w:rPr>
        <w:t>汕头市潮阳区自然资源测绘队</w:t>
      </w:r>
      <w:r>
        <w:rPr>
          <w:rFonts w:hint="eastAsia" w:ascii="宋体" w:hAnsi="宋体" w:cs="宋体"/>
          <w:sz w:val="52"/>
          <w:szCs w:val="52"/>
          <w:u w:val="single"/>
          <w:lang w:bidi="ar"/>
        </w:rPr>
        <w:t xml:space="preserve">  </w:t>
      </w:r>
      <w:r>
        <w:rPr>
          <w:rFonts w:hint="eastAsia" w:ascii="宋体" w:hAnsi="宋体" w:cs="宋体"/>
          <w:b/>
          <w:sz w:val="52"/>
          <w:szCs w:val="52"/>
          <w:lang w:bidi="ar"/>
        </w:rPr>
        <w:t>测绘资质证书延续申请</w:t>
      </w:r>
    </w:p>
    <w:p>
      <w:pPr>
        <w:jc w:val="center"/>
        <w:rPr>
          <w:rFonts w:ascii="宋体" w:hAnsi="宋体" w:cs="宋体"/>
          <w:b/>
          <w:sz w:val="52"/>
          <w:szCs w:val="52"/>
          <w:lang w:bidi="ar"/>
        </w:rPr>
      </w:pPr>
      <w:r>
        <w:rPr>
          <w:rFonts w:hint="eastAsia" w:ascii="宋体" w:hAnsi="宋体" w:cs="宋体"/>
          <w:b/>
          <w:sz w:val="52"/>
          <w:szCs w:val="52"/>
          <w:lang w:bidi="ar"/>
        </w:rPr>
        <w:t>主要信息公开表</w:t>
      </w:r>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ascii="Times New Roman" w:hAnsi="Times New Roman" w:cs="宋体"/>
          <w:b/>
          <w:spacing w:val="70"/>
          <w:sz w:val="36"/>
          <w:lang w:bidi="ar"/>
        </w:rPr>
      </w:pPr>
    </w:p>
    <w:p>
      <w:pPr>
        <w:jc w:val="center"/>
        <w:rPr>
          <w:rFonts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单位基本情况及所申请延续资质等级类别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vAlign w:val="center"/>
          </w:tcPr>
          <w:p>
            <w:pPr>
              <w:jc w:val="center"/>
              <w:rPr>
                <w:b/>
                <w:color w:val="auto"/>
                <w:sz w:val="24"/>
              </w:rPr>
            </w:pPr>
            <w:r>
              <w:rPr>
                <w:rFonts w:hint="eastAsia" w:ascii="Times New Roman" w:hAnsi="Times New Roman" w:cs="宋体"/>
                <w:b/>
                <w:color w:val="auto"/>
                <w:sz w:val="24"/>
                <w:lang w:bidi="ar"/>
              </w:rPr>
              <w:t>单位名称</w:t>
            </w:r>
          </w:p>
        </w:tc>
        <w:tc>
          <w:tcPr>
            <w:tcW w:w="118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32"/>
                <w:szCs w:val="32"/>
              </w:rPr>
            </w:pPr>
            <w:r>
              <w:rPr>
                <w:rFonts w:hint="eastAsia" w:ascii="宋体" w:hAnsi="宋体"/>
                <w:color w:val="auto"/>
                <w:sz w:val="32"/>
                <w:szCs w:val="32"/>
              </w:rPr>
              <w:t>汕头市潮阳区自然资源测绘队</w:t>
            </w:r>
          </w:p>
          <w:p>
            <w:pPr>
              <w:jc w:val="center"/>
              <w:rPr>
                <w:rFonts w:ascii="宋体" w:hAnsi="宋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宋体"/>
                <w:b/>
                <w:color w:val="auto"/>
                <w:sz w:val="24"/>
                <w:lang w:bidi="ar"/>
              </w:rPr>
            </w:pPr>
            <w:r>
              <w:rPr>
                <w:rFonts w:hint="eastAsia" w:ascii="Times New Roman" w:hAnsi="Times New Roman" w:cs="宋体"/>
                <w:b/>
                <w:color w:val="auto"/>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r>
              <w:rPr>
                <w:rFonts w:hint="eastAsia" w:ascii="宋体" w:hAnsi="宋体"/>
                <w:color w:val="auto"/>
                <w:sz w:val="32"/>
                <w:szCs w:val="32"/>
              </w:rPr>
              <w:t>12440513733109038G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vAlign w:val="center"/>
          </w:tcPr>
          <w:p>
            <w:pPr>
              <w:jc w:val="center"/>
              <w:rPr>
                <w:b/>
                <w:color w:val="auto"/>
                <w:sz w:val="24"/>
              </w:rPr>
            </w:pPr>
            <w:r>
              <w:rPr>
                <w:rFonts w:hint="eastAsia" w:ascii="Times New Roman" w:hAnsi="Times New Roman" w:cs="宋体"/>
                <w:b/>
                <w:color w:val="auto"/>
                <w:sz w:val="24"/>
                <w:lang w:bidi="ar"/>
              </w:rPr>
              <w:t>单位性质</w:t>
            </w:r>
          </w:p>
        </w:tc>
        <w:tc>
          <w:tcPr>
            <w:tcW w:w="118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32"/>
                <w:szCs w:val="32"/>
              </w:rPr>
            </w:pPr>
            <w:r>
              <w:rPr>
                <w:rFonts w:hint="eastAsia" w:ascii="宋体" w:hAnsi="宋体"/>
                <w:color w:val="auto"/>
                <w:sz w:val="32"/>
                <w:szCs w:val="32"/>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vAlign w:val="center"/>
          </w:tcPr>
          <w:p>
            <w:pPr>
              <w:jc w:val="center"/>
              <w:rPr>
                <w:b/>
                <w:color w:val="auto"/>
                <w:sz w:val="24"/>
              </w:rPr>
            </w:pPr>
            <w:r>
              <w:rPr>
                <w:rFonts w:hint="eastAsia" w:ascii="Times New Roman" w:hAnsi="Times New Roman" w:cs="宋体"/>
                <w:b/>
                <w:color w:val="auto"/>
                <w:sz w:val="24"/>
                <w:lang w:bidi="ar"/>
              </w:rPr>
              <w:t>注册地址</w:t>
            </w:r>
          </w:p>
        </w:tc>
        <w:tc>
          <w:tcPr>
            <w:tcW w:w="118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32"/>
                <w:szCs w:val="32"/>
              </w:rPr>
            </w:pPr>
            <w:r>
              <w:rPr>
                <w:rFonts w:hint="eastAsia" w:ascii="宋体" w:hAnsi="宋体"/>
                <w:color w:val="auto"/>
                <w:sz w:val="32"/>
                <w:szCs w:val="32"/>
              </w:rPr>
              <w:t>汕头市潮阳区城西一路路口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vAlign w:val="center"/>
          </w:tcPr>
          <w:p>
            <w:pPr>
              <w:jc w:val="center"/>
              <w:rPr>
                <w:b/>
                <w:color w:val="auto"/>
                <w:sz w:val="24"/>
              </w:rPr>
            </w:pPr>
            <w:r>
              <w:rPr>
                <w:rFonts w:hint="eastAsia" w:ascii="Times New Roman" w:hAnsi="Times New Roman" w:cs="宋体"/>
                <w:b/>
                <w:color w:val="auto"/>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r>
              <w:rPr>
                <w:rFonts w:hint="eastAsia" w:ascii="宋体" w:hAnsi="宋体"/>
                <w:color w:val="auto"/>
                <w:sz w:val="32"/>
                <w:szCs w:val="32"/>
              </w:rPr>
              <w:t>庄健宏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vAlign w:val="center"/>
          </w:tcPr>
          <w:p>
            <w:pPr>
              <w:jc w:val="center"/>
              <w:rPr>
                <w:b/>
                <w:color w:val="auto"/>
                <w:sz w:val="28"/>
              </w:rPr>
            </w:pPr>
            <w:r>
              <w:rPr>
                <w:rFonts w:hint="eastAsia" w:ascii="Times New Roman" w:hAnsi="Times New Roman" w:cs="宋体"/>
                <w:b/>
                <w:color w:val="auto"/>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vAlign w:val="center"/>
          </w:tcPr>
          <w:p>
            <w:pPr>
              <w:jc w:val="center"/>
              <w:rPr>
                <w:color w:val="auto"/>
              </w:rPr>
            </w:pPr>
            <w:bookmarkStart w:id="0" w:name="_GoBack"/>
            <w:r>
              <w:rPr>
                <w:rFonts w:hint="eastAsia"/>
                <w:color w:val="auto"/>
                <w:sz w:val="32"/>
                <w:szCs w:val="32"/>
              </w:rPr>
              <w:t>乙级：工程测量(不得从事二等及以上控制测量、国家建设重点工程的规划测量、单个建筑物10万平方米及以上的建筑工程测量、特大型水利水电工程测量、4千米及以上隧道工程测量)、界线与不动产测绘(不得从事国界线测绘、规划许可证载单栋建筑10万平方米及以上的房产测绘)、测绘航空摄影(不得承揽两个及以上省级行政区域范围的项目)。</w:t>
            </w:r>
            <w:bookmarkEnd w:id="0"/>
          </w:p>
        </w:tc>
      </w:tr>
    </w:tbl>
    <w:p/>
    <w:p>
      <w:pPr>
        <w:jc w:val="both"/>
        <w:rPr>
          <w:b/>
          <w:spacing w:val="70"/>
          <w:sz w:val="36"/>
        </w:rPr>
      </w:pPr>
    </w:p>
    <w:p>
      <w:pPr>
        <w:jc w:val="center"/>
      </w:pPr>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1</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肖育明</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6</w:t>
            </w:r>
            <w:r>
              <w:t>0</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p>
        </w:tc>
      </w:tr>
    </w:tbl>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1</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庄健宏</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w:t>
            </w:r>
            <w:r>
              <w:t>1</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肖秋敏</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w:t>
            </w:r>
            <w:r>
              <w:t>5</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3</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陈树彬</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49</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t>4</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陈泽宣</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w:t>
            </w:r>
            <w:r>
              <w:t>1</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t>5</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张应光</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w:t>
            </w:r>
            <w:r>
              <w:t>2</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6</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张宗传</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w:t>
            </w:r>
            <w:r>
              <w:t>5</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t>7</w:t>
            </w:r>
          </w:p>
          <w:p>
            <w:pPr>
              <w:jc w:val="center"/>
            </w:pPr>
          </w:p>
          <w:p>
            <w:pPr>
              <w:jc w:val="center"/>
            </w:pPr>
          </w:p>
          <w:p>
            <w:pPr>
              <w:jc w:val="center"/>
            </w:pPr>
          </w:p>
          <w:p>
            <w:pPr>
              <w:jc w:val="center"/>
            </w:pPr>
          </w:p>
          <w:p>
            <w:pPr>
              <w:jc w:val="center"/>
            </w:pPr>
          </w:p>
          <w:p>
            <w:pPr>
              <w:jc w:val="center"/>
            </w:pP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蔡旭家</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46</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8</w:t>
            </w:r>
          </w:p>
        </w:tc>
        <w:tc>
          <w:tcPr>
            <w:tcW w:w="3090"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郑镇广</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47</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bl>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1</w:t>
            </w:r>
          </w:p>
        </w:tc>
        <w:tc>
          <w:tcPr>
            <w:tcW w:w="367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陈少燕</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女</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42</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w:t>
            </w:r>
          </w:p>
        </w:tc>
        <w:tc>
          <w:tcPr>
            <w:tcW w:w="367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郑铭郁</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51</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3</w:t>
            </w:r>
          </w:p>
        </w:tc>
        <w:tc>
          <w:tcPr>
            <w:tcW w:w="367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黄楚泉</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51</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4</w:t>
            </w:r>
          </w:p>
        </w:tc>
        <w:tc>
          <w:tcPr>
            <w:tcW w:w="367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廖汉雄</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49</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w:t>
            </w:r>
          </w:p>
        </w:tc>
        <w:tc>
          <w:tcPr>
            <w:tcW w:w="367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 xml:space="preserve">刘 </w:t>
            </w:r>
            <w:r>
              <w:t xml:space="preserve"> </w:t>
            </w:r>
            <w:r>
              <w:rPr>
                <w:rFonts w:hint="eastAsia"/>
              </w:rPr>
              <w:t>冬</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42</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6</w:t>
            </w:r>
          </w:p>
        </w:tc>
        <w:tc>
          <w:tcPr>
            <w:tcW w:w="367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肖泽松</w:t>
            </w:r>
          </w:p>
        </w:tc>
        <w:tc>
          <w:tcPr>
            <w:tcW w:w="2595"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42</w:t>
            </w:r>
          </w:p>
        </w:tc>
        <w:tc>
          <w:tcPr>
            <w:tcW w:w="499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1</w:t>
            </w:r>
          </w:p>
        </w:tc>
        <w:tc>
          <w:tcPr>
            <w:tcW w:w="3571"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丁柏双</w:t>
            </w:r>
          </w:p>
        </w:tc>
        <w:tc>
          <w:tcPr>
            <w:tcW w:w="2610" w:type="dxa"/>
            <w:tcBorders>
              <w:top w:val="single" w:color="auto" w:sz="4" w:space="0"/>
              <w:left w:val="single" w:color="auto" w:sz="4" w:space="0"/>
              <w:bottom w:val="single" w:color="auto" w:sz="4" w:space="0"/>
              <w:right w:val="single" w:color="auto" w:sz="4" w:space="0"/>
            </w:tcBorders>
            <w:vAlign w:val="center"/>
          </w:tcPr>
          <w:p>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vAlign w:val="center"/>
          </w:tcPr>
          <w:p>
            <w:pPr>
              <w:jc w:val="center"/>
            </w:pPr>
            <w:r>
              <w:t>32</w:t>
            </w:r>
          </w:p>
        </w:tc>
        <w:tc>
          <w:tcPr>
            <w:tcW w:w="497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rPr>
                <w:rFonts w:hint="eastAsia" w:eastAsia="宋体"/>
                <w:lang w:eastAsia="zh-CN"/>
              </w:rPr>
            </w:pPr>
            <w:r>
              <w:rPr>
                <w:rFonts w:hint="eastAsia"/>
                <w:color w:val="0000FF"/>
                <w:lang w:eastAsia="zh-CN"/>
              </w:rPr>
              <w:t>土木工程</w:t>
            </w:r>
          </w:p>
        </w:tc>
      </w:tr>
    </w:tbl>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rFonts w:ascii="Times New Roman" w:hAnsi="Times New Roman" w:cs="宋体"/>
          <w:b/>
          <w:sz w:val="44"/>
          <w:szCs w:val="44"/>
          <w:lang w:bidi="ar"/>
        </w:rPr>
      </w:pPr>
    </w:p>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exact"/>
        </w:trPr>
        <w:tc>
          <w:tcPr>
            <w:tcW w:w="1856"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1</w:t>
            </w:r>
          </w:p>
        </w:tc>
        <w:tc>
          <w:tcPr>
            <w:tcW w:w="5348" w:type="dxa"/>
            <w:tcBorders>
              <w:top w:val="single" w:color="auto" w:sz="4" w:space="0"/>
              <w:left w:val="single" w:color="auto" w:sz="4" w:space="0"/>
              <w:bottom w:val="single" w:color="auto" w:sz="4" w:space="0"/>
              <w:right w:val="single" w:color="auto" w:sz="4" w:space="0"/>
            </w:tcBorders>
            <w:vAlign w:val="center"/>
          </w:tcPr>
          <w:p>
            <w:pPr>
              <w:rPr>
                <w:color w:val="000000"/>
                <w:sz w:val="24"/>
              </w:rPr>
            </w:pPr>
            <w:r>
              <w:rPr>
                <w:rFonts w:ascii="Tahoma" w:hAnsi="Tahoma" w:cs="Tahoma"/>
                <w:color w:val="000000"/>
                <w:spacing w:val="15"/>
                <w:szCs w:val="21"/>
                <w:shd w:val="clear" w:color="auto" w:fill="FFFFFF"/>
              </w:rPr>
              <w:t>GNSS接收机（不低于5mm+1ppm精度）</w:t>
            </w:r>
          </w:p>
        </w:tc>
        <w:tc>
          <w:tcPr>
            <w:tcW w:w="5703" w:type="dxa"/>
            <w:tcBorders>
              <w:top w:val="single" w:color="auto" w:sz="4" w:space="0"/>
              <w:left w:val="single" w:color="auto" w:sz="4" w:space="0"/>
              <w:bottom w:val="single" w:color="auto" w:sz="4" w:space="0"/>
              <w:right w:val="single" w:color="auto" w:sz="4" w:space="0"/>
            </w:tcBorders>
          </w:tcPr>
          <w:p>
            <w:pPr>
              <w:rPr>
                <w:rFonts w:hint="default" w:eastAsia="宋体"/>
                <w:color w:val="000000"/>
                <w:sz w:val="24"/>
                <w:lang w:val="en-US" w:eastAsia="zh-CN"/>
              </w:rPr>
            </w:pPr>
            <w:r>
              <w:rPr>
                <w:rFonts w:hint="eastAsia"/>
                <w:color w:val="000000"/>
                <w:sz w:val="24"/>
              </w:rPr>
              <w:t>中海达</w:t>
            </w:r>
            <w:r>
              <w:rPr>
                <w:rFonts w:hint="eastAsia"/>
                <w:color w:val="0000FF"/>
                <w:sz w:val="24"/>
                <w:lang w:val="en-US" w:eastAsia="zh-CN"/>
              </w:rPr>
              <w:t>VRTK2</w:t>
            </w:r>
          </w:p>
        </w:tc>
        <w:tc>
          <w:tcPr>
            <w:tcW w:w="1256" w:type="dxa"/>
            <w:tcBorders>
              <w:top w:val="single" w:color="auto" w:sz="4" w:space="0"/>
              <w:left w:val="single" w:color="auto" w:sz="4" w:space="0"/>
              <w:bottom w:val="single" w:color="auto" w:sz="4" w:space="0"/>
              <w:right w:val="single" w:color="auto" w:sz="4" w:space="0"/>
            </w:tcBorders>
          </w:tcPr>
          <w:p>
            <w:pPr>
              <w:rPr>
                <w:sz w:val="24"/>
              </w:rPr>
            </w:pPr>
            <w:r>
              <w:rPr>
                <w:rFonts w:hint="eastAsia"/>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exact"/>
        </w:trPr>
        <w:tc>
          <w:tcPr>
            <w:tcW w:w="1856"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2</w:t>
            </w:r>
          </w:p>
        </w:tc>
        <w:tc>
          <w:tcPr>
            <w:tcW w:w="5348" w:type="dxa"/>
            <w:tcBorders>
              <w:top w:val="single" w:color="auto" w:sz="4" w:space="0"/>
              <w:left w:val="single" w:color="auto" w:sz="4" w:space="0"/>
              <w:bottom w:val="single" w:color="auto" w:sz="4" w:space="0"/>
              <w:right w:val="single" w:color="auto" w:sz="4" w:space="0"/>
            </w:tcBorders>
            <w:vAlign w:val="center"/>
          </w:tcPr>
          <w:p>
            <w:pPr>
              <w:rPr>
                <w:color w:val="000000"/>
                <w:sz w:val="24"/>
              </w:rPr>
            </w:pPr>
            <w:r>
              <w:rPr>
                <w:rFonts w:ascii="Tahoma" w:hAnsi="Tahoma" w:cs="Tahoma"/>
                <w:color w:val="000000"/>
                <w:spacing w:val="15"/>
                <w:szCs w:val="21"/>
                <w:shd w:val="clear" w:color="auto" w:fill="FFFFFF"/>
              </w:rPr>
              <w:t>全站仪（不低于2秒级精度）</w:t>
            </w:r>
          </w:p>
        </w:tc>
        <w:tc>
          <w:tcPr>
            <w:tcW w:w="5703" w:type="dxa"/>
            <w:tcBorders>
              <w:top w:val="single" w:color="auto" w:sz="4" w:space="0"/>
              <w:left w:val="single" w:color="auto" w:sz="4" w:space="0"/>
              <w:bottom w:val="single" w:color="auto" w:sz="4" w:space="0"/>
              <w:right w:val="single" w:color="auto" w:sz="4" w:space="0"/>
            </w:tcBorders>
          </w:tcPr>
          <w:p>
            <w:pPr>
              <w:rPr>
                <w:color w:val="000000"/>
                <w:sz w:val="24"/>
              </w:rPr>
            </w:pPr>
            <w:r>
              <w:rPr>
                <w:rFonts w:hint="eastAsia"/>
                <w:color w:val="000000"/>
                <w:sz w:val="24"/>
              </w:rPr>
              <w:t>南方N</w:t>
            </w:r>
            <w:r>
              <w:rPr>
                <w:color w:val="000000"/>
                <w:sz w:val="24"/>
              </w:rPr>
              <w:t>TS-312B</w:t>
            </w:r>
          </w:p>
        </w:tc>
        <w:tc>
          <w:tcPr>
            <w:tcW w:w="1256" w:type="dxa"/>
            <w:tcBorders>
              <w:top w:val="single" w:color="auto" w:sz="4" w:space="0"/>
              <w:left w:val="single" w:color="auto" w:sz="4" w:space="0"/>
              <w:bottom w:val="single" w:color="auto" w:sz="4" w:space="0"/>
              <w:right w:val="single" w:color="auto" w:sz="4" w:space="0"/>
            </w:tcBorders>
          </w:tcPr>
          <w:p>
            <w:pPr>
              <w:rPr>
                <w:sz w:val="24"/>
              </w:rPr>
            </w:pPr>
            <w:r>
              <w:rPr>
                <w:rFonts w:hint="eastAsia"/>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exact"/>
        </w:trPr>
        <w:tc>
          <w:tcPr>
            <w:tcW w:w="1856"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3</w:t>
            </w:r>
          </w:p>
        </w:tc>
        <w:tc>
          <w:tcPr>
            <w:tcW w:w="5348" w:type="dxa"/>
            <w:tcBorders>
              <w:top w:val="single" w:color="auto" w:sz="4" w:space="0"/>
              <w:left w:val="single" w:color="auto" w:sz="4" w:space="0"/>
              <w:bottom w:val="single" w:color="auto" w:sz="4" w:space="0"/>
              <w:right w:val="single" w:color="auto" w:sz="4" w:space="0"/>
            </w:tcBorders>
            <w:vAlign w:val="center"/>
          </w:tcPr>
          <w:p>
            <w:pPr>
              <w:rPr>
                <w:color w:val="000000"/>
                <w:sz w:val="24"/>
              </w:rPr>
            </w:pPr>
            <w:r>
              <w:rPr>
                <w:rFonts w:ascii="Tahoma" w:hAnsi="Tahoma" w:cs="Tahoma"/>
                <w:color w:val="000000"/>
                <w:spacing w:val="15"/>
                <w:szCs w:val="21"/>
                <w:shd w:val="clear" w:color="auto" w:fill="FFFFFF"/>
              </w:rPr>
              <w:t>水准仪（不低于S1级精度）</w:t>
            </w:r>
          </w:p>
        </w:tc>
        <w:tc>
          <w:tcPr>
            <w:tcW w:w="5703" w:type="dxa"/>
            <w:tcBorders>
              <w:top w:val="single" w:color="auto" w:sz="4" w:space="0"/>
              <w:left w:val="single" w:color="auto" w:sz="4" w:space="0"/>
              <w:bottom w:val="single" w:color="auto" w:sz="4" w:space="0"/>
              <w:right w:val="single" w:color="auto" w:sz="4" w:space="0"/>
            </w:tcBorders>
          </w:tcPr>
          <w:p>
            <w:pPr>
              <w:rPr>
                <w:rFonts w:hint="eastAsia" w:eastAsia="宋体"/>
                <w:color w:val="000000"/>
                <w:sz w:val="24"/>
                <w:lang w:eastAsia="zh-CN"/>
              </w:rPr>
            </w:pPr>
            <w:r>
              <w:rPr>
                <w:color w:val="000000"/>
                <w:sz w:val="24"/>
              </w:rPr>
              <w:t>Z</w:t>
            </w:r>
            <w:r>
              <w:rPr>
                <w:rFonts w:hint="eastAsia"/>
                <w:color w:val="000000"/>
                <w:sz w:val="24"/>
              </w:rPr>
              <w:t>D</w:t>
            </w:r>
            <w:r>
              <w:rPr>
                <w:color w:val="000000"/>
                <w:sz w:val="24"/>
              </w:rPr>
              <w:t>L700</w:t>
            </w:r>
            <w:r>
              <w:rPr>
                <w:rFonts w:hint="eastAsia"/>
                <w:color w:val="0000FF"/>
                <w:sz w:val="24"/>
                <w:lang w:eastAsia="zh-CN"/>
              </w:rPr>
              <w:t>（有中文品牌名字吗？写上去）</w:t>
            </w:r>
          </w:p>
        </w:tc>
        <w:tc>
          <w:tcPr>
            <w:tcW w:w="1256" w:type="dxa"/>
            <w:tcBorders>
              <w:top w:val="single" w:color="auto" w:sz="4" w:space="0"/>
              <w:left w:val="single" w:color="auto" w:sz="4" w:space="0"/>
              <w:bottom w:val="single" w:color="auto" w:sz="4" w:space="0"/>
              <w:right w:val="single" w:color="auto" w:sz="4" w:space="0"/>
            </w:tcBorders>
          </w:tcPr>
          <w:p>
            <w:pPr>
              <w:rPr>
                <w:sz w:val="24"/>
              </w:rPr>
            </w:pPr>
            <w:r>
              <w:rPr>
                <w:rFonts w:hint="eastAsia"/>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exact"/>
        </w:trPr>
        <w:tc>
          <w:tcPr>
            <w:tcW w:w="1856"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4</w:t>
            </w:r>
          </w:p>
        </w:tc>
        <w:tc>
          <w:tcPr>
            <w:tcW w:w="5348" w:type="dxa"/>
            <w:tcBorders>
              <w:top w:val="single" w:color="auto" w:sz="4" w:space="0"/>
              <w:left w:val="single" w:color="auto" w:sz="4" w:space="0"/>
              <w:bottom w:val="single" w:color="auto" w:sz="4" w:space="0"/>
              <w:right w:val="single" w:color="auto" w:sz="4" w:space="0"/>
            </w:tcBorders>
            <w:vAlign w:val="center"/>
          </w:tcPr>
          <w:p>
            <w:pPr>
              <w:rPr>
                <w:color w:val="000000"/>
                <w:sz w:val="24"/>
              </w:rPr>
            </w:pPr>
            <w:r>
              <w:rPr>
                <w:rFonts w:ascii="Tahoma" w:hAnsi="Tahoma" w:cs="Tahoma"/>
                <w:color w:val="000000"/>
                <w:spacing w:val="15"/>
                <w:szCs w:val="21"/>
                <w:shd w:val="clear" w:color="auto" w:fill="FFFFFF"/>
              </w:rPr>
              <w:t>无人飞行测量采集系统</w:t>
            </w:r>
          </w:p>
        </w:tc>
        <w:tc>
          <w:tcPr>
            <w:tcW w:w="5703" w:type="dxa"/>
            <w:tcBorders>
              <w:top w:val="single" w:color="auto" w:sz="4" w:space="0"/>
              <w:left w:val="single" w:color="auto" w:sz="4" w:space="0"/>
              <w:bottom w:val="single" w:color="auto" w:sz="4" w:space="0"/>
              <w:right w:val="single" w:color="auto" w:sz="4" w:space="0"/>
            </w:tcBorders>
          </w:tcPr>
          <w:p>
            <w:pPr>
              <w:rPr>
                <w:color w:val="000000"/>
                <w:sz w:val="24"/>
              </w:rPr>
            </w:pPr>
            <w:r>
              <w:rPr>
                <w:rFonts w:hint="eastAsia"/>
                <w:color w:val="000000"/>
                <w:sz w:val="24"/>
              </w:rPr>
              <w:t>大疆M</w:t>
            </w:r>
            <w:r>
              <w:rPr>
                <w:color w:val="000000"/>
                <w:sz w:val="24"/>
              </w:rPr>
              <w:t>4E</w:t>
            </w:r>
          </w:p>
        </w:tc>
        <w:tc>
          <w:tcPr>
            <w:tcW w:w="1256" w:type="dxa"/>
            <w:tcBorders>
              <w:top w:val="single" w:color="auto" w:sz="4" w:space="0"/>
              <w:left w:val="single" w:color="auto" w:sz="4" w:space="0"/>
              <w:bottom w:val="single" w:color="auto" w:sz="4" w:space="0"/>
              <w:right w:val="single" w:color="auto" w:sz="4" w:space="0"/>
            </w:tcBorders>
          </w:tcPr>
          <w:p>
            <w:pPr>
              <w:rPr>
                <w:sz w:val="24"/>
              </w:rPr>
            </w:pPr>
            <w:r>
              <w:rPr>
                <w:rFonts w:hint="eastAsia"/>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exact"/>
        </w:trPr>
        <w:tc>
          <w:tcPr>
            <w:tcW w:w="1856"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5</w:t>
            </w:r>
          </w:p>
        </w:tc>
        <w:tc>
          <w:tcPr>
            <w:tcW w:w="5348" w:type="dxa"/>
            <w:tcBorders>
              <w:top w:val="single" w:color="auto" w:sz="4" w:space="0"/>
              <w:left w:val="single" w:color="auto" w:sz="4" w:space="0"/>
              <w:bottom w:val="single" w:color="auto" w:sz="4" w:space="0"/>
              <w:right w:val="single" w:color="auto" w:sz="4" w:space="0"/>
            </w:tcBorders>
            <w:vAlign w:val="center"/>
          </w:tcPr>
          <w:p>
            <w:pPr>
              <w:widowControl/>
              <w:spacing w:line="390" w:lineRule="atLeast"/>
              <w:rPr>
                <w:rFonts w:ascii="Tahoma" w:hAnsi="Tahoma" w:cs="Tahoma"/>
                <w:color w:val="000000"/>
                <w:spacing w:val="15"/>
                <w:kern w:val="0"/>
                <w:szCs w:val="21"/>
              </w:rPr>
            </w:pPr>
            <w:r>
              <w:rPr>
                <w:rFonts w:hint="eastAsia" w:ascii="Tahoma" w:hAnsi="Tahoma" w:cs="Tahoma"/>
                <w:color w:val="000000"/>
                <w:spacing w:val="15"/>
                <w:szCs w:val="21"/>
              </w:rPr>
              <w:t>手持测距仪</w:t>
            </w:r>
          </w:p>
          <w:p>
            <w:pPr>
              <w:widowControl/>
              <w:spacing w:line="390" w:lineRule="atLeast"/>
              <w:rPr>
                <w:rFonts w:ascii="Tahoma" w:hAnsi="Tahoma" w:cs="Tahoma"/>
                <w:color w:val="000000"/>
                <w:spacing w:val="15"/>
                <w:kern w:val="0"/>
                <w:szCs w:val="21"/>
              </w:rPr>
            </w:pPr>
            <w:r>
              <w:rPr>
                <w:rFonts w:ascii="Tahoma" w:hAnsi="Tahoma" w:cs="Tahoma"/>
                <w:color w:val="000000"/>
                <w:spacing w:val="15"/>
                <w:szCs w:val="21"/>
              </w:rPr>
              <w:br w:type="textWrapping"/>
            </w:r>
            <w:r>
              <w:rPr>
                <w:rFonts w:ascii="Tahoma" w:hAnsi="Tahoma" w:cs="Tahoma"/>
                <w:color w:val="000000"/>
                <w:spacing w:val="15"/>
                <w:szCs w:val="21"/>
              </w:rPr>
              <w:t>手持测距仪</w:t>
            </w:r>
          </w:p>
          <w:p>
            <w:pPr>
              <w:rPr>
                <w:color w:val="000000"/>
                <w:sz w:val="24"/>
              </w:rPr>
            </w:pPr>
          </w:p>
        </w:tc>
        <w:tc>
          <w:tcPr>
            <w:tcW w:w="5703" w:type="dxa"/>
            <w:tcBorders>
              <w:top w:val="single" w:color="auto" w:sz="4" w:space="0"/>
              <w:left w:val="single" w:color="auto" w:sz="4" w:space="0"/>
              <w:bottom w:val="single" w:color="auto" w:sz="4" w:space="0"/>
              <w:right w:val="single" w:color="auto" w:sz="4" w:space="0"/>
            </w:tcBorders>
          </w:tcPr>
          <w:p>
            <w:pPr>
              <w:rPr>
                <w:color w:val="000000"/>
                <w:sz w:val="24"/>
              </w:rPr>
            </w:pPr>
            <w:r>
              <w:rPr>
                <w:rFonts w:ascii="Tahoma" w:hAnsi="Tahoma" w:cs="Tahoma"/>
                <w:color w:val="000000"/>
                <w:spacing w:val="15"/>
                <w:szCs w:val="21"/>
                <w:shd w:val="clear" w:color="auto" w:fill="FFFFFF"/>
              </w:rPr>
              <w:t>D-100</w:t>
            </w:r>
            <w:r>
              <w:rPr>
                <w:rFonts w:hint="eastAsia"/>
                <w:color w:val="0000FF"/>
                <w:sz w:val="24"/>
                <w:lang w:eastAsia="zh-CN"/>
              </w:rPr>
              <w:t>（有中文品牌名字吗？写上去）</w:t>
            </w:r>
          </w:p>
        </w:tc>
        <w:tc>
          <w:tcPr>
            <w:tcW w:w="1256" w:type="dxa"/>
            <w:tcBorders>
              <w:top w:val="single" w:color="auto" w:sz="4" w:space="0"/>
              <w:left w:val="single" w:color="auto" w:sz="4" w:space="0"/>
              <w:bottom w:val="single" w:color="auto" w:sz="4" w:space="0"/>
              <w:right w:val="single" w:color="auto" w:sz="4" w:space="0"/>
            </w:tcBorders>
          </w:tcPr>
          <w:p>
            <w:pPr>
              <w:rPr>
                <w:color w:val="000000"/>
                <w:sz w:val="24"/>
              </w:rPr>
            </w:pPr>
            <w:r>
              <w:rPr>
                <w:rFonts w:hint="eastAsia"/>
                <w:color w:val="00000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tcPr>
          <w:p>
            <w:pPr>
              <w:rPr>
                <w:sz w:val="24"/>
              </w:rPr>
            </w:pPr>
          </w:p>
        </w:tc>
        <w:tc>
          <w:tcPr>
            <w:tcW w:w="1256" w:type="dxa"/>
            <w:tcBorders>
              <w:top w:val="single" w:color="auto" w:sz="4" w:space="0"/>
              <w:left w:val="single" w:color="auto" w:sz="4" w:space="0"/>
              <w:bottom w:val="single" w:color="auto" w:sz="4" w:space="0"/>
              <w:right w:val="single" w:color="auto" w:sz="4" w:space="0"/>
            </w:tcBorders>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tcPr>
          <w:p>
            <w:pPr>
              <w:rPr>
                <w:sz w:val="24"/>
              </w:rPr>
            </w:pPr>
          </w:p>
        </w:tc>
        <w:tc>
          <w:tcPr>
            <w:tcW w:w="1256" w:type="dxa"/>
            <w:tcBorders>
              <w:top w:val="single" w:color="auto" w:sz="4" w:space="0"/>
              <w:left w:val="single" w:color="auto" w:sz="4" w:space="0"/>
              <w:bottom w:val="single" w:color="auto" w:sz="4" w:space="0"/>
              <w:right w:val="single" w:color="auto" w:sz="4" w:space="0"/>
            </w:tcBorders>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tcPr>
          <w:p>
            <w:pPr>
              <w:rPr>
                <w:sz w:val="24"/>
              </w:rPr>
            </w:pPr>
          </w:p>
        </w:tc>
        <w:tc>
          <w:tcPr>
            <w:tcW w:w="1256" w:type="dxa"/>
            <w:tcBorders>
              <w:top w:val="single" w:color="auto" w:sz="4" w:space="0"/>
              <w:left w:val="single" w:color="auto" w:sz="4" w:space="0"/>
              <w:bottom w:val="single" w:color="auto" w:sz="4" w:space="0"/>
              <w:right w:val="single" w:color="auto" w:sz="4" w:space="0"/>
            </w:tcBorders>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tcPr>
          <w:p>
            <w:pPr>
              <w:rPr>
                <w:sz w:val="24"/>
              </w:rPr>
            </w:pPr>
          </w:p>
        </w:tc>
        <w:tc>
          <w:tcPr>
            <w:tcW w:w="1256" w:type="dxa"/>
            <w:tcBorders>
              <w:top w:val="single" w:color="auto" w:sz="4" w:space="0"/>
              <w:left w:val="single" w:color="auto" w:sz="4" w:space="0"/>
              <w:bottom w:val="single" w:color="auto" w:sz="4" w:space="0"/>
              <w:right w:val="single" w:color="auto" w:sz="4" w:space="0"/>
            </w:tcBorders>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tcPr>
          <w:p>
            <w:pPr>
              <w:rPr>
                <w:sz w:val="24"/>
              </w:rPr>
            </w:pPr>
          </w:p>
        </w:tc>
        <w:tc>
          <w:tcPr>
            <w:tcW w:w="1256" w:type="dxa"/>
            <w:tcBorders>
              <w:top w:val="single" w:color="auto" w:sz="4" w:space="0"/>
              <w:left w:val="single" w:color="auto" w:sz="4" w:space="0"/>
              <w:bottom w:val="single" w:color="auto" w:sz="4" w:space="0"/>
              <w:right w:val="single" w:color="auto" w:sz="4" w:space="0"/>
            </w:tcBorders>
          </w:tcPr>
          <w:p>
            <w:pPr>
              <w:rPr>
                <w:sz w:val="24"/>
              </w:rPr>
            </w:pPr>
          </w:p>
        </w:tc>
      </w:tr>
    </w:tbl>
    <w:p/>
    <w:p>
      <w:pPr>
        <w:jc w:val="center"/>
        <w:rPr>
          <w:b/>
          <w:sz w:val="44"/>
          <w:szCs w:val="44"/>
        </w:rPr>
      </w:pPr>
    </w:p>
    <w:p>
      <w:pPr>
        <w:jc w:val="center"/>
        <w:rPr>
          <w:b/>
          <w:sz w:val="44"/>
          <w:szCs w:val="44"/>
        </w:rPr>
      </w:pPr>
    </w:p>
    <w:p>
      <w:pPr>
        <w:jc w:val="center"/>
        <w:rPr>
          <w:b/>
          <w:sz w:val="44"/>
          <w:szCs w:val="44"/>
        </w:rPr>
      </w:pPr>
    </w:p>
    <w:p>
      <w:pPr>
        <w:jc w:val="center"/>
        <w:rPr>
          <w:rFonts w:ascii="Times New Roman" w:hAnsi="Times New Roman" w:cs="宋体"/>
          <w:b/>
          <w:sz w:val="44"/>
          <w:szCs w:val="44"/>
          <w:lang w:bidi="ar"/>
        </w:rPr>
      </w:pPr>
      <w:r>
        <w:rPr>
          <w:rFonts w:hint="eastAsia" w:ascii="Times New Roman" w:hAnsi="Times New Roman" w:cs="宋体"/>
          <w:b/>
          <w:sz w:val="44"/>
          <w:szCs w:val="44"/>
          <w:lang w:bidi="ar"/>
        </w:rPr>
        <w:t>四、测绘项目清单</w:t>
      </w:r>
    </w:p>
    <w:p>
      <w:pPr>
        <w:jc w:val="center"/>
        <w:rPr>
          <w:rFonts w:hint="eastAsia"/>
          <w:b/>
          <w:sz w:val="44"/>
          <w:szCs w:val="44"/>
        </w:rPr>
      </w:pP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3407"/>
        <w:gridCol w:w="2269"/>
        <w:gridCol w:w="1256"/>
        <w:gridCol w:w="2125"/>
        <w:gridCol w:w="2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项目名称</w:t>
            </w:r>
          </w:p>
        </w:tc>
        <w:tc>
          <w:tcPr>
            <w:tcW w:w="3407"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基本情况（项目地点、作业内容等）</w:t>
            </w:r>
          </w:p>
        </w:tc>
        <w:tc>
          <w:tcPr>
            <w:tcW w:w="2269"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bidi="ar"/>
              </w:rPr>
              <w:t>所属专业类别</w:t>
            </w:r>
          </w:p>
        </w:tc>
        <w:tc>
          <w:tcPr>
            <w:tcW w:w="1256"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1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宋体"/>
                <w:b/>
                <w:sz w:val="24"/>
                <w:lang w:bidi="ar"/>
              </w:rPr>
            </w:pPr>
            <w:r>
              <w:rPr>
                <w:rFonts w:hint="eastAsia" w:ascii="Times New Roman" w:hAnsi="Times New Roman" w:cs="宋体"/>
                <w:b/>
                <w:sz w:val="24"/>
                <w:lang w:bidi="ar"/>
              </w:rPr>
              <w:t>验收时间</w:t>
            </w:r>
          </w:p>
          <w:p>
            <w:pPr>
              <w:jc w:val="center"/>
              <w:rPr>
                <w:rFonts w:ascii="Times New Roman" w:hAnsi="Times New Roman" w:cs="宋体"/>
                <w:b/>
                <w:sz w:val="24"/>
                <w:lang w:val="en" w:bidi="ar"/>
              </w:rPr>
            </w:pPr>
            <w:r>
              <w:rPr>
                <w:rFonts w:hint="eastAsia" w:ascii="Times New Roman" w:hAnsi="Times New Roman" w:cs="宋体"/>
                <w:b/>
                <w:sz w:val="24"/>
                <w:lang w:bidi="ar"/>
              </w:rPr>
              <w:t>（据实填写）</w:t>
            </w:r>
          </w:p>
        </w:tc>
        <w:tc>
          <w:tcPr>
            <w:tcW w:w="21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宋体"/>
                <w:b/>
                <w:sz w:val="24"/>
                <w:lang w:bidi="ar"/>
              </w:rPr>
            </w:pPr>
            <w:r>
              <w:rPr>
                <w:rFonts w:hint="eastAsia" w:ascii="Times New Roman" w:hAnsi="Times New Roman" w:cs="宋体"/>
                <w:b/>
                <w:sz w:val="24"/>
                <w:lang w:bidi="ar"/>
              </w:rPr>
              <w:t>验收机构</w:t>
            </w:r>
          </w:p>
          <w:p>
            <w:pPr>
              <w:jc w:val="center"/>
              <w:rPr>
                <w:rFonts w:ascii="Times New Roman" w:hAnsi="Times New Roman" w:cs="宋体"/>
                <w:b/>
                <w:sz w:val="24"/>
                <w:lang w:bidi="ar"/>
              </w:rPr>
            </w:pPr>
            <w:r>
              <w:rPr>
                <w:rFonts w:hint="eastAsia" w:ascii="Times New Roman" w:hAnsi="Times New Roman" w:cs="宋体"/>
                <w:b/>
                <w:sz w:val="24"/>
                <w:lang w:bidi="ar"/>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18"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1</w:t>
            </w:r>
          </w:p>
        </w:tc>
        <w:tc>
          <w:tcPr>
            <w:tcW w:w="21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广东省文物保护单位文光塔保护范围、建设控制地带图</w:t>
            </w: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rPr>
                <w:rFonts w:ascii="宋体" w:hAnsi="宋体"/>
                <w:szCs w:val="21"/>
              </w:rPr>
            </w:pPr>
            <w:r>
              <w:rPr>
                <w:rFonts w:hint="eastAsia" w:ascii="宋体" w:hAnsi="宋体"/>
                <w:szCs w:val="21"/>
              </w:rPr>
              <w:t>项目位于潮阳城区棉城，主要工作为文光塔周边现状按1:5</w:t>
            </w:r>
            <w:r>
              <w:rPr>
                <w:rFonts w:ascii="宋体" w:hAnsi="宋体"/>
                <w:szCs w:val="21"/>
              </w:rPr>
              <w:t>00</w:t>
            </w:r>
            <w:r>
              <w:rPr>
                <w:rFonts w:hint="eastAsia" w:ascii="宋体" w:hAnsi="宋体"/>
                <w:szCs w:val="21"/>
              </w:rPr>
              <w:t>地形图进行测绘并出图。出图范围为0</w:t>
            </w:r>
            <w:r>
              <w:rPr>
                <w:rFonts w:ascii="宋体" w:hAnsi="宋体"/>
                <w:szCs w:val="21"/>
              </w:rPr>
              <w:t>.025</w:t>
            </w:r>
            <w:r>
              <w:rPr>
                <w:rFonts w:hint="eastAsia" w:ascii="宋体" w:hAnsi="宋体"/>
                <w:szCs w:val="21"/>
              </w:rPr>
              <w:t>平方公里。</w:t>
            </w: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界线与不动产测绘</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t>0.46</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pPr>
            <w:r>
              <w:rPr>
                <w:rFonts w:hint="eastAsia"/>
              </w:rPr>
              <w:t>2</w:t>
            </w:r>
            <w:r>
              <w:t>022</w:t>
            </w:r>
            <w:r>
              <w:rPr>
                <w:rFonts w:hint="eastAsia"/>
              </w:rPr>
              <w:t>年2月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rPr>
                <w:bCs/>
              </w:rPr>
            </w:pPr>
            <w:r>
              <w:rPr>
                <w:rFonts w:hint="eastAsia"/>
              </w:rPr>
              <w:t>汕头市潮阳区文化广电旅游体育局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w:t>
            </w:r>
          </w:p>
        </w:tc>
        <w:tc>
          <w:tcPr>
            <w:tcW w:w="21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汕头市潮阳区人民医院门诊楼（含发热门诊）建设项目</w:t>
            </w: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rPr>
                <w:rFonts w:ascii="宋体" w:hAnsi="宋体"/>
                <w:szCs w:val="21"/>
              </w:rPr>
            </w:pPr>
            <w:r>
              <w:rPr>
                <w:rFonts w:hint="eastAsia" w:ascii="宋体" w:hAnsi="宋体"/>
                <w:szCs w:val="21"/>
              </w:rPr>
              <w:t>项目位于潮阳城区棉城，主要工作为门诊楼（含发热门诊）定放线，并出具放样图，现场共放样4个桩点。</w:t>
            </w: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工程测量</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0</w:t>
            </w:r>
            <w:r>
              <w:t>.26</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r>
              <w:rPr>
                <w:rFonts w:hint="eastAsia"/>
              </w:rPr>
              <w:t>2</w:t>
            </w:r>
            <w:r>
              <w:t>022</w:t>
            </w:r>
            <w:r>
              <w:rPr>
                <w:rFonts w:hint="eastAsia"/>
              </w:rPr>
              <w:t>年</w:t>
            </w:r>
            <w:r>
              <w:t>1</w:t>
            </w:r>
            <w:r>
              <w:rPr>
                <w:rFonts w:hint="eastAsia"/>
              </w:rPr>
              <w:t>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ascii="宋体" w:hAnsi="宋体"/>
                <w:szCs w:val="21"/>
              </w:rPr>
              <w:t>汕头市潮阳区人民医院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984"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3</w:t>
            </w:r>
          </w:p>
        </w:tc>
        <w:tc>
          <w:tcPr>
            <w:tcW w:w="21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rPr>
              <w:t>潮阳区贵屿镇新厝股份联合社龙顶洋“工改工”正射影像图</w:t>
            </w: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rPr>
                <w:rFonts w:ascii="宋体" w:hAnsi="宋体"/>
                <w:szCs w:val="21"/>
              </w:rPr>
            </w:pPr>
            <w:r>
              <w:rPr>
                <w:rFonts w:hint="eastAsia" w:ascii="宋体" w:hAnsi="宋体"/>
                <w:szCs w:val="21"/>
              </w:rPr>
              <w:t>项目位于潮阳贵屿镇新厝，主要工作为新厝股份联合社龙顶洋“工改工”1:1</w:t>
            </w:r>
            <w:r>
              <w:rPr>
                <w:rFonts w:ascii="宋体" w:hAnsi="宋体"/>
                <w:szCs w:val="21"/>
              </w:rPr>
              <w:t>000</w:t>
            </w:r>
            <w:r>
              <w:rPr>
                <w:rFonts w:hint="eastAsia" w:ascii="宋体" w:hAnsi="宋体"/>
                <w:szCs w:val="21"/>
              </w:rPr>
              <w:t>正射影像图，范围0</w:t>
            </w:r>
            <w:r>
              <w:rPr>
                <w:rFonts w:ascii="宋体" w:hAnsi="宋体"/>
                <w:szCs w:val="21"/>
              </w:rPr>
              <w:t>.2</w:t>
            </w:r>
            <w:r>
              <w:rPr>
                <w:rFonts w:hint="eastAsia" w:ascii="宋体" w:hAnsi="宋体"/>
                <w:szCs w:val="21"/>
              </w:rPr>
              <w:t>平方公里。</w:t>
            </w: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测绘航空摄影</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0</w:t>
            </w:r>
            <w:r>
              <w:t>.27</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r>
              <w:rPr>
                <w:rFonts w:hint="eastAsia"/>
              </w:rPr>
              <w:t>2</w:t>
            </w:r>
            <w:r>
              <w:t>022</w:t>
            </w:r>
            <w:r>
              <w:rPr>
                <w:rFonts w:hint="eastAsia"/>
              </w:rPr>
              <w:t>年8月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pPr>
            <w:r>
              <w:rPr>
                <w:rFonts w:hint="eastAsia"/>
              </w:rPr>
              <w:t>潮阳区贵屿镇新厝股份联合社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0"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4</w:t>
            </w:r>
          </w:p>
        </w:tc>
        <w:tc>
          <w:tcPr>
            <w:tcW w:w="21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汕头市潮阳区棉北街道平北经济联合社三角宫洋农民公寓规划条件核实测绘项目</w:t>
            </w:r>
          </w:p>
          <w:p>
            <w:pPr>
              <w:spacing w:line="240" w:lineRule="exact"/>
              <w:ind w:left="-105" w:right="-105"/>
              <w:jc w:val="center"/>
              <w:rPr>
                <w:szCs w:val="21"/>
              </w:rPr>
            </w:pP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rPr>
                <w:rFonts w:ascii="宋体" w:hAnsi="宋体"/>
                <w:szCs w:val="21"/>
              </w:rPr>
            </w:pPr>
            <w:r>
              <w:rPr>
                <w:rFonts w:hint="eastAsia" w:ascii="宋体" w:hAnsi="宋体"/>
                <w:szCs w:val="21"/>
              </w:rPr>
              <w:t>项目位于潮阳城区平北，主要工作为平北经济联合社三角宫洋农民公寓规划核实出具测绘报告，完成工作内容有：1、平北经济联合社三角宫洋农民公寓周边1:</w:t>
            </w:r>
            <w:r>
              <w:rPr>
                <w:rFonts w:ascii="宋体" w:hAnsi="宋体"/>
                <w:szCs w:val="21"/>
              </w:rPr>
              <w:t>1000</w:t>
            </w:r>
            <w:r>
              <w:rPr>
                <w:rFonts w:hint="eastAsia" w:ascii="宋体" w:hAnsi="宋体"/>
                <w:szCs w:val="21"/>
              </w:rPr>
              <w:t>地形图测绘共0</w:t>
            </w:r>
            <w:r>
              <w:rPr>
                <w:rFonts w:ascii="宋体" w:hAnsi="宋体"/>
                <w:szCs w:val="21"/>
              </w:rPr>
              <w:t>.06</w:t>
            </w:r>
            <w:r>
              <w:rPr>
                <w:rFonts w:hint="eastAsia" w:ascii="宋体" w:hAnsi="宋体"/>
                <w:szCs w:val="21"/>
              </w:rPr>
              <w:t>平方公里，2、完成房屋测量1</w:t>
            </w:r>
            <w:r>
              <w:rPr>
                <w:rFonts w:ascii="宋体" w:hAnsi="宋体"/>
                <w:szCs w:val="21"/>
              </w:rPr>
              <w:t>01824</w:t>
            </w:r>
            <w:r>
              <w:rPr>
                <w:rFonts w:hint="eastAsia" w:ascii="宋体" w:hAnsi="宋体"/>
                <w:szCs w:val="21"/>
              </w:rPr>
              <w:t>平方米</w:t>
            </w: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工程测量</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2</w:t>
            </w:r>
            <w:r>
              <w:t>0.56</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r>
              <w:rPr>
                <w:rFonts w:hint="eastAsia"/>
              </w:rPr>
              <w:t>2</w:t>
            </w:r>
            <w:r>
              <w:t>022</w:t>
            </w:r>
            <w:r>
              <w:rPr>
                <w:rFonts w:hint="eastAsia"/>
              </w:rPr>
              <w:t>年</w:t>
            </w:r>
            <w:r>
              <w:t>9</w:t>
            </w:r>
            <w:r>
              <w:rPr>
                <w:rFonts w:hint="eastAsia"/>
              </w:rPr>
              <w:t>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firstLine="210" w:firstLineChars="100"/>
              <w:jc w:val="left"/>
            </w:pPr>
            <w:r>
              <w:rPr>
                <w:rFonts w:hint="eastAsia"/>
              </w:rPr>
              <w:t>汕头市自然资源局（2</w:t>
            </w:r>
            <w:r>
              <w:t>023</w:t>
            </w:r>
            <w:r>
              <w:rPr>
                <w:rFonts w:hint="eastAsia"/>
              </w:rPr>
              <w:t>年度测绘质量检查）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99"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w:t>
            </w:r>
          </w:p>
        </w:tc>
        <w:tc>
          <w:tcPr>
            <w:tcW w:w="2143"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pPr>
            <w:r>
              <w:rPr>
                <w:rFonts w:hint="eastAsia"/>
              </w:rPr>
              <w:t>广东汕湛高速公路东段发展有限公司和平服务区东、西行加油站建筑物放线</w:t>
            </w: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rPr>
                <w:rFonts w:ascii="宋体" w:hAnsi="宋体"/>
                <w:szCs w:val="21"/>
              </w:rPr>
            </w:pPr>
            <w:r>
              <w:rPr>
                <w:rFonts w:hint="eastAsia" w:ascii="宋体" w:hAnsi="宋体"/>
                <w:szCs w:val="21"/>
              </w:rPr>
              <w:t>项目位于潮阳城区和平镇，主要工作为和平服务区东、西行加油站建筑物放线，并出具放样图，现场共放样</w:t>
            </w:r>
            <w:r>
              <w:rPr>
                <w:rFonts w:ascii="宋体" w:hAnsi="宋体"/>
                <w:szCs w:val="21"/>
              </w:rPr>
              <w:t>8</w:t>
            </w:r>
            <w:r>
              <w:rPr>
                <w:rFonts w:hint="eastAsia" w:ascii="宋体" w:hAnsi="宋体"/>
                <w:szCs w:val="21"/>
              </w:rPr>
              <w:t>个桩点。</w:t>
            </w:r>
          </w:p>
          <w:p>
            <w:pPr>
              <w:spacing w:line="240" w:lineRule="exact"/>
              <w:ind w:right="-105"/>
              <w:jc w:val="left"/>
              <w:rPr>
                <w:rFonts w:ascii="宋体" w:hAnsi="宋体"/>
                <w:szCs w:val="21"/>
              </w:rPr>
            </w:pP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工程测量</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1</w:t>
            </w:r>
            <w:r>
              <w:t>.04</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r>
              <w:rPr>
                <w:rFonts w:hint="eastAsia"/>
              </w:rPr>
              <w:t>2</w:t>
            </w:r>
            <w:r>
              <w:t>023</w:t>
            </w:r>
            <w:r>
              <w:rPr>
                <w:rFonts w:hint="eastAsia"/>
              </w:rPr>
              <w:t>年</w:t>
            </w:r>
            <w:r>
              <w:t>1</w:t>
            </w:r>
            <w:r>
              <w:rPr>
                <w:rFonts w:hint="eastAsia"/>
              </w:rPr>
              <w:t>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pPr>
            <w:r>
              <w:rPr>
                <w:rFonts w:hint="eastAsia"/>
              </w:rPr>
              <w:t>广东汕湛高速公路东段发展有限公司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5"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6</w:t>
            </w:r>
          </w:p>
        </w:tc>
        <w:tc>
          <w:tcPr>
            <w:tcW w:w="21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文澜府规划条件核实测绘项目及房地产测绘成果</w:t>
            </w:r>
          </w:p>
          <w:p>
            <w:pPr>
              <w:spacing w:line="240" w:lineRule="exact"/>
              <w:ind w:left="-105" w:right="-105"/>
              <w:jc w:val="center"/>
              <w:rPr>
                <w:szCs w:val="21"/>
              </w:rPr>
            </w:pP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rPr>
                <w:rFonts w:ascii="宋体" w:hAnsi="宋体"/>
                <w:szCs w:val="21"/>
              </w:rPr>
            </w:pPr>
            <w:r>
              <w:rPr>
                <w:rFonts w:hint="eastAsia" w:ascii="宋体" w:hAnsi="宋体"/>
                <w:szCs w:val="21"/>
              </w:rPr>
              <w:t>项目位于潮阳城区平北，主要工作为平北文澜府规划核实出具测绘报告，完成工作内容有：1、文澜府周边1:</w:t>
            </w:r>
            <w:r>
              <w:rPr>
                <w:rFonts w:ascii="宋体" w:hAnsi="宋体"/>
                <w:szCs w:val="21"/>
              </w:rPr>
              <w:t>500</w:t>
            </w:r>
            <w:r>
              <w:rPr>
                <w:rFonts w:hint="eastAsia" w:ascii="宋体" w:hAnsi="宋体"/>
                <w:szCs w:val="21"/>
              </w:rPr>
              <w:t>地形图测绘共0</w:t>
            </w:r>
            <w:r>
              <w:rPr>
                <w:rFonts w:ascii="宋体" w:hAnsi="宋体"/>
                <w:szCs w:val="21"/>
              </w:rPr>
              <w:t>.06</w:t>
            </w:r>
            <w:r>
              <w:rPr>
                <w:rFonts w:hint="eastAsia" w:ascii="宋体" w:hAnsi="宋体"/>
                <w:szCs w:val="21"/>
              </w:rPr>
              <w:t>平方公里，2、完成房屋测量1</w:t>
            </w:r>
            <w:r>
              <w:rPr>
                <w:rFonts w:ascii="宋体" w:hAnsi="宋体"/>
                <w:szCs w:val="21"/>
              </w:rPr>
              <w:t>65332.49</w:t>
            </w:r>
            <w:r>
              <w:rPr>
                <w:rFonts w:hint="eastAsia" w:ascii="宋体" w:hAnsi="宋体"/>
                <w:szCs w:val="21"/>
              </w:rPr>
              <w:t>平方米。</w:t>
            </w:r>
          </w:p>
          <w:p>
            <w:pPr>
              <w:spacing w:line="240" w:lineRule="exact"/>
              <w:ind w:left="-105" w:right="-105"/>
              <w:jc w:val="left"/>
              <w:rPr>
                <w:rFonts w:ascii="宋体" w:hAnsi="宋体"/>
                <w:szCs w:val="21"/>
              </w:rPr>
            </w:pP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工程测量</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3</w:t>
            </w:r>
            <w:r>
              <w:t>3.40</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r>
              <w:rPr>
                <w:rFonts w:hint="eastAsia"/>
              </w:rPr>
              <w:t>2</w:t>
            </w:r>
            <w:r>
              <w:t>024</w:t>
            </w:r>
            <w:r>
              <w:rPr>
                <w:rFonts w:hint="eastAsia"/>
              </w:rPr>
              <w:t>年</w:t>
            </w:r>
            <w:r>
              <w:t>10</w:t>
            </w:r>
            <w:r>
              <w:rPr>
                <w:rFonts w:hint="eastAsia"/>
              </w:rPr>
              <w:t>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firstLine="210" w:firstLineChars="100"/>
              <w:jc w:val="left"/>
            </w:pPr>
            <w:r>
              <w:rPr>
                <w:rFonts w:hint="eastAsia"/>
              </w:rPr>
              <w:t>汕头市自然资源局（2</w:t>
            </w:r>
            <w:r>
              <w:t>025</w:t>
            </w:r>
            <w:r>
              <w:rPr>
                <w:rFonts w:hint="eastAsia"/>
              </w:rPr>
              <w:t>年度测绘质量检查）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267" w:hRule="exact"/>
        </w:trPr>
        <w:tc>
          <w:tcPr>
            <w:tcW w:w="824" w:type="dxa"/>
            <w:tcBorders>
              <w:top w:val="single" w:color="auto" w:sz="4" w:space="0"/>
              <w:left w:val="single" w:color="auto" w:sz="4" w:space="0"/>
              <w:bottom w:val="single" w:color="auto" w:sz="4" w:space="0"/>
              <w:right w:val="single" w:color="auto" w:sz="4" w:space="0"/>
            </w:tcBorders>
            <w:vAlign w:val="center"/>
          </w:tcPr>
          <w:p>
            <w:pPr>
              <w:jc w:val="center"/>
            </w:pPr>
            <w:r>
              <w:t>7</w:t>
            </w:r>
          </w:p>
        </w:tc>
        <w:tc>
          <w:tcPr>
            <w:tcW w:w="2143"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宝能城市花园三期（汕头市潮商城镇综合治理有限公司）</w:t>
            </w: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rPr>
                <w:rFonts w:ascii="宋体" w:hAnsi="宋体"/>
                <w:szCs w:val="21"/>
              </w:rPr>
            </w:pPr>
            <w:r>
              <w:rPr>
                <w:rFonts w:hint="eastAsia" w:ascii="宋体" w:hAnsi="宋体"/>
                <w:szCs w:val="21"/>
              </w:rPr>
              <w:t>项目位于潮阳城区城南，主要工作为宝能城市花园三期不动产测绘出具测绘报告，完成工作内容有:完成房屋测量7</w:t>
            </w:r>
            <w:r>
              <w:rPr>
                <w:rFonts w:ascii="宋体" w:hAnsi="宋体"/>
                <w:szCs w:val="21"/>
              </w:rPr>
              <w:t>7277</w:t>
            </w:r>
            <w:r>
              <w:rPr>
                <w:rFonts w:hint="eastAsia" w:ascii="宋体" w:hAnsi="宋体"/>
                <w:szCs w:val="21"/>
              </w:rPr>
              <w:t>平方米。</w:t>
            </w: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界线与不动产测绘</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t>15.57</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r>
              <w:rPr>
                <w:rFonts w:hint="eastAsia"/>
              </w:rPr>
              <w:t>2</w:t>
            </w:r>
            <w:r>
              <w:t>025</w:t>
            </w:r>
            <w:r>
              <w:rPr>
                <w:rFonts w:hint="eastAsia"/>
              </w:rPr>
              <w:t>年</w:t>
            </w:r>
            <w:r>
              <w:t>2</w:t>
            </w:r>
            <w:r>
              <w:rPr>
                <w:rFonts w:hint="eastAsia"/>
              </w:rPr>
              <w:t>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left"/>
            </w:pPr>
            <w:r>
              <w:rPr>
                <w:rFonts w:hint="eastAsia"/>
              </w:rPr>
              <w:t>汕头市潮商城镇综合治理有限公司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1" w:hRule="exact"/>
        </w:trPr>
        <w:tc>
          <w:tcPr>
            <w:tcW w:w="82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8</w:t>
            </w:r>
          </w:p>
        </w:tc>
        <w:tc>
          <w:tcPr>
            <w:tcW w:w="2143"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天逸豪庭（汕头市创盛房地产有限公司）</w:t>
            </w:r>
          </w:p>
        </w:tc>
        <w:tc>
          <w:tcPr>
            <w:tcW w:w="3407"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rPr>
                <w:rFonts w:ascii="宋体" w:hAnsi="宋体"/>
                <w:szCs w:val="21"/>
              </w:rPr>
            </w:pPr>
            <w:r>
              <w:rPr>
                <w:rFonts w:hint="eastAsia" w:ascii="宋体" w:hAnsi="宋体"/>
                <w:szCs w:val="21"/>
              </w:rPr>
              <w:t>项目位于潮阳区海门镇，主要工作为天逸豪庭规划核实、不动产测绘并出具测绘报告，完成工作内容有:完成房屋测量8</w:t>
            </w:r>
            <w:r>
              <w:rPr>
                <w:rFonts w:ascii="宋体" w:hAnsi="宋体"/>
                <w:szCs w:val="21"/>
              </w:rPr>
              <w:t>2756.86</w:t>
            </w:r>
            <w:r>
              <w:rPr>
                <w:rFonts w:hint="eastAsia" w:ascii="宋体" w:hAnsi="宋体"/>
                <w:szCs w:val="21"/>
              </w:rPr>
              <w:t>平方米</w:t>
            </w:r>
            <w:r>
              <w:rPr>
                <w:rFonts w:ascii="宋体" w:hAnsi="宋体"/>
                <w:szCs w:val="21"/>
              </w:rPr>
              <w:t>.</w:t>
            </w:r>
          </w:p>
          <w:p>
            <w:pPr>
              <w:spacing w:line="240" w:lineRule="exact"/>
              <w:ind w:right="-105"/>
              <w:jc w:val="center"/>
              <w:rPr>
                <w:sz w:val="18"/>
                <w:szCs w:val="18"/>
              </w:rPr>
            </w:pPr>
          </w:p>
        </w:tc>
        <w:tc>
          <w:tcPr>
            <w:tcW w:w="2269"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界线与不动产测绘</w:t>
            </w:r>
          </w:p>
        </w:tc>
        <w:tc>
          <w:tcPr>
            <w:tcW w:w="1256"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t>15.27</w:t>
            </w:r>
          </w:p>
        </w:tc>
        <w:tc>
          <w:tcPr>
            <w:tcW w:w="2125"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pPr>
            <w:r>
              <w:rPr>
                <w:rFonts w:hint="eastAsia"/>
              </w:rPr>
              <w:t>2</w:t>
            </w:r>
            <w:r>
              <w:t>026</w:t>
            </w:r>
            <w:r>
              <w:rPr>
                <w:rFonts w:hint="eastAsia"/>
              </w:rPr>
              <w:t>年</w:t>
            </w:r>
            <w:r>
              <w:t>1</w:t>
            </w:r>
            <w:r>
              <w:rPr>
                <w:rFonts w:hint="eastAsia"/>
              </w:rPr>
              <w:t>月</w:t>
            </w:r>
          </w:p>
        </w:tc>
        <w:tc>
          <w:tcPr>
            <w:tcW w:w="2144" w:type="dxa"/>
            <w:tcBorders>
              <w:top w:val="single" w:color="auto" w:sz="4" w:space="0"/>
              <w:left w:val="single" w:color="auto" w:sz="4" w:space="0"/>
              <w:bottom w:val="single" w:color="auto" w:sz="4" w:space="0"/>
              <w:right w:val="single" w:color="auto" w:sz="4" w:space="0"/>
            </w:tcBorders>
            <w:vAlign w:val="center"/>
          </w:tcPr>
          <w:p>
            <w:pPr>
              <w:spacing w:line="240" w:lineRule="exact"/>
              <w:ind w:left="-105" w:right="-105"/>
              <w:jc w:val="center"/>
            </w:pPr>
            <w:r>
              <w:rPr>
                <w:rFonts w:hint="eastAsia"/>
              </w:rPr>
              <w:t>汕头市创盛房地产有限公司</w:t>
            </w:r>
          </w:p>
        </w:tc>
      </w:tr>
    </w:tbl>
    <w:p/>
    <w:p>
      <w:pPr>
        <w:jc w:val="center"/>
        <w:rPr>
          <w:rFonts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pPr>
        <w:rPr>
          <w:rFonts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宋体-PUA"/>
                <w:b/>
                <w:kern w:val="200"/>
                <w:sz w:val="24"/>
                <w:lang w:bidi="ar"/>
              </w:rPr>
            </w:pPr>
            <w:r>
              <w:rPr>
                <w:rFonts w:hint="eastAsia" w:ascii="宋体" w:hAnsi="宋体" w:cs="宋体-PUA"/>
                <w:b/>
                <w:kern w:val="200"/>
                <w:sz w:val="24"/>
                <w:lang w:bidi="ar"/>
              </w:rPr>
              <w:t>申请单位情况</w:t>
            </w:r>
          </w:p>
          <w:p>
            <w:pPr>
              <w:widowControl/>
              <w:adjustRightInd w:val="0"/>
              <w:snapToGrid w:val="0"/>
              <w:spacing w:line="440" w:lineRule="exact"/>
              <w:jc w:val="center"/>
              <w:textAlignment w:val="center"/>
              <w:rPr>
                <w:rFonts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pPr>
              <w:widowControl/>
              <w:adjustRightInd w:val="0"/>
              <w:snapToGrid w:val="0"/>
              <w:spacing w:line="440" w:lineRule="exact"/>
              <w:textAlignment w:val="center"/>
              <w:rPr>
                <w:rFonts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numPr>
                <w:ilvl w:val="0"/>
                <w:numId w:val="1"/>
              </w:numPr>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pPr>
              <w:widowControl/>
              <w:adjustRightInd w:val="0"/>
              <w:snapToGrid w:val="0"/>
              <w:spacing w:line="440" w:lineRule="exact"/>
              <w:jc w:val="center"/>
              <w:textAlignment w:val="center"/>
              <w:rPr>
                <w:rFonts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440" w:lineRule="exact"/>
              <w:rPr>
                <w:rFonts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440" w:lineRule="exact"/>
              <w:jc w:val="center"/>
              <w:textAlignment w:val="center"/>
              <w:rPr>
                <w:rFonts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vAlign w:val="center"/>
          </w:tcPr>
          <w:p>
            <w:pPr>
              <w:widowControl/>
              <w:adjustRightInd w:val="0"/>
              <w:snapToGrid w:val="0"/>
              <w:spacing w:line="440" w:lineRule="exact"/>
              <w:textAlignment w:val="center"/>
              <w:rPr>
                <w:rFonts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textAlignment w:val="center"/>
              <w:rPr>
                <w:rFonts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pPr>
              <w:widowControl/>
              <w:adjustRightInd w:val="0"/>
              <w:snapToGrid w:val="0"/>
              <w:spacing w:line="42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vAlign w:val="center"/>
          </w:tcPr>
          <w:p>
            <w:pPr>
              <w:widowControl/>
              <w:adjustRightInd w:val="0"/>
              <w:snapToGrid w:val="0"/>
              <w:spacing w:line="440" w:lineRule="exact"/>
              <w:textAlignment w:val="center"/>
              <w:rPr>
                <w:rFonts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vAlign w:val="center"/>
          </w:tcPr>
          <w:p>
            <w:pPr>
              <w:widowControl/>
              <w:adjustRightInd w:val="0"/>
              <w:snapToGrid w:val="0"/>
              <w:spacing w:line="44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440" w:lineRule="exact"/>
              <w:jc w:val="center"/>
              <w:textAlignment w:val="center"/>
              <w:rPr>
                <w:rFonts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tcPr>
          <w:p>
            <w:pPr>
              <w:widowControl/>
              <w:adjustRightInd w:val="0"/>
              <w:snapToGrid w:val="0"/>
              <w:spacing w:line="440" w:lineRule="exact"/>
              <w:jc w:val="left"/>
              <w:rPr>
                <w:rFonts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tcPr>
          <w:p>
            <w:pPr>
              <w:widowControl/>
              <w:adjustRightInd w:val="0"/>
              <w:snapToGrid w:val="0"/>
              <w:spacing w:line="440" w:lineRule="exact"/>
              <w:jc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tcPr>
          <w:p>
            <w:pPr>
              <w:widowControl/>
              <w:adjustRightInd w:val="0"/>
              <w:snapToGrid w:val="0"/>
              <w:spacing w:line="440" w:lineRule="exact"/>
              <w:jc w:val="left"/>
              <w:rPr>
                <w:rFonts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tcPr>
          <w:p>
            <w:pPr>
              <w:widowControl/>
              <w:adjustRightInd w:val="0"/>
              <w:snapToGrid w:val="0"/>
              <w:spacing w:line="440" w:lineRule="exact"/>
              <w:jc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vAlign w:val="center"/>
          </w:tcPr>
          <w:p>
            <w:pPr>
              <w:widowControl/>
              <w:adjustRightInd w:val="0"/>
              <w:snapToGrid w:val="0"/>
              <w:spacing w:line="440" w:lineRule="exact"/>
              <w:textAlignment w:val="center"/>
              <w:rPr>
                <w:rFonts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vAlign w:val="center"/>
          </w:tcPr>
          <w:p>
            <w:pPr>
              <w:widowControl/>
              <w:adjustRightInd w:val="0"/>
              <w:snapToGrid w:val="0"/>
              <w:spacing w:line="44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vAlign w:val="center"/>
          </w:tcPr>
          <w:p>
            <w:pPr>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textAlignment w:val="center"/>
              <w:rPr>
                <w:rFonts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textAlignment w:val="center"/>
              <w:rPr>
                <w:rFonts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bCs/>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vAlign w:val="center"/>
          </w:tcPr>
          <w:p>
            <w:pPr>
              <w:widowControl/>
              <w:adjustRightInd w:val="0"/>
              <w:snapToGrid w:val="0"/>
              <w:spacing w:line="440" w:lineRule="exact"/>
              <w:textAlignment w:val="center"/>
              <w:rPr>
                <w:rFonts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40" w:lineRule="exact"/>
              <w:jc w:val="center"/>
              <w:textAlignment w:val="center"/>
              <w:rPr>
                <w:rFonts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440" w:lineRule="exact"/>
              <w:jc w:val="left"/>
              <w:textAlignment w:val="center"/>
              <w:rPr>
                <w:rFonts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440" w:lineRule="exact"/>
              <w:jc w:val="center"/>
              <w:textAlignment w:val="center"/>
              <w:rPr>
                <w:rFonts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440" w:lineRule="exact"/>
              <w:jc w:val="left"/>
              <w:textAlignment w:val="center"/>
              <w:rPr>
                <w:rFonts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440" w:lineRule="exact"/>
              <w:jc w:val="center"/>
              <w:textAlignment w:val="center"/>
              <w:rPr>
                <w:rFonts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40" w:lineRule="exact"/>
              <w:jc w:val="center"/>
              <w:textAlignment w:val="center"/>
              <w:rPr>
                <w:rFonts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440" w:lineRule="exact"/>
              <w:textAlignment w:val="center"/>
              <w:rPr>
                <w:rFonts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440" w:lineRule="exact"/>
              <w:jc w:val="center"/>
              <w:textAlignment w:val="center"/>
              <w:rPr>
                <w:rFonts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adjustRightInd w:val="0"/>
              <w:snapToGrid w:val="0"/>
              <w:spacing w:line="440" w:lineRule="exact"/>
              <w:jc w:val="left"/>
              <w:textAlignment w:val="center"/>
              <w:rPr>
                <w:rFonts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adjustRightInd w:val="0"/>
              <w:snapToGrid w:val="0"/>
              <w:spacing w:line="440" w:lineRule="exact"/>
              <w:jc w:val="center"/>
              <w:textAlignment w:val="center"/>
              <w:rPr>
                <w:rFonts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left"/>
              <w:textAlignment w:val="center"/>
              <w:rPr>
                <w:rFonts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adjustRightInd w:val="0"/>
              <w:snapToGrid w:val="0"/>
              <w:spacing w:line="440" w:lineRule="exact"/>
              <w:jc w:val="center"/>
              <w:textAlignment w:val="center"/>
              <w:rPr>
                <w:rFonts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仿宋_GB2312"/>
                <w:kern w:val="0"/>
                <w:sz w:val="24"/>
              </w:rPr>
            </w:pPr>
            <w:r>
              <w:rPr>
                <w:rFonts w:hint="eastAsia" w:ascii="宋体" w:hAnsi="宋体" w:cs="宋体-PUA"/>
                <w:bCs/>
                <w:kern w:val="200"/>
                <w:szCs w:val="21"/>
                <w:lang w:bidi="ar"/>
              </w:rPr>
              <w:t>符合</w:t>
            </w:r>
          </w:p>
        </w:tc>
      </w:tr>
    </w:tbl>
    <w:p>
      <w:pPr>
        <w:spacing w:line="560" w:lineRule="exact"/>
      </w:pPr>
    </w:p>
    <w:sectPr>
      <w:pgSz w:w="16838" w:h="11906" w:orient="landscape"/>
      <w:pgMar w:top="1701" w:right="1440" w:bottom="170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A0CCF"/>
    <w:rsid w:val="001F7F3B"/>
    <w:rsid w:val="00222CCC"/>
    <w:rsid w:val="00574694"/>
    <w:rsid w:val="006662CF"/>
    <w:rsid w:val="0069451F"/>
    <w:rsid w:val="006A73E6"/>
    <w:rsid w:val="007D145A"/>
    <w:rsid w:val="008A2B6A"/>
    <w:rsid w:val="009362D8"/>
    <w:rsid w:val="0094243B"/>
    <w:rsid w:val="00C51AFF"/>
    <w:rsid w:val="02482743"/>
    <w:rsid w:val="03C1490A"/>
    <w:rsid w:val="057B5255"/>
    <w:rsid w:val="05F00C85"/>
    <w:rsid w:val="074D44A4"/>
    <w:rsid w:val="0B2A44FC"/>
    <w:rsid w:val="15BF2E27"/>
    <w:rsid w:val="1B8B54D3"/>
    <w:rsid w:val="219C5FB5"/>
    <w:rsid w:val="27A154D3"/>
    <w:rsid w:val="2C31106C"/>
    <w:rsid w:val="2DA059AB"/>
    <w:rsid w:val="2F53368A"/>
    <w:rsid w:val="34F34E4B"/>
    <w:rsid w:val="355359F9"/>
    <w:rsid w:val="3B4D02DD"/>
    <w:rsid w:val="3F924E0B"/>
    <w:rsid w:val="41ED15AE"/>
    <w:rsid w:val="452E7C4D"/>
    <w:rsid w:val="52943CCE"/>
    <w:rsid w:val="664F5A30"/>
    <w:rsid w:val="789A32FC"/>
    <w:rsid w:val="7DEC10E4"/>
    <w:rsid w:val="BFBDEF9C"/>
    <w:rsid w:val="FFEE3DD3"/>
    <w:rsid w:val="FFF4F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字符"/>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537</Words>
  <Characters>3064</Characters>
  <Lines>25</Lines>
  <Paragraphs>7</Paragraphs>
  <TotalTime>1</TotalTime>
  <ScaleCrop>false</ScaleCrop>
  <LinksUpToDate>false</LinksUpToDate>
  <CharactersWithSpaces>3594</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2026-05-10T11:14:00Z</dcterms:created>
  <dc:creator>USER</dc:creator>
  <cp:lastModifiedBy>chk</cp:lastModifiedBy>
  <dcterms:modified xsi:type="dcterms:W3CDTF">2026-09-01T08:30:21Z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9F5BB40CDB0171683C948B6A6CB28C3B</vt:lpwstr>
  </property>
  <property fmtid="{D5CDD505-2E9C-101B-9397-08002B2CF9AE}" pid="4" name="KSOTemplateDocerSaveRecord">
    <vt:lpwstr>eyJoZGlkIjoiN2Y1NzJiZmMyMzY0M2Q3N2UyNDQwY2RjNWZmODlmNzUiLCJ1c2VySWQiOiIxNTY1NTA0MDQ5In0=</vt:lpwstr>
  </property>
</Properties>
</file>