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黑体" w:hAnsi="黑体" w:eastAsia="黑体" w:cs="仿宋"/>
          <w:b/>
          <w:color w:val="auto"/>
          <w:sz w:val="48"/>
          <w:szCs w:val="48"/>
          <w:highlight w:val="none"/>
        </w:rPr>
      </w:pPr>
    </w:p>
    <w:p>
      <w:pPr>
        <w:suppressAutoHyphens/>
        <w:bidi w:val="0"/>
        <w:jc w:val="center"/>
        <w:outlineLvl w:val="0"/>
        <w:rPr>
          <w:rFonts w:hint="eastAsia" w:ascii="Times New Roman" w:hAnsi="Times New Roman" w:eastAsia="方正小标宋简体" w:cs="Times New Roman"/>
          <w:color w:val="auto"/>
          <w:sz w:val="48"/>
          <w:szCs w:val="48"/>
          <w:highlight w:val="none"/>
          <w:lang w:val="en-US" w:eastAsia="zh-CN"/>
        </w:rPr>
      </w:pPr>
      <w:r>
        <w:rPr>
          <w:rFonts w:hint="default" w:ascii="Times New Roman" w:hAnsi="Times New Roman" w:eastAsia="方正小标宋简体" w:cs="Times New Roman"/>
          <w:color w:val="auto"/>
          <w:sz w:val="48"/>
          <w:szCs w:val="48"/>
          <w:highlight w:val="none"/>
          <w:lang w:val="en-US" w:eastAsia="zh-CN"/>
        </w:rPr>
        <w:t>《汕头市集中式地表水饮用水水源地突发环境事件应急预案</w:t>
      </w:r>
      <w:r>
        <w:rPr>
          <w:rFonts w:hint="eastAsia" w:ascii="Times New Roman" w:hAnsi="Times New Roman" w:eastAsia="方正小标宋简体" w:cs="Times New Roman"/>
          <w:color w:val="auto"/>
          <w:sz w:val="48"/>
          <w:szCs w:val="48"/>
          <w:highlight w:val="none"/>
          <w:lang w:val="en-US" w:eastAsia="zh-CN"/>
        </w:rPr>
        <w:t>（征求意见稿）</w:t>
      </w:r>
      <w:r>
        <w:rPr>
          <w:rFonts w:hint="default" w:ascii="Times New Roman" w:hAnsi="Times New Roman" w:eastAsia="方正小标宋简体" w:cs="Times New Roman"/>
          <w:color w:val="auto"/>
          <w:sz w:val="48"/>
          <w:szCs w:val="48"/>
          <w:highlight w:val="none"/>
          <w:lang w:val="en-US" w:eastAsia="zh-CN"/>
        </w:rPr>
        <w:t>》</w:t>
      </w:r>
      <w:r>
        <w:rPr>
          <w:rFonts w:hint="eastAsia" w:ascii="Times New Roman" w:hAnsi="Times New Roman" w:eastAsia="方正小标宋简体" w:cs="Times New Roman"/>
          <w:color w:val="auto"/>
          <w:sz w:val="48"/>
          <w:szCs w:val="48"/>
          <w:highlight w:val="none"/>
          <w:lang w:val="en-US" w:eastAsia="zh-CN"/>
        </w:rPr>
        <w:t>修编说明</w:t>
      </w:r>
    </w:p>
    <w:p>
      <w:pPr>
        <w:jc w:val="center"/>
        <w:rPr>
          <w:rFonts w:ascii="黑体" w:hAnsi="黑体" w:eastAsia="黑体" w:cs="黑体"/>
          <w:color w:val="auto"/>
          <w:sz w:val="52"/>
          <w:szCs w:val="52"/>
        </w:rPr>
      </w:pPr>
    </w:p>
    <w:p>
      <w:pPr>
        <w:jc w:val="center"/>
        <w:rPr>
          <w:rFonts w:ascii="黑体" w:hAnsi="黑体" w:eastAsia="黑体" w:cs="黑体"/>
          <w:color w:val="auto"/>
          <w:sz w:val="52"/>
          <w:szCs w:val="52"/>
        </w:rPr>
      </w:pPr>
    </w:p>
    <w:p>
      <w:pPr>
        <w:jc w:val="center"/>
        <w:rPr>
          <w:rFonts w:ascii="黑体" w:hAnsi="黑体" w:eastAsia="黑体" w:cs="黑体"/>
          <w:color w:val="auto"/>
          <w:sz w:val="48"/>
          <w:szCs w:val="48"/>
        </w:rPr>
      </w:pPr>
    </w:p>
    <w:p>
      <w:pPr>
        <w:jc w:val="center"/>
        <w:rPr>
          <w:rFonts w:ascii="黑体" w:hAnsi="黑体" w:eastAsia="黑体" w:cs="黑体"/>
          <w:color w:val="auto"/>
          <w:sz w:val="48"/>
          <w:szCs w:val="48"/>
        </w:rPr>
      </w:pPr>
    </w:p>
    <w:p>
      <w:pPr>
        <w:jc w:val="center"/>
        <w:rPr>
          <w:rFonts w:ascii="黑体" w:hAnsi="黑体" w:eastAsia="黑体" w:cs="黑体"/>
          <w:color w:val="auto"/>
          <w:sz w:val="48"/>
          <w:szCs w:val="48"/>
        </w:rPr>
      </w:pPr>
    </w:p>
    <w:p>
      <w:pPr>
        <w:jc w:val="center"/>
        <w:rPr>
          <w:rFonts w:ascii="黑体" w:hAnsi="黑体" w:eastAsia="黑体" w:cs="黑体"/>
          <w:color w:val="auto"/>
          <w:sz w:val="48"/>
          <w:szCs w:val="48"/>
        </w:rPr>
      </w:pPr>
    </w:p>
    <w:p>
      <w:pPr>
        <w:jc w:val="center"/>
        <w:rPr>
          <w:rFonts w:ascii="黑体" w:hAnsi="黑体" w:eastAsia="黑体" w:cs="黑体"/>
          <w:color w:val="auto"/>
          <w:sz w:val="48"/>
          <w:szCs w:val="48"/>
        </w:rPr>
      </w:pPr>
    </w:p>
    <w:p>
      <w:pPr>
        <w:jc w:val="center"/>
        <w:rPr>
          <w:rFonts w:ascii="黑体" w:hAnsi="黑体" w:eastAsia="黑体" w:cs="黑体"/>
          <w:color w:val="auto"/>
          <w:sz w:val="48"/>
          <w:szCs w:val="48"/>
        </w:rPr>
      </w:pPr>
    </w:p>
    <w:p>
      <w:pPr>
        <w:jc w:val="center"/>
        <w:rPr>
          <w:rFonts w:ascii="黑体" w:hAnsi="黑体" w:eastAsia="黑体" w:cs="黑体"/>
          <w:color w:val="auto"/>
          <w:sz w:val="48"/>
          <w:szCs w:val="48"/>
        </w:rPr>
      </w:pPr>
    </w:p>
    <w:p>
      <w:pPr>
        <w:jc w:val="both"/>
        <w:rPr>
          <w:rFonts w:ascii="黑体" w:hAnsi="黑体" w:eastAsia="黑体" w:cs="黑体"/>
          <w:color w:val="auto"/>
          <w:sz w:val="48"/>
          <w:szCs w:val="48"/>
        </w:rPr>
      </w:pPr>
    </w:p>
    <w:p>
      <w:pPr>
        <w:jc w:val="center"/>
        <w:rPr>
          <w:rFonts w:ascii="仿宋" w:hAnsi="仿宋" w:eastAsia="仿宋" w:cs="仿宋"/>
          <w:color w:val="auto"/>
          <w:sz w:val="36"/>
          <w:szCs w:val="36"/>
        </w:rPr>
      </w:pPr>
    </w:p>
    <w:p>
      <w:pPr>
        <w:pStyle w:val="7"/>
        <w:tabs>
          <w:tab w:val="left" w:pos="2420"/>
          <w:tab w:val="center" w:pos="4153"/>
        </w:tabs>
        <w:jc w:val="left"/>
        <w:rPr>
          <w:rFonts w:ascii="黑体" w:hAnsi="黑体" w:eastAsia="黑体"/>
          <w:color w:val="auto"/>
          <w:spacing w:val="40"/>
          <w:sz w:val="36"/>
          <w:szCs w:val="36"/>
          <w:highlight w:val="none"/>
        </w:rPr>
      </w:pPr>
      <w:r>
        <w:rPr>
          <w:rFonts w:hint="eastAsia" w:ascii="黑体" w:hAnsi="黑体" w:eastAsia="黑体"/>
          <w:color w:val="auto"/>
          <w:spacing w:val="40"/>
          <w:sz w:val="36"/>
          <w:szCs w:val="36"/>
        </w:rPr>
        <w:tab/>
      </w:r>
      <w:r>
        <w:rPr>
          <w:rFonts w:hint="eastAsia" w:ascii="黑体" w:hAnsi="黑体" w:eastAsia="黑体"/>
          <w:color w:val="auto"/>
          <w:spacing w:val="40"/>
          <w:sz w:val="36"/>
          <w:szCs w:val="36"/>
          <w:highlight w:val="none"/>
        </w:rPr>
        <w:tab/>
      </w:r>
      <w:r>
        <w:rPr>
          <w:rFonts w:hint="eastAsia" w:ascii="黑体" w:hAnsi="黑体" w:eastAsia="黑体"/>
          <w:b w:val="0"/>
          <w:bCs w:val="0"/>
          <w:color w:val="auto"/>
          <w:spacing w:val="40"/>
          <w:sz w:val="36"/>
          <w:szCs w:val="36"/>
          <w:highlight w:val="none"/>
        </w:rPr>
        <w:t>汕头市</w:t>
      </w:r>
      <w:r>
        <w:rPr>
          <w:rFonts w:hint="eastAsia" w:ascii="黑体" w:hAnsi="黑体" w:eastAsia="黑体"/>
          <w:b w:val="0"/>
          <w:bCs w:val="0"/>
          <w:color w:val="auto"/>
          <w:spacing w:val="40"/>
          <w:sz w:val="36"/>
          <w:szCs w:val="36"/>
          <w:highlight w:val="none"/>
          <w:lang w:val="en-US" w:eastAsia="zh-CN"/>
        </w:rPr>
        <w:t>生态</w:t>
      </w:r>
      <w:r>
        <w:rPr>
          <w:rFonts w:hint="eastAsia" w:ascii="黑体" w:hAnsi="黑体" w:eastAsia="黑体"/>
          <w:b w:val="0"/>
          <w:bCs w:val="0"/>
          <w:color w:val="auto"/>
          <w:spacing w:val="40"/>
          <w:sz w:val="36"/>
          <w:szCs w:val="36"/>
          <w:highlight w:val="none"/>
        </w:rPr>
        <w:t>环境局</w:t>
      </w:r>
    </w:p>
    <w:p>
      <w:pPr>
        <w:pStyle w:val="7"/>
        <w:rPr>
          <w:rFonts w:ascii="黑体" w:hAnsi="黑体" w:eastAsia="黑体"/>
          <w:b w:val="0"/>
          <w:bCs w:val="0"/>
          <w:color w:val="auto"/>
          <w:sz w:val="36"/>
          <w:szCs w:val="36"/>
          <w:highlight w:val="none"/>
        </w:rPr>
      </w:pPr>
      <w:r>
        <w:rPr>
          <w:rFonts w:hint="eastAsia" w:ascii="黑体" w:hAnsi="黑体" w:eastAsia="黑体"/>
          <w:b w:val="0"/>
          <w:bCs w:val="0"/>
          <w:color w:val="auto"/>
          <w:spacing w:val="40"/>
          <w:sz w:val="36"/>
          <w:szCs w:val="36"/>
          <w:highlight w:val="none"/>
        </w:rPr>
        <w:t>二〇</w:t>
      </w:r>
      <w:r>
        <w:rPr>
          <w:rFonts w:hint="eastAsia" w:ascii="黑体" w:hAnsi="黑体" w:eastAsia="黑体"/>
          <w:b w:val="0"/>
          <w:bCs w:val="0"/>
          <w:color w:val="auto"/>
          <w:spacing w:val="40"/>
          <w:sz w:val="36"/>
          <w:szCs w:val="36"/>
          <w:highlight w:val="none"/>
          <w:lang w:val="en-US" w:eastAsia="zh-CN"/>
        </w:rPr>
        <w:t>二</w:t>
      </w:r>
      <w:r>
        <w:rPr>
          <w:rFonts w:hint="eastAsia" w:ascii="黑体" w:hAnsi="黑体" w:eastAsia="黑体"/>
          <w:b w:val="0"/>
          <w:bCs w:val="0"/>
          <w:color w:val="auto"/>
          <w:spacing w:val="40"/>
          <w:sz w:val="36"/>
          <w:szCs w:val="36"/>
          <w:highlight w:val="none"/>
          <w:lang w:eastAsia="zh-CN"/>
        </w:rPr>
        <w:t>六</w:t>
      </w:r>
      <w:r>
        <w:rPr>
          <w:rFonts w:hint="eastAsia" w:ascii="黑体" w:hAnsi="黑体" w:eastAsia="黑体"/>
          <w:b w:val="0"/>
          <w:bCs w:val="0"/>
          <w:color w:val="auto"/>
          <w:spacing w:val="40"/>
          <w:sz w:val="36"/>
          <w:szCs w:val="36"/>
          <w:highlight w:val="none"/>
        </w:rPr>
        <w:t>年</w:t>
      </w:r>
      <w:r>
        <w:rPr>
          <w:rFonts w:hint="eastAsia" w:ascii="黑体" w:hAnsi="黑体" w:eastAsia="黑体"/>
          <w:b w:val="0"/>
          <w:bCs w:val="0"/>
          <w:color w:val="auto"/>
          <w:spacing w:val="40"/>
          <w:sz w:val="36"/>
          <w:szCs w:val="36"/>
          <w:highlight w:val="none"/>
          <w:lang w:eastAsia="zh-CN"/>
        </w:rPr>
        <w:t>九</w:t>
      </w:r>
      <w:r>
        <w:rPr>
          <w:rFonts w:hint="eastAsia" w:ascii="黑体" w:hAnsi="黑体" w:eastAsia="黑体"/>
          <w:b w:val="0"/>
          <w:bCs w:val="0"/>
          <w:color w:val="auto"/>
          <w:spacing w:val="40"/>
          <w:sz w:val="36"/>
          <w:szCs w:val="36"/>
          <w:highlight w:val="none"/>
        </w:rPr>
        <w:t>月</w:t>
      </w:r>
    </w:p>
    <w:p>
      <w:pPr>
        <w:adjustRightInd w:val="0"/>
        <w:spacing w:line="540" w:lineRule="exact"/>
        <w:ind w:firstLine="640" w:firstLineChars="200"/>
        <w:rPr>
          <w:rFonts w:hint="eastAsia" w:ascii="仿宋_GB2312" w:hAnsi="仿宋_GB2312" w:eastAsia="仿宋_GB2312" w:cs="仿宋_GB2312"/>
          <w:bCs/>
          <w:color w:val="auto"/>
          <w:sz w:val="32"/>
          <w:szCs w:val="32"/>
          <w:highlight w:val="none"/>
        </w:rPr>
        <w:sectPr>
          <w:headerReference r:id="rId3" w:type="default"/>
          <w:footerReference r:id="rId4" w:type="default"/>
          <w:pgSz w:w="11906" w:h="16838"/>
          <w:pgMar w:top="1440" w:right="1800" w:bottom="1440" w:left="1800"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黑体" w:cs="Times New Roman"/>
          <w:color w:val="auto"/>
          <w:sz w:val="32"/>
          <w:szCs w:val="32"/>
          <w:lang w:val="en-US" w:eastAsia="zh-CN"/>
        </w:rPr>
      </w:pPr>
      <w:bookmarkStart w:id="0" w:name="OLE_LINK1"/>
      <w:r>
        <w:rPr>
          <w:rFonts w:hint="default" w:ascii="Times New Roman" w:hAnsi="Times New Roman" w:eastAsia="黑体" w:cs="Times New Roman"/>
          <w:color w:val="auto"/>
          <w:sz w:val="32"/>
          <w:szCs w:val="32"/>
          <w:lang w:val="en-US" w:eastAsia="zh-CN"/>
        </w:rPr>
        <w:t>一、</w:t>
      </w:r>
      <w:r>
        <w:rPr>
          <w:rFonts w:hint="eastAsia" w:ascii="Times New Roman" w:hAnsi="Times New Roman" w:eastAsia="黑体" w:cs="Times New Roman"/>
          <w:color w:val="auto"/>
          <w:sz w:val="32"/>
          <w:szCs w:val="32"/>
          <w:lang w:val="en-US" w:eastAsia="zh-CN"/>
        </w:rPr>
        <w:t>修</w:t>
      </w:r>
      <w:r>
        <w:rPr>
          <w:rFonts w:hint="default" w:ascii="Times New Roman" w:hAnsi="Times New Roman" w:eastAsia="黑体" w:cs="Times New Roman"/>
          <w:color w:val="auto"/>
          <w:sz w:val="32"/>
          <w:szCs w:val="32"/>
          <w:lang w:val="en-US" w:eastAsia="zh-CN"/>
        </w:rPr>
        <w:t>编背景</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《汕头市集中式地表水饮用水水源地突发环境事件应急预案》</w:t>
      </w:r>
      <w:r>
        <w:rPr>
          <w:rFonts w:hint="default" w:ascii="Times New Roman" w:hAnsi="Times New Roman" w:eastAsia="仿宋_GB2312" w:cs="Times New Roman"/>
          <w:sz w:val="32"/>
          <w:szCs w:val="32"/>
          <w:lang w:eastAsia="zh-CN"/>
        </w:rPr>
        <w:t>（汕府</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2021</w:t>
      </w:r>
      <w:r>
        <w:rPr>
          <w:rFonts w:hint="default" w:ascii="Times New Roman" w:hAnsi="Times New Roman" w:eastAsia="仿宋" w:cs="Times New Roman"/>
          <w:sz w:val="32"/>
          <w:szCs w:val="32"/>
          <w:lang w:eastAsia="zh-CN"/>
        </w:rPr>
        <w:t>〕</w:t>
      </w:r>
      <w:r>
        <w:rPr>
          <w:rFonts w:hint="default" w:ascii="Times New Roman" w:hAnsi="Times New Roman" w:eastAsia="仿宋_GB2312" w:cs="Times New Roman"/>
          <w:sz w:val="32"/>
          <w:szCs w:val="32"/>
          <w:lang w:val="en-US" w:eastAsia="zh-CN"/>
        </w:rPr>
        <w:t>3号</w:t>
      </w:r>
      <w:r>
        <w:rPr>
          <w:rFonts w:hint="default" w:ascii="Times New Roman" w:hAnsi="Times New Roman" w:eastAsia="仿宋_GB2312" w:cs="Times New Roman"/>
          <w:sz w:val="32"/>
          <w:szCs w:val="32"/>
          <w:lang w:eastAsia="zh-CN"/>
        </w:rPr>
        <w:t>）自实施以来</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对提升汕头市集中式地表水饮用水水源地突发环境事件防控能力发挥了重要作用。近年来，</w:t>
      </w:r>
      <w:r>
        <w:rPr>
          <w:rFonts w:hint="default" w:ascii="Times New Roman" w:hAnsi="Times New Roman" w:eastAsia="仿宋_GB2312" w:cs="Times New Roman"/>
          <w:sz w:val="32"/>
          <w:szCs w:val="32"/>
        </w:rPr>
        <w:t>国家</w:t>
      </w:r>
      <w:r>
        <w:rPr>
          <w:rFonts w:hint="default" w:ascii="Times New Roman" w:hAnsi="Times New Roman" w:eastAsia="仿宋_GB2312" w:cs="Times New Roman"/>
          <w:sz w:val="32"/>
          <w:szCs w:val="32"/>
          <w:lang w:eastAsia="zh-CN"/>
        </w:rPr>
        <w:t>、省、市三级应急管理体系持续完善，</w:t>
      </w:r>
      <w:r>
        <w:rPr>
          <w:rFonts w:hint="default" w:ascii="Times New Roman" w:hAnsi="Times New Roman" w:eastAsia="仿宋_GB2312" w:cs="Times New Roman"/>
          <w:sz w:val="32"/>
          <w:szCs w:val="32"/>
        </w:rPr>
        <w:t>《中华人民共和国突发事件应对法》</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2024年修订</w:t>
      </w:r>
      <w:r>
        <w:rPr>
          <w:rFonts w:hint="default" w:ascii="Times New Roman" w:hAnsi="Times New Roman" w:eastAsia="仿宋_GB2312" w:cs="Times New Roman"/>
          <w:sz w:val="32"/>
          <w:szCs w:val="32"/>
          <w:lang w:eastAsia="zh-CN"/>
        </w:rPr>
        <w:t>）、</w:t>
      </w:r>
      <w:bookmarkStart w:id="1" w:name="OLE_LINK2"/>
      <w:r>
        <w:rPr>
          <w:rFonts w:hint="default" w:ascii="Times New Roman" w:hAnsi="Times New Roman" w:eastAsia="仿宋_GB2312" w:cs="Times New Roman"/>
          <w:sz w:val="32"/>
          <w:szCs w:val="32"/>
        </w:rPr>
        <w:t>《广东省突发事件应对条例》</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2025年修订</w:t>
      </w:r>
      <w:r>
        <w:rPr>
          <w:rFonts w:hint="default" w:ascii="Times New Roman" w:hAnsi="Times New Roman" w:eastAsia="仿宋_GB2312" w:cs="Times New Roman"/>
          <w:sz w:val="32"/>
          <w:szCs w:val="32"/>
          <w:lang w:eastAsia="zh-CN"/>
        </w:rPr>
        <w:t>）</w:t>
      </w:r>
      <w:bookmarkEnd w:id="1"/>
      <w:r>
        <w:rPr>
          <w:rFonts w:hint="default" w:ascii="Times New Roman" w:hAnsi="Times New Roman" w:eastAsia="仿宋_GB2312" w:cs="Times New Roman"/>
          <w:sz w:val="32"/>
          <w:szCs w:val="32"/>
          <w:lang w:eastAsia="zh-CN"/>
        </w:rPr>
        <w:t>、</w:t>
      </w:r>
      <w:bookmarkStart w:id="2" w:name="OLE_LINK3"/>
      <w:r>
        <w:rPr>
          <w:rFonts w:hint="default" w:ascii="Times New Roman" w:hAnsi="Times New Roman" w:eastAsia="仿宋_GB2312" w:cs="Times New Roman"/>
          <w:sz w:val="32"/>
          <w:szCs w:val="32"/>
        </w:rPr>
        <w:t>《广东省突发环境事件应急预案》</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2022年</w:t>
      </w:r>
      <w:r>
        <w:rPr>
          <w:rFonts w:hint="default" w:ascii="Times New Roman" w:hAnsi="Times New Roman" w:eastAsia="仿宋_GB2312" w:cs="Times New Roman"/>
          <w:sz w:val="32"/>
          <w:szCs w:val="32"/>
          <w:lang w:eastAsia="zh-CN"/>
        </w:rPr>
        <w:t>修订）</w:t>
      </w:r>
      <w:bookmarkEnd w:id="2"/>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《汕头市突发环境事件应急预案》</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2023年</w:t>
      </w:r>
      <w:r>
        <w:rPr>
          <w:rFonts w:hint="default" w:ascii="Times New Roman" w:hAnsi="Times New Roman" w:eastAsia="仿宋_GB2312" w:cs="Times New Roman"/>
          <w:sz w:val="32"/>
          <w:szCs w:val="32"/>
          <w:lang w:eastAsia="zh-CN"/>
        </w:rPr>
        <w:t>修订）、《汕头市突发事件总体应急预案》（</w:t>
      </w:r>
      <w:r>
        <w:rPr>
          <w:rFonts w:hint="default" w:ascii="Times New Roman" w:hAnsi="Times New Roman" w:eastAsia="仿宋_GB2312" w:cs="Times New Roman"/>
          <w:sz w:val="32"/>
          <w:szCs w:val="32"/>
          <w:lang w:val="en-US" w:eastAsia="zh-CN"/>
        </w:rPr>
        <w:t>2024年印发</w:t>
      </w:r>
      <w:r>
        <w:rPr>
          <w:rFonts w:hint="default" w:ascii="Times New Roman" w:hAnsi="Times New Roman" w:eastAsia="仿宋_GB2312" w:cs="Times New Roman"/>
          <w:sz w:val="32"/>
          <w:szCs w:val="32"/>
          <w:lang w:eastAsia="zh-CN"/>
        </w:rPr>
        <w:t>）相继颁发实</w:t>
      </w:r>
      <w:bookmarkStart w:id="11" w:name="_GoBack"/>
      <w:bookmarkEnd w:id="11"/>
      <w:r>
        <w:rPr>
          <w:rFonts w:hint="default" w:ascii="Times New Roman" w:hAnsi="Times New Roman" w:eastAsia="仿宋_GB2312" w:cs="Times New Roman"/>
          <w:sz w:val="32"/>
          <w:szCs w:val="32"/>
          <w:lang w:eastAsia="zh-CN"/>
        </w:rPr>
        <w:t>施。为适应新形势下应急管理要求，确保与上位法律法规及上级预案有效衔接，亟需对现行预案开展修订。</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color w:val="auto"/>
          <w:kern w:val="0"/>
          <w:sz w:val="30"/>
          <w:szCs w:val="30"/>
          <w:lang w:val="en-US" w:eastAsia="zh-CN" w:bidi="ar"/>
        </w:rPr>
      </w:pPr>
      <w:r>
        <w:rPr>
          <w:rFonts w:hint="default" w:ascii="Times New Roman" w:hAnsi="Times New Roman" w:eastAsia="仿宋_GB2312" w:cs="Times New Roman"/>
          <w:sz w:val="32"/>
          <w:szCs w:val="32"/>
        </w:rPr>
        <w:t>为</w:t>
      </w:r>
      <w:r>
        <w:rPr>
          <w:rFonts w:hint="default" w:ascii="Times New Roman" w:hAnsi="Times New Roman" w:eastAsia="仿宋_GB2312" w:cs="Times New Roman"/>
          <w:sz w:val="32"/>
          <w:szCs w:val="32"/>
          <w:lang w:eastAsia="zh-CN"/>
        </w:rPr>
        <w:t>深入贯彻落实</w:t>
      </w:r>
      <w:r>
        <w:rPr>
          <w:rFonts w:hint="default" w:ascii="Times New Roman" w:hAnsi="Times New Roman" w:eastAsia="仿宋_GB2312" w:cs="Times New Roman"/>
          <w:sz w:val="32"/>
          <w:szCs w:val="32"/>
        </w:rPr>
        <w:t>国家</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省</w:t>
      </w:r>
      <w:r>
        <w:rPr>
          <w:rFonts w:hint="default" w:ascii="Times New Roman" w:hAnsi="Times New Roman" w:eastAsia="仿宋_GB2312" w:cs="Times New Roman"/>
          <w:sz w:val="32"/>
          <w:szCs w:val="32"/>
          <w:lang w:eastAsia="zh-CN"/>
        </w:rPr>
        <w:t>最新法律法规，</w:t>
      </w:r>
      <w:r>
        <w:rPr>
          <w:rFonts w:hint="default" w:ascii="Times New Roman" w:hAnsi="Times New Roman" w:eastAsia="仿宋_GB2312" w:cs="Times New Roman"/>
          <w:color w:val="auto"/>
          <w:kern w:val="2"/>
          <w:sz w:val="32"/>
          <w:szCs w:val="32"/>
          <w:lang w:val="en-US" w:eastAsia="zh-CN" w:bidi="ar-SA"/>
        </w:rPr>
        <w:t>有效衔接上级应急预案及应急响应体系，</w:t>
      </w:r>
      <w:r>
        <w:rPr>
          <w:rFonts w:hint="default" w:ascii="Times New Roman" w:hAnsi="Times New Roman" w:eastAsia="仿宋_GB2312" w:cs="Times New Roman"/>
          <w:sz w:val="32"/>
          <w:szCs w:val="32"/>
        </w:rPr>
        <w:t>结合</w:t>
      </w:r>
      <w:r>
        <w:rPr>
          <w:rFonts w:hint="default" w:ascii="Times New Roman" w:hAnsi="Times New Roman" w:eastAsia="仿宋_GB2312" w:cs="Times New Roman"/>
          <w:sz w:val="32"/>
          <w:szCs w:val="32"/>
          <w:lang w:eastAsia="zh-CN"/>
        </w:rPr>
        <w:t>近年来</w:t>
      </w:r>
      <w:r>
        <w:rPr>
          <w:rFonts w:hint="default" w:ascii="Times New Roman" w:hAnsi="Times New Roman" w:eastAsia="仿宋_GB2312" w:cs="Times New Roman"/>
          <w:sz w:val="32"/>
          <w:szCs w:val="32"/>
        </w:rPr>
        <w:t>预案实施</w:t>
      </w:r>
      <w:r>
        <w:rPr>
          <w:rFonts w:hint="default" w:ascii="Times New Roman" w:hAnsi="Times New Roman" w:eastAsia="仿宋_GB2312" w:cs="Times New Roman"/>
          <w:sz w:val="32"/>
          <w:szCs w:val="32"/>
          <w:lang w:eastAsia="zh-CN"/>
        </w:rPr>
        <w:t>情况及</w:t>
      </w:r>
      <w:r>
        <w:rPr>
          <w:rFonts w:hint="default" w:ascii="Times New Roman" w:hAnsi="Times New Roman" w:eastAsia="仿宋_GB2312" w:cs="Times New Roman"/>
          <w:sz w:val="32"/>
          <w:szCs w:val="32"/>
        </w:rPr>
        <w:t>实地应急演练经验，</w:t>
      </w:r>
      <w:r>
        <w:rPr>
          <w:rFonts w:hint="default" w:ascii="Times New Roman" w:hAnsi="Times New Roman" w:eastAsia="仿宋_GB2312" w:cs="Times New Roman"/>
          <w:color w:val="auto"/>
          <w:kern w:val="2"/>
          <w:sz w:val="32"/>
          <w:szCs w:val="32"/>
          <w:lang w:val="en-US" w:eastAsia="zh-CN" w:bidi="ar-SA"/>
        </w:rPr>
        <w:t>汕头市生态环境局组织</w:t>
      </w:r>
      <w:r>
        <w:rPr>
          <w:rFonts w:hint="default" w:ascii="Times New Roman" w:hAnsi="Times New Roman" w:eastAsia="仿宋_GB2312" w:cs="Times New Roman"/>
          <w:sz w:val="32"/>
          <w:szCs w:val="32"/>
        </w:rPr>
        <w:t>对</w:t>
      </w:r>
      <w:r>
        <w:rPr>
          <w:rFonts w:hint="default" w:ascii="Times New Roman" w:hAnsi="Times New Roman" w:eastAsia="仿宋_GB2312" w:cs="Times New Roman"/>
          <w:sz w:val="32"/>
          <w:szCs w:val="32"/>
          <w:lang w:eastAsia="zh-CN"/>
        </w:rPr>
        <w:t>现行预案</w:t>
      </w:r>
      <w:r>
        <w:rPr>
          <w:rFonts w:hint="default" w:ascii="Times New Roman" w:hAnsi="Times New Roman" w:eastAsia="仿宋_GB2312" w:cs="Times New Roman"/>
          <w:sz w:val="32"/>
          <w:szCs w:val="32"/>
        </w:rPr>
        <w:t>进行修订</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auto"/>
          <w:sz w:val="32"/>
          <w:szCs w:val="32"/>
          <w:lang w:val="en-US" w:eastAsia="zh-CN"/>
        </w:rPr>
        <w:t>形成了《汕头市集中式地表水饮用水水源地突发环境事件应急预案》，以进一步完善</w:t>
      </w:r>
      <w:r>
        <w:rPr>
          <w:rFonts w:hint="default" w:ascii="Times New Roman" w:hAnsi="Times New Roman" w:eastAsia="仿宋_GB2312" w:cs="Times New Roman"/>
          <w:color w:val="auto"/>
          <w:sz w:val="32"/>
          <w:szCs w:val="32"/>
          <w:lang w:eastAsia="zh-CN"/>
        </w:rPr>
        <w:t>应急</w:t>
      </w:r>
      <w:r>
        <w:rPr>
          <w:rFonts w:hint="default" w:ascii="Times New Roman" w:hAnsi="Times New Roman" w:eastAsia="仿宋_GB2312" w:cs="Times New Roman"/>
          <w:color w:val="auto"/>
          <w:sz w:val="32"/>
          <w:szCs w:val="32"/>
          <w:lang w:val="en-US" w:eastAsia="zh-CN"/>
        </w:rPr>
        <w:t>工作机制、明确职责分工，切实</w:t>
      </w:r>
      <w:r>
        <w:rPr>
          <w:rFonts w:hint="default" w:ascii="Times New Roman" w:hAnsi="Times New Roman" w:eastAsia="仿宋_GB2312" w:cs="Times New Roman"/>
          <w:sz w:val="32"/>
          <w:szCs w:val="32"/>
          <w:lang w:eastAsia="zh-CN"/>
        </w:rPr>
        <w:t>增强预案的实用性与操作性，全面提升</w:t>
      </w:r>
      <w:r>
        <w:rPr>
          <w:rFonts w:hint="default" w:ascii="Times New Roman" w:hAnsi="Times New Roman" w:eastAsia="仿宋_GB2312" w:cs="Times New Roman"/>
          <w:sz w:val="32"/>
          <w:szCs w:val="32"/>
        </w:rPr>
        <w:t>我市</w:t>
      </w:r>
      <w:r>
        <w:rPr>
          <w:rFonts w:hint="default" w:ascii="Times New Roman" w:hAnsi="Times New Roman" w:eastAsia="仿宋_GB2312" w:cs="Times New Roman"/>
          <w:sz w:val="32"/>
          <w:szCs w:val="32"/>
          <w:lang w:eastAsia="zh-CN"/>
        </w:rPr>
        <w:t>集中式地表水</w:t>
      </w:r>
      <w:r>
        <w:rPr>
          <w:rFonts w:hint="default" w:ascii="Times New Roman" w:hAnsi="Times New Roman" w:eastAsia="仿宋_GB2312" w:cs="Times New Roman"/>
          <w:sz w:val="32"/>
          <w:szCs w:val="32"/>
        </w:rPr>
        <w:t>饮用水水源地突发环境事件</w:t>
      </w:r>
      <w:r>
        <w:rPr>
          <w:rFonts w:hint="default"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预防预警和应急处置能力</w:t>
      </w:r>
      <w:r>
        <w:rPr>
          <w:rFonts w:hint="default" w:ascii="Times New Roman" w:hAnsi="Times New Roman" w:eastAsia="仿宋_GB2312" w:cs="Times New Roman"/>
          <w:sz w:val="32"/>
          <w:szCs w:val="32"/>
          <w:lang w:eastAsia="zh-CN"/>
        </w:rPr>
        <w:t>。</w:t>
      </w:r>
      <w:bookmarkEnd w:id="0"/>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838" w:firstLineChars="262"/>
        <w:jc w:val="both"/>
        <w:textAlignment w:val="auto"/>
        <w:rPr>
          <w:rFonts w:hint="default"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修编</w:t>
      </w:r>
      <w:r>
        <w:rPr>
          <w:rFonts w:hint="default" w:ascii="Times New Roman" w:hAnsi="Times New Roman" w:eastAsia="黑体" w:cs="Times New Roman"/>
          <w:color w:val="auto"/>
          <w:kern w:val="2"/>
          <w:sz w:val="32"/>
          <w:szCs w:val="32"/>
          <w:lang w:val="en-US" w:eastAsia="zh-CN" w:bidi="ar-SA"/>
        </w:rPr>
        <w:t>依据</w:t>
      </w:r>
    </w:p>
    <w:p>
      <w:pPr>
        <w:pStyle w:val="4"/>
        <w:keepNext w:val="0"/>
        <w:keepLines w:val="0"/>
        <w:pageBreakBefore w:val="0"/>
        <w:widowControl w:val="0"/>
        <w:numPr>
          <w:ilvl w:val="0"/>
          <w:numId w:val="2"/>
        </w:numPr>
        <w:kinsoku/>
        <w:wordWrap/>
        <w:overflowPunct/>
        <w:topLinePunct w:val="0"/>
        <w:autoSpaceDE/>
        <w:autoSpaceDN/>
        <w:bidi w:val="0"/>
        <w:spacing w:after="0" w:line="560" w:lineRule="exact"/>
        <w:ind w:firstLine="640" w:firstLineChars="200"/>
        <w:textAlignment w:val="auto"/>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楷体_GB2312" w:cs="Times New Roman"/>
          <w:b w:val="0"/>
          <w:bCs w:val="0"/>
          <w:color w:val="auto"/>
          <w:spacing w:val="0"/>
          <w:sz w:val="32"/>
          <w:szCs w:val="32"/>
          <w:lang w:val="en-US" w:eastAsia="zh-CN"/>
        </w:rPr>
        <w:t>法律法规依据。</w:t>
      </w:r>
      <w:r>
        <w:rPr>
          <w:rFonts w:hint="default" w:ascii="Times New Roman" w:hAnsi="Times New Roman" w:eastAsia="仿宋_GB2312" w:cs="Times New Roman"/>
          <w:color w:val="auto"/>
          <w:kern w:val="2"/>
          <w:sz w:val="32"/>
          <w:szCs w:val="24"/>
          <w:lang w:val="en-US" w:eastAsia="zh-CN" w:bidi="ar-SA"/>
        </w:rPr>
        <w:t>包括</w:t>
      </w:r>
      <w:r>
        <w:rPr>
          <w:rFonts w:hint="default" w:ascii="Times New Roman" w:hAnsi="Times New Roman" w:eastAsia="仿宋_GB2312" w:cs="Times New Roman"/>
          <w:b w:val="0"/>
          <w:bCs w:val="0"/>
          <w:color w:val="auto"/>
          <w:spacing w:val="0"/>
          <w:kern w:val="2"/>
          <w:sz w:val="32"/>
          <w:szCs w:val="32"/>
          <w:lang w:val="en-US" w:eastAsia="zh-CN" w:bidi="ar-SA"/>
        </w:rPr>
        <w:t>《中华人民共和国生态环境法典》</w:t>
      </w:r>
      <w:r>
        <w:rPr>
          <w:rFonts w:hint="default" w:ascii="Times New Roman" w:hAnsi="Times New Roman" w:eastAsia="仿宋_GB2312" w:cs="Times New Roman"/>
          <w:color w:val="auto"/>
          <w:kern w:val="2"/>
          <w:sz w:val="32"/>
          <w:szCs w:val="24"/>
          <w:lang w:val="en-US" w:eastAsia="zh-CN" w:bidi="ar-SA"/>
        </w:rPr>
        <w:t>《中华人民共和国突发事件应对法》《中华人民共和国水法》《</w:t>
      </w:r>
      <w:bookmarkStart w:id="3" w:name="OLE_LINK4"/>
      <w:r>
        <w:rPr>
          <w:rFonts w:hint="default" w:ascii="Times New Roman" w:hAnsi="Times New Roman" w:eastAsia="仿宋_GB2312" w:cs="Times New Roman"/>
          <w:color w:val="auto"/>
          <w:kern w:val="2"/>
          <w:sz w:val="32"/>
          <w:szCs w:val="24"/>
          <w:lang w:val="en-US" w:eastAsia="zh-CN" w:bidi="ar-SA"/>
        </w:rPr>
        <w:t>广东省水污染防治条例</w:t>
      </w:r>
      <w:bookmarkEnd w:id="3"/>
      <w:r>
        <w:rPr>
          <w:rFonts w:hint="default" w:ascii="Times New Roman" w:hAnsi="Times New Roman" w:eastAsia="仿宋_GB2312" w:cs="Times New Roman"/>
          <w:color w:val="auto"/>
          <w:kern w:val="2"/>
          <w:sz w:val="32"/>
          <w:szCs w:val="24"/>
          <w:lang w:val="en-US" w:eastAsia="zh-CN" w:bidi="ar-SA"/>
        </w:rPr>
        <w:t>》《广东省突发事件应对条例》等。</w:t>
      </w:r>
    </w:p>
    <w:p>
      <w:pPr>
        <w:pStyle w:val="4"/>
        <w:keepNext w:val="0"/>
        <w:keepLines w:val="0"/>
        <w:pageBreakBefore w:val="0"/>
        <w:widowControl w:val="0"/>
        <w:numPr>
          <w:ilvl w:val="0"/>
          <w:numId w:val="0"/>
        </w:numPr>
        <w:kinsoku/>
        <w:wordWrap/>
        <w:overflowPunct/>
        <w:topLinePunct w:val="0"/>
        <w:autoSpaceDE/>
        <w:autoSpaceDN/>
        <w:bidi w:val="0"/>
        <w:spacing w:after="0" w:line="560" w:lineRule="exact"/>
        <w:ind w:firstLine="640" w:firstLineChars="200"/>
        <w:textAlignment w:val="auto"/>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楷体_GB2312" w:cs="Times New Roman"/>
          <w:b w:val="0"/>
          <w:bCs w:val="0"/>
          <w:color w:val="auto"/>
          <w:spacing w:val="0"/>
          <w:sz w:val="32"/>
          <w:szCs w:val="32"/>
          <w:lang w:val="en-US" w:eastAsia="zh-CN"/>
        </w:rPr>
        <w:t>（二）部门规章政策依据。</w:t>
      </w:r>
      <w:r>
        <w:rPr>
          <w:rFonts w:hint="default" w:ascii="Times New Roman" w:hAnsi="Times New Roman" w:eastAsia="仿宋_GB2312" w:cs="Times New Roman"/>
          <w:color w:val="auto"/>
          <w:kern w:val="2"/>
          <w:sz w:val="32"/>
          <w:szCs w:val="24"/>
          <w:lang w:val="en-US" w:eastAsia="zh-CN" w:bidi="ar-SA"/>
        </w:rPr>
        <w:t>包括《</w:t>
      </w:r>
      <w:bookmarkStart w:id="4" w:name="OLE_LINK6"/>
      <w:r>
        <w:rPr>
          <w:rFonts w:hint="default" w:ascii="Times New Roman" w:hAnsi="Times New Roman" w:eastAsia="仿宋_GB2312" w:cs="Times New Roman"/>
          <w:color w:val="auto"/>
          <w:kern w:val="2"/>
          <w:sz w:val="32"/>
          <w:szCs w:val="24"/>
          <w:lang w:val="en-US" w:eastAsia="zh-CN" w:bidi="ar-SA"/>
        </w:rPr>
        <w:t>突发环境事件应急管理办法</w:t>
      </w:r>
      <w:bookmarkEnd w:id="4"/>
      <w:r>
        <w:rPr>
          <w:rFonts w:hint="default" w:ascii="Times New Roman" w:hAnsi="Times New Roman" w:eastAsia="仿宋_GB2312" w:cs="Times New Roman"/>
          <w:color w:val="auto"/>
          <w:kern w:val="2"/>
          <w:sz w:val="32"/>
          <w:szCs w:val="24"/>
          <w:lang w:val="en-US" w:eastAsia="zh-CN" w:bidi="ar-SA"/>
        </w:rPr>
        <w:t>》《</w:t>
      </w:r>
      <w:bookmarkStart w:id="5" w:name="OLE_LINK5"/>
      <w:r>
        <w:rPr>
          <w:rFonts w:hint="default" w:ascii="Times New Roman" w:hAnsi="Times New Roman" w:eastAsia="仿宋_GB2312" w:cs="Times New Roman"/>
          <w:color w:val="auto"/>
          <w:kern w:val="2"/>
          <w:sz w:val="32"/>
          <w:szCs w:val="24"/>
          <w:lang w:val="en-US" w:eastAsia="zh-CN" w:bidi="ar-SA"/>
        </w:rPr>
        <w:t>突发事件应急预案管理办法</w:t>
      </w:r>
      <w:bookmarkEnd w:id="5"/>
      <w:r>
        <w:rPr>
          <w:rFonts w:hint="default" w:ascii="Times New Roman" w:hAnsi="Times New Roman" w:eastAsia="仿宋_GB2312" w:cs="Times New Roman"/>
          <w:color w:val="auto"/>
          <w:kern w:val="2"/>
          <w:sz w:val="32"/>
          <w:szCs w:val="24"/>
          <w:lang w:val="en-US" w:eastAsia="zh-CN" w:bidi="ar-SA"/>
        </w:rPr>
        <w:t>》《突发环境事件信息报告办法》《突发环境事件调查处理办法》《广东省突发环境事件应急预案管理办法》《广东省突发环境事件预警信息发布管理办法》《集中式地表水饮用水水源地突发环境事件应急预案编制指南（试行）》等。</w:t>
      </w:r>
    </w:p>
    <w:p>
      <w:pPr>
        <w:pStyle w:val="4"/>
        <w:keepNext w:val="0"/>
        <w:keepLines w:val="0"/>
        <w:pageBreakBefore w:val="0"/>
        <w:widowControl w:val="0"/>
        <w:numPr>
          <w:ilvl w:val="0"/>
          <w:numId w:val="0"/>
        </w:numPr>
        <w:kinsoku/>
        <w:wordWrap/>
        <w:overflowPunct/>
        <w:topLinePunct w:val="0"/>
        <w:autoSpaceDE/>
        <w:autoSpaceDN/>
        <w:bidi w:val="0"/>
        <w:spacing w:after="0" w:line="560" w:lineRule="exact"/>
        <w:ind w:firstLine="640" w:firstLineChars="200"/>
        <w:textAlignment w:val="auto"/>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楷体_GB2312" w:cs="Times New Roman"/>
          <w:b w:val="0"/>
          <w:bCs w:val="0"/>
          <w:color w:val="auto"/>
          <w:spacing w:val="0"/>
          <w:sz w:val="32"/>
          <w:szCs w:val="32"/>
          <w:lang w:val="en-US" w:eastAsia="zh-CN"/>
        </w:rPr>
        <w:t>（三）上级预案依据。</w:t>
      </w:r>
      <w:r>
        <w:rPr>
          <w:rFonts w:hint="default" w:ascii="Times New Roman" w:hAnsi="Times New Roman" w:eastAsia="仿宋_GB2312" w:cs="Times New Roman"/>
          <w:color w:val="auto"/>
          <w:kern w:val="2"/>
          <w:sz w:val="32"/>
          <w:szCs w:val="24"/>
          <w:lang w:val="en-US" w:eastAsia="zh-CN" w:bidi="ar-SA"/>
        </w:rPr>
        <w:t>包括《国家突发公共事件总体应急预案》《国家突发环境事件应急预案》《广东省突发环境事件应急预案》《汕头市突发环境事件应急预案》《汕头市突发事件总体应急预案》等。</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黑体" w:hAnsi="黑体" w:eastAsia="黑体" w:cs="黑体"/>
          <w:b w:val="0"/>
          <w:bCs/>
          <w:sz w:val="32"/>
          <w:szCs w:val="32"/>
          <w:lang w:val="en-US" w:eastAsia="zh-CN"/>
        </w:rPr>
        <w:t>三</w:t>
      </w:r>
      <w:r>
        <w:rPr>
          <w:rFonts w:hint="default" w:ascii="黑体" w:hAnsi="黑体" w:eastAsia="黑体" w:cs="黑体"/>
          <w:b w:val="0"/>
          <w:bCs/>
          <w:sz w:val="32"/>
          <w:szCs w:val="32"/>
          <w:lang w:val="en-US" w:eastAsia="zh-CN"/>
        </w:rPr>
        <w:t>、</w:t>
      </w:r>
      <w:r>
        <w:rPr>
          <w:rFonts w:hint="eastAsia" w:ascii="黑体" w:hAnsi="黑体" w:eastAsia="黑体" w:cs="黑体"/>
          <w:b w:val="0"/>
          <w:bCs/>
          <w:sz w:val="32"/>
          <w:szCs w:val="32"/>
          <w:lang w:val="en-US" w:eastAsia="zh-CN"/>
        </w:rPr>
        <w:t>主要修</w:t>
      </w:r>
      <w:r>
        <w:rPr>
          <w:rFonts w:hint="eastAsia" w:ascii="黑体" w:hAnsi="黑体" w:cs="黑体"/>
          <w:b w:val="0"/>
          <w:bCs/>
          <w:sz w:val="32"/>
          <w:szCs w:val="32"/>
          <w:lang w:val="en-US" w:eastAsia="zh-CN"/>
        </w:rPr>
        <w:t>编</w:t>
      </w:r>
      <w:r>
        <w:rPr>
          <w:rFonts w:hint="eastAsia" w:ascii="黑体" w:hAnsi="黑体" w:eastAsia="黑体" w:cs="黑体"/>
          <w:b w:val="0"/>
          <w:bCs/>
          <w:sz w:val="32"/>
          <w:szCs w:val="32"/>
          <w:lang w:val="en-US" w:eastAsia="zh-CN"/>
        </w:rPr>
        <w:t>内容</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与</w:t>
      </w:r>
      <w:r>
        <w:rPr>
          <w:rFonts w:hint="default" w:ascii="Times New Roman" w:hAnsi="Times New Roman" w:eastAsia="仿宋_GB2312" w:cs="Times New Roman"/>
          <w:kern w:val="2"/>
          <w:sz w:val="32"/>
          <w:szCs w:val="32"/>
          <w:lang w:val="en-US" w:eastAsia="zh-CN" w:bidi="ar-SA"/>
        </w:rPr>
        <w:t>2021版预案</w:t>
      </w:r>
      <w:r>
        <w:rPr>
          <w:rFonts w:hint="eastAsia" w:ascii="Times New Roman" w:hAnsi="Times New Roman" w:eastAsia="仿宋_GB2312" w:cs="Times New Roman"/>
          <w:kern w:val="2"/>
          <w:sz w:val="32"/>
          <w:szCs w:val="32"/>
          <w:lang w:val="en-US" w:eastAsia="zh-CN" w:bidi="ar-SA"/>
        </w:rPr>
        <w:t>对比，新预案主要有以下几点修改：</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楷体_GB2312" w:hAnsi="楷体_GB2312" w:eastAsia="楷体_GB2312" w:cs="楷体_GB2312"/>
          <w:b/>
          <w:bCs w:val="0"/>
          <w:position w:val="0"/>
          <w:sz w:val="32"/>
          <w:szCs w:val="32"/>
        </w:rPr>
        <w:t>（一）</w:t>
      </w:r>
      <w:r>
        <w:rPr>
          <w:rFonts w:hint="eastAsia" w:ascii="Times New Roman" w:hAnsi="Times New Roman" w:eastAsia="仿宋_GB2312" w:cs="Times New Roman"/>
          <w:kern w:val="2"/>
          <w:sz w:val="32"/>
          <w:szCs w:val="32"/>
          <w:lang w:val="en-US" w:eastAsia="zh-CN" w:bidi="ar-SA"/>
        </w:rPr>
        <w:t>减少了区（县）级应急指挥机构的内容，经征求市委编办意见，依据《地方议事协调机构管理办法（试行）》，明确不在市级预案中要求区（县）设立或变相设立议事协调机构，改为在区（县）人民政府编制的区（县）级预案中进行明确。</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rPr>
          <w:rFonts w:hint="default" w:ascii="Times New Roman" w:hAnsi="Times New Roman" w:eastAsia="仿宋_GB2312" w:cs="Times New Roman"/>
          <w:kern w:val="2"/>
          <w:sz w:val="32"/>
          <w:szCs w:val="32"/>
          <w:lang w:val="en-US" w:eastAsia="zh-CN" w:bidi="ar-SA"/>
        </w:rPr>
      </w:pPr>
      <w:r>
        <w:rPr>
          <w:rFonts w:hint="eastAsia" w:ascii="楷体_GB2312" w:hAnsi="楷体_GB2312" w:eastAsia="楷体_GB2312" w:cs="楷体_GB2312"/>
          <w:b/>
          <w:bCs w:val="0"/>
          <w:position w:val="0"/>
          <w:sz w:val="32"/>
          <w:szCs w:val="32"/>
        </w:rPr>
        <w:t>（</w:t>
      </w:r>
      <w:r>
        <w:rPr>
          <w:rFonts w:hint="eastAsia" w:ascii="楷体_GB2312" w:hAnsi="楷体_GB2312" w:eastAsia="楷体_GB2312" w:cs="楷体_GB2312"/>
          <w:b/>
          <w:bCs w:val="0"/>
          <w:position w:val="0"/>
          <w:sz w:val="32"/>
          <w:szCs w:val="32"/>
          <w:lang w:eastAsia="zh-CN"/>
        </w:rPr>
        <w:t>二</w:t>
      </w:r>
      <w:r>
        <w:rPr>
          <w:rFonts w:hint="eastAsia" w:ascii="楷体_GB2312" w:hAnsi="楷体_GB2312" w:eastAsia="楷体_GB2312" w:cs="楷体_GB2312"/>
          <w:b/>
          <w:bCs w:val="0"/>
          <w:position w:val="0"/>
          <w:sz w:val="32"/>
          <w:szCs w:val="32"/>
        </w:rPr>
        <w:t>）</w:t>
      </w:r>
      <w:r>
        <w:rPr>
          <w:rFonts w:hint="default" w:ascii="Times New Roman" w:hAnsi="Times New Roman" w:eastAsia="仿宋_GB2312" w:cs="Times New Roman"/>
          <w:kern w:val="2"/>
          <w:sz w:val="32"/>
          <w:szCs w:val="32"/>
          <w:lang w:val="en-US" w:eastAsia="zh-CN" w:bidi="ar-SA"/>
        </w:rPr>
        <w:t>新增事件调查、生态环境损害评估、善后处置、生态修复全流程管理要求，实现“一次处置、全域整改、长效治理”。</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rPr>
          <w:rFonts w:hint="default" w:ascii="Times New Roman" w:hAnsi="Times New Roman" w:eastAsia="仿宋_GB2312" w:cs="Times New Roman"/>
          <w:kern w:val="2"/>
          <w:sz w:val="32"/>
          <w:szCs w:val="32"/>
          <w:lang w:val="en-US" w:eastAsia="zh-CN" w:bidi="ar-SA"/>
        </w:rPr>
      </w:pPr>
      <w:r>
        <w:rPr>
          <w:rFonts w:hint="eastAsia" w:ascii="楷体_GB2312" w:hAnsi="楷体_GB2312" w:eastAsia="楷体_GB2312" w:cs="楷体_GB2312"/>
          <w:b/>
          <w:bCs w:val="0"/>
          <w:position w:val="0"/>
          <w:sz w:val="32"/>
          <w:szCs w:val="32"/>
        </w:rPr>
        <w:t>（</w:t>
      </w:r>
      <w:r>
        <w:rPr>
          <w:rFonts w:hint="eastAsia" w:ascii="楷体_GB2312" w:hAnsi="楷体_GB2312" w:eastAsia="楷体_GB2312" w:cs="楷体_GB2312"/>
          <w:b/>
          <w:bCs w:val="0"/>
          <w:position w:val="0"/>
          <w:sz w:val="32"/>
          <w:szCs w:val="32"/>
          <w:lang w:eastAsia="zh-CN"/>
        </w:rPr>
        <w:t>三</w:t>
      </w:r>
      <w:r>
        <w:rPr>
          <w:rFonts w:hint="eastAsia" w:ascii="楷体_GB2312" w:hAnsi="楷体_GB2312" w:eastAsia="楷体_GB2312" w:cs="楷体_GB2312"/>
          <w:b/>
          <w:bCs w:val="0"/>
          <w:position w:val="0"/>
          <w:sz w:val="32"/>
          <w:szCs w:val="32"/>
        </w:rPr>
        <w:t>）</w:t>
      </w:r>
      <w:r>
        <w:rPr>
          <w:rFonts w:hint="default" w:ascii="Times New Roman" w:hAnsi="Times New Roman" w:eastAsia="仿宋_GB2312" w:cs="Times New Roman"/>
          <w:kern w:val="2"/>
          <w:sz w:val="32"/>
          <w:szCs w:val="32"/>
          <w:lang w:val="en-US" w:eastAsia="zh-CN" w:bidi="ar-SA"/>
        </w:rPr>
        <w:t>细化市、区两级应急经费、专业处置队伍、应急物资储备、通讯交通保障机制，明确年度应急演练、常态化培训硬性要求，推动应急处置从</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被动应对</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向</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主动防控</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转变。</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楷体_GB2312" w:hAnsi="楷体_GB2312" w:eastAsia="楷体_GB2312" w:cs="楷体_GB2312"/>
          <w:b/>
          <w:bCs w:val="0"/>
          <w:position w:val="0"/>
          <w:sz w:val="32"/>
          <w:szCs w:val="32"/>
        </w:rPr>
        <w:t>（</w:t>
      </w:r>
      <w:r>
        <w:rPr>
          <w:rFonts w:hint="eastAsia" w:ascii="楷体_GB2312" w:hAnsi="楷体_GB2312" w:eastAsia="楷体_GB2312" w:cs="楷体_GB2312"/>
          <w:b/>
          <w:bCs w:val="0"/>
          <w:position w:val="0"/>
          <w:sz w:val="32"/>
          <w:szCs w:val="32"/>
          <w:lang w:eastAsia="zh-CN"/>
        </w:rPr>
        <w:t>四</w:t>
      </w:r>
      <w:r>
        <w:rPr>
          <w:rFonts w:hint="eastAsia" w:ascii="楷体_GB2312" w:hAnsi="楷体_GB2312" w:eastAsia="楷体_GB2312" w:cs="楷体_GB2312"/>
          <w:b/>
          <w:bCs w:val="0"/>
          <w:position w:val="0"/>
          <w:sz w:val="32"/>
          <w:szCs w:val="32"/>
        </w:rPr>
        <w:t>）</w:t>
      </w:r>
      <w:r>
        <w:rPr>
          <w:rFonts w:hint="eastAsia" w:ascii="Times New Roman" w:hAnsi="Times New Roman" w:eastAsia="仿宋_GB2312" w:cs="Times New Roman"/>
          <w:kern w:val="2"/>
          <w:sz w:val="32"/>
          <w:szCs w:val="32"/>
          <w:lang w:val="en-US" w:eastAsia="zh-CN" w:bidi="ar-SA"/>
        </w:rPr>
        <w:t>增加了汕头市集中式地表水饮用水水源地突发环境事件</w:t>
      </w:r>
      <w:r>
        <w:rPr>
          <w:rFonts w:hint="default" w:ascii="Times New Roman" w:hAnsi="Times New Roman" w:eastAsia="仿宋_GB2312" w:cs="Times New Roman"/>
          <w:kern w:val="2"/>
          <w:sz w:val="32"/>
          <w:szCs w:val="32"/>
          <w:lang w:val="en-US" w:eastAsia="zh-CN" w:bidi="ar-SA"/>
        </w:rPr>
        <w:t>应急响应流程图</w:t>
      </w:r>
      <w:r>
        <w:rPr>
          <w:rFonts w:hint="eastAsia" w:ascii="Times New Roman" w:hAnsi="Times New Roman" w:eastAsia="仿宋_GB2312" w:cs="Times New Roman"/>
          <w:kern w:val="2"/>
          <w:sz w:val="32"/>
          <w:szCs w:val="32"/>
          <w:lang w:val="en-US" w:eastAsia="zh-CN" w:bidi="ar-SA"/>
        </w:rPr>
        <w:t>作为附件，将信息研判、预警发布、分级响应、现场处置、响应终止等关键程序可视化，便于应急状态下各单位快速厘清处置顺序、部门流转关系，为水源地突发环境事件快速处置提供直观指引。</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2" w:firstLineChars="200"/>
        <w:jc w:val="both"/>
        <w:textAlignment w:val="auto"/>
        <w:rPr>
          <w:rFonts w:hint="eastAsia" w:ascii="黑体" w:hAnsi="黑体" w:eastAsia="黑体" w:cs="黑体"/>
          <w:b w:val="0"/>
          <w:bCs/>
          <w:sz w:val="32"/>
          <w:szCs w:val="32"/>
          <w:lang w:eastAsia="zh-CN"/>
        </w:rPr>
      </w:pPr>
      <w:r>
        <w:rPr>
          <w:rFonts w:hint="eastAsia" w:ascii="Times New Roman" w:hAnsi="Times New Roman" w:cs="Times New Roman"/>
          <w:color w:val="auto"/>
          <w:sz w:val="32"/>
          <w:szCs w:val="32"/>
          <w:lang w:val="en-US" w:eastAsia="zh-CN"/>
        </w:rPr>
        <w:t>四</w:t>
      </w:r>
      <w:r>
        <w:rPr>
          <w:rFonts w:hint="default" w:ascii="Times New Roman" w:hAnsi="Times New Roman" w:eastAsia="黑体" w:cs="Times New Roman"/>
          <w:color w:val="auto"/>
          <w:sz w:val="32"/>
          <w:szCs w:val="32"/>
          <w:lang w:val="en-US" w:eastAsia="zh-CN"/>
        </w:rPr>
        <w:t>、</w:t>
      </w:r>
      <w:r>
        <w:rPr>
          <w:rFonts w:hint="eastAsia" w:ascii="黑体" w:hAnsi="黑体" w:cs="黑体"/>
          <w:b w:val="0"/>
          <w:bCs/>
          <w:sz w:val="32"/>
          <w:szCs w:val="32"/>
          <w:lang w:val="en-US" w:eastAsia="zh-CN"/>
        </w:rPr>
        <w:t>修编成果</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修编后</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预案</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包括</w:t>
      </w:r>
      <w:r>
        <w:rPr>
          <w:rFonts w:hint="default" w:ascii="Times New Roman" w:hAnsi="Times New Roman" w:eastAsia="仿宋_GB2312" w:cs="Times New Roman"/>
          <w:sz w:val="32"/>
          <w:szCs w:val="32"/>
          <w:lang w:val="en-US" w:eastAsia="zh-CN"/>
        </w:rPr>
        <w:t>七个章节及附件，</w:t>
      </w:r>
      <w:r>
        <w:rPr>
          <w:rFonts w:hint="eastAsia" w:ascii="Times New Roman" w:hAnsi="Times New Roman" w:eastAsia="仿宋_GB2312" w:cs="Times New Roman"/>
          <w:sz w:val="32"/>
          <w:szCs w:val="32"/>
          <w:lang w:val="en-US" w:eastAsia="zh-CN"/>
        </w:rPr>
        <w:t>主要为：</w:t>
      </w:r>
      <w:bookmarkStart w:id="6" w:name="_Toc15525"/>
      <w:bookmarkStart w:id="7" w:name="_Toc139229271"/>
      <w:bookmarkStart w:id="8" w:name="_Toc4875"/>
      <w:bookmarkStart w:id="9" w:name="_Toc139230165"/>
      <w:bookmarkStart w:id="10" w:name="_Toc22062_WPSOffice_Level2"/>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2" w:firstLineChars="200"/>
        <w:jc w:val="both"/>
        <w:textAlignment w:val="auto"/>
        <w:rPr>
          <w:rFonts w:hint="eastAsia" w:ascii="Times New Roman" w:hAnsi="Times New Roman" w:eastAsia="仿宋_GB2312" w:cs="Times New Roman"/>
          <w:sz w:val="32"/>
          <w:szCs w:val="32"/>
          <w:lang w:val="en-US" w:eastAsia="zh-CN"/>
        </w:rPr>
      </w:pPr>
      <w:r>
        <w:rPr>
          <w:rFonts w:hint="eastAsia" w:ascii="楷体_GB2312" w:hAnsi="楷体_GB2312" w:eastAsia="楷体_GB2312" w:cs="楷体_GB2312"/>
          <w:b/>
          <w:bCs w:val="0"/>
          <w:position w:val="0"/>
          <w:sz w:val="32"/>
          <w:szCs w:val="32"/>
        </w:rPr>
        <w:t>（一）</w:t>
      </w:r>
      <w:bookmarkEnd w:id="6"/>
      <w:bookmarkEnd w:id="7"/>
      <w:bookmarkEnd w:id="8"/>
      <w:bookmarkEnd w:id="9"/>
      <w:bookmarkEnd w:id="10"/>
      <w:r>
        <w:rPr>
          <w:rFonts w:hint="eastAsia" w:ascii="楷体_GB2312" w:hAnsi="楷体_GB2312" w:eastAsia="楷体_GB2312" w:cs="楷体_GB2312"/>
          <w:b/>
          <w:bCs w:val="0"/>
          <w:position w:val="0"/>
          <w:sz w:val="32"/>
          <w:szCs w:val="32"/>
          <w:lang w:eastAsia="zh-CN"/>
        </w:rPr>
        <w:t>总则。</w:t>
      </w:r>
      <w:r>
        <w:rPr>
          <w:rFonts w:hint="eastAsia" w:ascii="Times New Roman" w:hAnsi="Times New Roman" w:eastAsia="仿宋_GB2312" w:cs="Times New Roman"/>
          <w:sz w:val="32"/>
          <w:szCs w:val="32"/>
          <w:lang w:val="en-US" w:eastAsia="zh-CN"/>
        </w:rPr>
        <w:t>该部分明确了预案编制目的、依据、工作原则、适用范围、饮用水源地突发环境事件分级体系。</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2" w:firstLineChars="200"/>
        <w:jc w:val="both"/>
        <w:textAlignment w:val="auto"/>
        <w:rPr>
          <w:rFonts w:hint="eastAsia" w:ascii="Times New Roman" w:hAnsi="Times New Roman" w:eastAsia="仿宋_GB2312" w:cs="Times New Roman"/>
          <w:sz w:val="32"/>
          <w:szCs w:val="32"/>
          <w:lang w:val="en-US" w:eastAsia="zh-CN"/>
        </w:rPr>
      </w:pPr>
      <w:r>
        <w:rPr>
          <w:rFonts w:hint="eastAsia" w:ascii="楷体_GB2312" w:hAnsi="楷体_GB2312" w:eastAsia="楷体_GB2312" w:cs="楷体_GB2312"/>
          <w:b/>
          <w:bCs w:val="0"/>
          <w:position w:val="0"/>
          <w:sz w:val="32"/>
          <w:szCs w:val="32"/>
        </w:rPr>
        <w:t>（</w:t>
      </w:r>
      <w:r>
        <w:rPr>
          <w:rFonts w:hint="eastAsia" w:ascii="楷体_GB2312" w:hAnsi="楷体_GB2312" w:eastAsia="楷体_GB2312" w:cs="楷体_GB2312"/>
          <w:b/>
          <w:bCs w:val="0"/>
          <w:position w:val="0"/>
          <w:sz w:val="32"/>
          <w:szCs w:val="32"/>
          <w:lang w:eastAsia="zh-CN"/>
        </w:rPr>
        <w:t>二</w:t>
      </w:r>
      <w:r>
        <w:rPr>
          <w:rFonts w:hint="eastAsia" w:ascii="楷体_GB2312" w:hAnsi="楷体_GB2312" w:eastAsia="楷体_GB2312" w:cs="楷体_GB2312"/>
          <w:b/>
          <w:bCs w:val="0"/>
          <w:position w:val="0"/>
          <w:sz w:val="32"/>
          <w:szCs w:val="32"/>
        </w:rPr>
        <w:t>）</w:t>
      </w:r>
      <w:r>
        <w:rPr>
          <w:rFonts w:hint="eastAsia" w:ascii="楷体_GB2312" w:hAnsi="楷体_GB2312" w:eastAsia="楷体_GB2312" w:cs="楷体_GB2312"/>
          <w:b/>
          <w:bCs w:val="0"/>
          <w:position w:val="0"/>
          <w:sz w:val="32"/>
          <w:szCs w:val="32"/>
          <w:lang w:val="en-US" w:eastAsia="zh-CN"/>
        </w:rPr>
        <w:t>应急组织指挥体系</w:t>
      </w:r>
      <w:r>
        <w:rPr>
          <w:rFonts w:hint="eastAsia" w:ascii="楷体_GB2312" w:hAnsi="楷体_GB2312" w:eastAsia="楷体_GB2312" w:cs="楷体_GB2312"/>
          <w:b/>
          <w:bCs w:val="0"/>
          <w:position w:val="0"/>
          <w:sz w:val="32"/>
          <w:szCs w:val="32"/>
          <w:lang w:eastAsia="zh-CN"/>
        </w:rPr>
        <w:t>。</w:t>
      </w:r>
      <w:r>
        <w:rPr>
          <w:rFonts w:hint="eastAsia" w:ascii="Times New Roman" w:hAnsi="Times New Roman" w:eastAsia="仿宋_GB2312" w:cs="Times New Roman"/>
          <w:sz w:val="32"/>
          <w:szCs w:val="32"/>
          <w:lang w:val="en-US" w:eastAsia="zh-CN"/>
        </w:rPr>
        <w:t>该部分明确了在市突发事件应急委员会领导机构下，建立以市饮用水源突发事件应急指挥部（下称市指挥部）为核心的应急组织体系，包括市指挥部办公室、市现场指挥部、现场工作组和28个成员单位，并明确各成员单位职责和现场工作组组成及职责。</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2" w:firstLineChars="200"/>
        <w:jc w:val="both"/>
        <w:textAlignment w:val="auto"/>
        <w:rPr>
          <w:rFonts w:hint="eastAsia" w:ascii="Times New Roman" w:hAnsi="Times New Roman" w:eastAsia="仿宋_GB2312" w:cs="Times New Roman"/>
          <w:sz w:val="32"/>
          <w:szCs w:val="32"/>
          <w:lang w:val="en-US" w:eastAsia="zh-CN"/>
        </w:rPr>
      </w:pPr>
      <w:r>
        <w:rPr>
          <w:rFonts w:hint="eastAsia" w:ascii="楷体_GB2312" w:hAnsi="楷体_GB2312" w:eastAsia="楷体_GB2312" w:cs="楷体_GB2312"/>
          <w:b/>
          <w:bCs w:val="0"/>
          <w:position w:val="0"/>
          <w:sz w:val="32"/>
          <w:szCs w:val="32"/>
        </w:rPr>
        <w:t>（</w:t>
      </w:r>
      <w:r>
        <w:rPr>
          <w:rFonts w:hint="eastAsia" w:ascii="楷体_GB2312" w:hAnsi="楷体_GB2312" w:eastAsia="楷体_GB2312" w:cs="楷体_GB2312"/>
          <w:b/>
          <w:bCs w:val="0"/>
          <w:position w:val="0"/>
          <w:sz w:val="32"/>
          <w:szCs w:val="32"/>
          <w:lang w:eastAsia="zh-CN"/>
        </w:rPr>
        <w:t>三</w:t>
      </w:r>
      <w:r>
        <w:rPr>
          <w:rFonts w:hint="eastAsia" w:ascii="楷体_GB2312" w:hAnsi="楷体_GB2312" w:eastAsia="楷体_GB2312" w:cs="楷体_GB2312"/>
          <w:b/>
          <w:bCs w:val="0"/>
          <w:position w:val="0"/>
          <w:sz w:val="32"/>
          <w:szCs w:val="32"/>
        </w:rPr>
        <w:t>）</w:t>
      </w:r>
      <w:r>
        <w:rPr>
          <w:rFonts w:hint="eastAsia" w:ascii="楷体_GB2312" w:hAnsi="楷体_GB2312" w:eastAsia="楷体_GB2312" w:cs="楷体_GB2312"/>
          <w:b/>
          <w:bCs w:val="0"/>
          <w:position w:val="0"/>
          <w:sz w:val="32"/>
          <w:szCs w:val="32"/>
          <w:lang w:val="en-US" w:eastAsia="zh-CN"/>
        </w:rPr>
        <w:t>应急响应</w:t>
      </w:r>
      <w:r>
        <w:rPr>
          <w:rFonts w:hint="eastAsia" w:ascii="楷体_GB2312" w:hAnsi="楷体_GB2312" w:eastAsia="楷体_GB2312" w:cs="楷体_GB2312"/>
          <w:b/>
          <w:bCs w:val="0"/>
          <w:position w:val="0"/>
          <w:sz w:val="32"/>
          <w:szCs w:val="32"/>
          <w:lang w:eastAsia="zh-CN"/>
        </w:rPr>
        <w:t>。</w:t>
      </w:r>
      <w:r>
        <w:rPr>
          <w:rFonts w:hint="eastAsia" w:ascii="Times New Roman" w:hAnsi="Times New Roman" w:eastAsia="仿宋_GB2312" w:cs="Times New Roman"/>
          <w:sz w:val="32"/>
          <w:szCs w:val="32"/>
          <w:lang w:val="en-US" w:eastAsia="zh-CN"/>
        </w:rPr>
        <w:t>该部分明确了建立统一指挥、分级响应的应急响应机制，</w:t>
      </w:r>
      <w:r>
        <w:rPr>
          <w:rFonts w:hint="default" w:ascii="Times New Roman" w:hAnsi="Times New Roman" w:eastAsia="仿宋_GB2312" w:cs="Times New Roman"/>
          <w:sz w:val="32"/>
          <w:szCs w:val="32"/>
          <w:lang w:val="en-US" w:eastAsia="zh-CN"/>
        </w:rPr>
        <w:t>涵盖了</w:t>
      </w:r>
      <w:r>
        <w:rPr>
          <w:rFonts w:hint="eastAsia" w:ascii="Times New Roman" w:hAnsi="Times New Roman" w:eastAsia="仿宋_GB2312" w:cs="Times New Roman"/>
          <w:sz w:val="32"/>
          <w:szCs w:val="32"/>
          <w:lang w:val="en-US" w:eastAsia="zh-CN"/>
        </w:rPr>
        <w:t>从</w:t>
      </w:r>
      <w:r>
        <w:rPr>
          <w:rFonts w:hint="default" w:ascii="Times New Roman" w:hAnsi="Times New Roman" w:eastAsia="仿宋_GB2312" w:cs="Times New Roman"/>
          <w:sz w:val="32"/>
          <w:szCs w:val="32"/>
          <w:lang w:val="en-US" w:eastAsia="zh-CN"/>
        </w:rPr>
        <w:t>预警、信息报告与通报、响应启动、响应措施（包括指挥协调、排查处置、应急监测、物资调配保障、信息发布）、响应终止和后期工作等</w:t>
      </w:r>
      <w:r>
        <w:rPr>
          <w:rFonts w:hint="eastAsia" w:ascii="Times New Roman" w:hAnsi="Times New Roman" w:eastAsia="仿宋_GB2312" w:cs="Times New Roman"/>
          <w:sz w:val="32"/>
          <w:szCs w:val="32"/>
          <w:lang w:val="en-US" w:eastAsia="zh-CN"/>
        </w:rPr>
        <w:t>各个</w:t>
      </w:r>
      <w:r>
        <w:rPr>
          <w:rFonts w:hint="default" w:ascii="Times New Roman" w:hAnsi="Times New Roman" w:eastAsia="仿宋_GB2312" w:cs="Times New Roman"/>
          <w:sz w:val="32"/>
          <w:szCs w:val="32"/>
          <w:lang w:val="en-US" w:eastAsia="zh-CN"/>
        </w:rPr>
        <w:t>环节</w:t>
      </w:r>
      <w:r>
        <w:rPr>
          <w:rFonts w:hint="eastAsia" w:ascii="Times New Roman" w:hAnsi="Times New Roman" w:eastAsia="仿宋_GB2312" w:cs="Times New Roman"/>
          <w:sz w:val="32"/>
          <w:szCs w:val="32"/>
          <w:lang w:val="en-US" w:eastAsia="zh-CN"/>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2" w:firstLineChars="200"/>
        <w:jc w:val="both"/>
        <w:textAlignment w:val="auto"/>
        <w:rPr>
          <w:rFonts w:hint="eastAsia" w:ascii="Times New Roman" w:hAnsi="Times New Roman" w:eastAsia="仿宋_GB2312" w:cs="Times New Roman"/>
          <w:color w:val="auto"/>
          <w:kern w:val="2"/>
          <w:sz w:val="32"/>
          <w:szCs w:val="24"/>
          <w:highlight w:val="none"/>
          <w:u w:val="none"/>
          <w:lang w:val="en-US" w:eastAsia="zh-CN" w:bidi="ar-SA"/>
        </w:rPr>
      </w:pPr>
      <w:r>
        <w:rPr>
          <w:rFonts w:hint="eastAsia" w:ascii="楷体_GB2312" w:hAnsi="楷体_GB2312" w:eastAsia="楷体_GB2312" w:cs="楷体_GB2312"/>
          <w:b/>
          <w:bCs w:val="0"/>
          <w:position w:val="0"/>
          <w:sz w:val="32"/>
          <w:szCs w:val="32"/>
        </w:rPr>
        <w:t>（</w:t>
      </w:r>
      <w:r>
        <w:rPr>
          <w:rFonts w:hint="eastAsia" w:ascii="楷体_GB2312" w:hAnsi="楷体_GB2312" w:eastAsia="楷体_GB2312" w:cs="楷体_GB2312"/>
          <w:b/>
          <w:bCs w:val="0"/>
          <w:position w:val="0"/>
          <w:sz w:val="32"/>
          <w:szCs w:val="32"/>
          <w:lang w:eastAsia="zh-CN"/>
        </w:rPr>
        <w:t>四</w:t>
      </w:r>
      <w:r>
        <w:rPr>
          <w:rFonts w:hint="eastAsia" w:ascii="楷体_GB2312" w:hAnsi="楷体_GB2312" w:eastAsia="楷体_GB2312" w:cs="楷体_GB2312"/>
          <w:b/>
          <w:bCs w:val="0"/>
          <w:position w:val="0"/>
          <w:sz w:val="32"/>
          <w:szCs w:val="32"/>
        </w:rPr>
        <w:t>）</w:t>
      </w:r>
      <w:r>
        <w:rPr>
          <w:rFonts w:hint="eastAsia" w:ascii="楷体_GB2312" w:hAnsi="楷体_GB2312" w:eastAsia="楷体_GB2312" w:cs="楷体_GB2312"/>
          <w:b/>
          <w:bCs w:val="0"/>
          <w:position w:val="0"/>
          <w:sz w:val="32"/>
          <w:szCs w:val="32"/>
          <w:lang w:val="en-US" w:eastAsia="zh-CN"/>
        </w:rPr>
        <w:t>后期工作</w:t>
      </w:r>
      <w:r>
        <w:rPr>
          <w:rFonts w:hint="eastAsia" w:ascii="楷体_GB2312" w:hAnsi="楷体_GB2312" w:eastAsia="楷体_GB2312" w:cs="楷体_GB2312"/>
          <w:b/>
          <w:bCs w:val="0"/>
          <w:position w:val="0"/>
          <w:sz w:val="32"/>
          <w:szCs w:val="32"/>
          <w:lang w:eastAsia="zh-CN"/>
        </w:rPr>
        <w:t>。</w:t>
      </w:r>
      <w:r>
        <w:rPr>
          <w:rFonts w:hint="eastAsia" w:ascii="Times New Roman" w:hAnsi="Times New Roman" w:eastAsia="仿宋_GB2312" w:cs="Times New Roman"/>
          <w:sz w:val="32"/>
          <w:szCs w:val="32"/>
          <w:lang w:val="en-US" w:eastAsia="zh-CN"/>
        </w:rPr>
        <w:t>该部分明确了</w:t>
      </w:r>
      <w:r>
        <w:rPr>
          <w:rFonts w:hint="default" w:ascii="Times New Roman" w:hAnsi="Times New Roman" w:eastAsia="仿宋_GB2312" w:cs="Times New Roman"/>
          <w:color w:val="auto"/>
          <w:kern w:val="2"/>
          <w:sz w:val="32"/>
          <w:szCs w:val="24"/>
          <w:highlight w:val="none"/>
          <w:u w:val="none"/>
          <w:lang w:val="en-US" w:eastAsia="zh-CN" w:bidi="ar-SA"/>
        </w:rPr>
        <w:t>事件应急终止后</w:t>
      </w:r>
      <w:r>
        <w:rPr>
          <w:rFonts w:hint="eastAsia" w:ascii="Times New Roman" w:hAnsi="Times New Roman" w:eastAsia="仿宋_GB2312" w:cs="Times New Roman"/>
          <w:color w:val="auto"/>
          <w:kern w:val="2"/>
          <w:sz w:val="32"/>
          <w:szCs w:val="24"/>
          <w:highlight w:val="none"/>
          <w:u w:val="none"/>
          <w:lang w:val="en-US" w:eastAsia="zh-CN" w:bidi="ar-SA"/>
        </w:rPr>
        <w:t>需开展的后期防控、事件调查、损害评估、善后处置等工作。</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2" w:firstLineChars="200"/>
        <w:jc w:val="both"/>
        <w:textAlignment w:val="auto"/>
        <w:rPr>
          <w:rFonts w:hint="eastAsia" w:ascii="Times New Roman" w:hAnsi="Times New Roman" w:eastAsia="仿宋_GB2312" w:cs="Times New Roman"/>
          <w:b w:val="0"/>
          <w:bCs w:val="0"/>
          <w:color w:val="auto"/>
          <w:spacing w:val="0"/>
          <w:sz w:val="32"/>
          <w:szCs w:val="32"/>
          <w:lang w:val="en-US" w:eastAsia="zh-CN"/>
        </w:rPr>
      </w:pPr>
      <w:r>
        <w:rPr>
          <w:rFonts w:hint="eastAsia" w:ascii="楷体_GB2312" w:hAnsi="楷体_GB2312" w:eastAsia="楷体_GB2312" w:cs="楷体_GB2312"/>
          <w:b/>
          <w:bCs w:val="0"/>
          <w:position w:val="0"/>
          <w:sz w:val="32"/>
          <w:szCs w:val="32"/>
        </w:rPr>
        <w:t>（</w:t>
      </w:r>
      <w:r>
        <w:rPr>
          <w:rFonts w:hint="eastAsia" w:ascii="楷体_GB2312" w:hAnsi="楷体_GB2312" w:eastAsia="楷体_GB2312" w:cs="楷体_GB2312"/>
          <w:b/>
          <w:bCs w:val="0"/>
          <w:position w:val="0"/>
          <w:sz w:val="32"/>
          <w:szCs w:val="32"/>
          <w:lang w:eastAsia="zh-CN"/>
        </w:rPr>
        <w:t>五</w:t>
      </w:r>
      <w:r>
        <w:rPr>
          <w:rFonts w:hint="eastAsia" w:ascii="楷体_GB2312" w:hAnsi="楷体_GB2312" w:eastAsia="楷体_GB2312" w:cs="楷体_GB2312"/>
          <w:b/>
          <w:bCs w:val="0"/>
          <w:position w:val="0"/>
          <w:sz w:val="32"/>
          <w:szCs w:val="32"/>
        </w:rPr>
        <w:t>）</w:t>
      </w:r>
      <w:r>
        <w:rPr>
          <w:rFonts w:hint="eastAsia" w:ascii="楷体_GB2312" w:hAnsi="楷体_GB2312" w:eastAsia="楷体_GB2312" w:cs="楷体_GB2312"/>
          <w:b/>
          <w:bCs w:val="0"/>
          <w:position w:val="0"/>
          <w:sz w:val="32"/>
          <w:szCs w:val="32"/>
          <w:lang w:val="en-US" w:eastAsia="zh-CN"/>
        </w:rPr>
        <w:t>应急保障</w:t>
      </w:r>
      <w:r>
        <w:rPr>
          <w:rFonts w:hint="eastAsia" w:ascii="楷体_GB2312" w:hAnsi="楷体_GB2312" w:eastAsia="楷体_GB2312" w:cs="楷体_GB2312"/>
          <w:b/>
          <w:bCs w:val="0"/>
          <w:position w:val="0"/>
          <w:sz w:val="32"/>
          <w:szCs w:val="32"/>
          <w:lang w:eastAsia="zh-CN"/>
        </w:rPr>
        <w:t>。</w:t>
      </w:r>
      <w:r>
        <w:rPr>
          <w:rFonts w:hint="eastAsia" w:ascii="Times New Roman" w:hAnsi="Times New Roman" w:eastAsia="仿宋_GB2312" w:cs="Times New Roman"/>
          <w:sz w:val="32"/>
          <w:szCs w:val="32"/>
          <w:lang w:val="en-US" w:eastAsia="zh-CN"/>
        </w:rPr>
        <w:t>该部分</w:t>
      </w:r>
      <w:r>
        <w:rPr>
          <w:rFonts w:hint="default" w:ascii="Times New Roman" w:hAnsi="Times New Roman" w:eastAsia="仿宋_GB2312" w:cs="Times New Roman"/>
          <w:b w:val="0"/>
          <w:bCs w:val="0"/>
          <w:color w:val="auto"/>
          <w:spacing w:val="0"/>
          <w:sz w:val="32"/>
          <w:szCs w:val="32"/>
          <w:lang w:val="en-US" w:eastAsia="zh-CN"/>
        </w:rPr>
        <w:t>明确从</w:t>
      </w:r>
      <w:r>
        <w:rPr>
          <w:rFonts w:hint="eastAsia" w:ascii="Times New Roman" w:hAnsi="Times New Roman" w:eastAsia="仿宋_GB2312" w:cs="Times New Roman"/>
          <w:b w:val="0"/>
          <w:bCs w:val="0"/>
          <w:color w:val="auto"/>
          <w:spacing w:val="0"/>
          <w:sz w:val="32"/>
          <w:szCs w:val="32"/>
          <w:lang w:val="en-US" w:eastAsia="zh-CN"/>
        </w:rPr>
        <w:t>应急</w:t>
      </w:r>
      <w:r>
        <w:rPr>
          <w:rFonts w:hint="default" w:ascii="Times New Roman" w:hAnsi="Times New Roman" w:eastAsia="仿宋_GB2312" w:cs="Times New Roman"/>
          <w:b w:val="0"/>
          <w:bCs w:val="0"/>
          <w:color w:val="auto"/>
          <w:spacing w:val="0"/>
          <w:sz w:val="32"/>
          <w:szCs w:val="32"/>
          <w:lang w:val="en-US" w:eastAsia="zh-CN"/>
        </w:rPr>
        <w:t>队伍建设、</w:t>
      </w:r>
      <w:r>
        <w:rPr>
          <w:rFonts w:hint="eastAsia" w:ascii="Times New Roman" w:hAnsi="Times New Roman" w:eastAsia="仿宋_GB2312" w:cs="Times New Roman"/>
          <w:b w:val="0"/>
          <w:bCs w:val="0"/>
          <w:color w:val="auto"/>
          <w:spacing w:val="0"/>
          <w:sz w:val="32"/>
          <w:szCs w:val="32"/>
          <w:lang w:val="en-US" w:eastAsia="zh-CN"/>
        </w:rPr>
        <w:t>应急</w:t>
      </w:r>
      <w:r>
        <w:rPr>
          <w:rFonts w:hint="default" w:ascii="Times New Roman" w:hAnsi="Times New Roman" w:eastAsia="仿宋_GB2312" w:cs="Times New Roman"/>
          <w:b w:val="0"/>
          <w:bCs w:val="0"/>
          <w:color w:val="auto"/>
          <w:spacing w:val="0"/>
          <w:sz w:val="32"/>
          <w:szCs w:val="32"/>
          <w:lang w:val="en-US" w:eastAsia="zh-CN"/>
        </w:rPr>
        <w:t>经费保障、</w:t>
      </w:r>
      <w:r>
        <w:rPr>
          <w:rFonts w:hint="eastAsia" w:ascii="Times New Roman" w:hAnsi="Times New Roman" w:eastAsia="仿宋_GB2312" w:cs="Times New Roman"/>
          <w:b w:val="0"/>
          <w:bCs w:val="0"/>
          <w:color w:val="auto"/>
          <w:spacing w:val="0"/>
          <w:sz w:val="32"/>
          <w:szCs w:val="32"/>
          <w:lang w:val="en-US" w:eastAsia="zh-CN"/>
        </w:rPr>
        <w:t>应急</w:t>
      </w:r>
      <w:r>
        <w:rPr>
          <w:rFonts w:hint="default" w:ascii="Times New Roman" w:hAnsi="Times New Roman" w:eastAsia="仿宋_GB2312" w:cs="Times New Roman"/>
          <w:b w:val="0"/>
          <w:bCs w:val="0"/>
          <w:color w:val="auto"/>
          <w:spacing w:val="0"/>
          <w:sz w:val="32"/>
          <w:szCs w:val="32"/>
          <w:lang w:val="en-US" w:eastAsia="zh-CN"/>
        </w:rPr>
        <w:t>物资保障、通讯与信息保障、</w:t>
      </w:r>
      <w:r>
        <w:rPr>
          <w:rFonts w:hint="eastAsia" w:ascii="Times New Roman" w:hAnsi="Times New Roman" w:eastAsia="仿宋_GB2312" w:cs="Times New Roman"/>
          <w:b w:val="0"/>
          <w:bCs w:val="0"/>
          <w:color w:val="auto"/>
          <w:spacing w:val="0"/>
          <w:sz w:val="32"/>
          <w:szCs w:val="32"/>
          <w:lang w:val="en-US" w:eastAsia="zh-CN"/>
        </w:rPr>
        <w:t>其它</w:t>
      </w:r>
      <w:r>
        <w:rPr>
          <w:rFonts w:hint="default" w:ascii="Times New Roman" w:hAnsi="Times New Roman" w:eastAsia="仿宋_GB2312" w:cs="Times New Roman"/>
          <w:b w:val="0"/>
          <w:bCs w:val="0"/>
          <w:color w:val="auto"/>
          <w:spacing w:val="0"/>
          <w:sz w:val="32"/>
          <w:szCs w:val="32"/>
          <w:lang w:val="en-US" w:eastAsia="zh-CN"/>
        </w:rPr>
        <w:t>交通运输保障等方面做好应急</w:t>
      </w:r>
      <w:r>
        <w:rPr>
          <w:rFonts w:hint="eastAsia" w:ascii="Times New Roman" w:hAnsi="Times New Roman" w:eastAsia="仿宋_GB2312" w:cs="Times New Roman"/>
          <w:b w:val="0"/>
          <w:bCs w:val="0"/>
          <w:color w:val="auto"/>
          <w:spacing w:val="0"/>
          <w:sz w:val="32"/>
          <w:szCs w:val="32"/>
          <w:lang w:val="en-US" w:eastAsia="zh-CN"/>
        </w:rPr>
        <w:t>保障工作。</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2" w:firstLineChars="200"/>
        <w:jc w:val="both"/>
        <w:textAlignment w:val="auto"/>
        <w:rPr>
          <w:rFonts w:hint="eastAsia" w:ascii="Times New Roman" w:hAnsi="Times New Roman" w:eastAsia="仿宋_GB2312" w:cs="Times New Roman"/>
          <w:sz w:val="32"/>
          <w:szCs w:val="32"/>
          <w:lang w:val="en-US" w:eastAsia="zh-CN"/>
        </w:rPr>
      </w:pPr>
      <w:r>
        <w:rPr>
          <w:rFonts w:hint="eastAsia" w:ascii="楷体_GB2312" w:hAnsi="楷体_GB2312" w:eastAsia="楷体_GB2312" w:cs="楷体_GB2312"/>
          <w:b/>
          <w:bCs w:val="0"/>
          <w:position w:val="0"/>
          <w:sz w:val="32"/>
          <w:szCs w:val="32"/>
        </w:rPr>
        <w:t>（</w:t>
      </w:r>
      <w:r>
        <w:rPr>
          <w:rFonts w:hint="eastAsia" w:ascii="楷体_GB2312" w:hAnsi="楷体_GB2312" w:eastAsia="楷体_GB2312" w:cs="楷体_GB2312"/>
          <w:b/>
          <w:bCs w:val="0"/>
          <w:position w:val="0"/>
          <w:sz w:val="32"/>
          <w:szCs w:val="32"/>
          <w:lang w:eastAsia="zh-CN"/>
        </w:rPr>
        <w:t>六</w:t>
      </w:r>
      <w:r>
        <w:rPr>
          <w:rFonts w:hint="eastAsia" w:ascii="楷体_GB2312" w:hAnsi="楷体_GB2312" w:eastAsia="楷体_GB2312" w:cs="楷体_GB2312"/>
          <w:b/>
          <w:bCs w:val="0"/>
          <w:position w:val="0"/>
          <w:sz w:val="32"/>
          <w:szCs w:val="32"/>
        </w:rPr>
        <w:t>）</w:t>
      </w:r>
      <w:r>
        <w:rPr>
          <w:rFonts w:hint="eastAsia" w:ascii="楷体_GB2312" w:hAnsi="楷体_GB2312" w:eastAsia="楷体_GB2312" w:cs="楷体_GB2312"/>
          <w:b/>
          <w:bCs w:val="0"/>
          <w:position w:val="0"/>
          <w:sz w:val="32"/>
          <w:szCs w:val="32"/>
          <w:lang w:val="en-US" w:eastAsia="zh-CN"/>
        </w:rPr>
        <w:t>监督管理</w:t>
      </w:r>
      <w:r>
        <w:rPr>
          <w:rFonts w:hint="eastAsia" w:ascii="楷体_GB2312" w:hAnsi="楷体_GB2312" w:eastAsia="楷体_GB2312" w:cs="楷体_GB2312"/>
          <w:b/>
          <w:bCs w:val="0"/>
          <w:position w:val="0"/>
          <w:sz w:val="32"/>
          <w:szCs w:val="32"/>
          <w:lang w:eastAsia="zh-CN"/>
        </w:rPr>
        <w:t>。</w:t>
      </w:r>
      <w:r>
        <w:rPr>
          <w:rFonts w:hint="eastAsia" w:ascii="Times New Roman" w:hAnsi="Times New Roman" w:eastAsia="仿宋_GB2312" w:cs="Times New Roman"/>
          <w:sz w:val="32"/>
          <w:szCs w:val="32"/>
          <w:lang w:val="en-US" w:eastAsia="zh-CN"/>
        </w:rPr>
        <w:t>该部分明确从宣教培训、责任与奖惩等方面做好预案监督管理。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2" w:firstLineChars="200"/>
        <w:jc w:val="both"/>
        <w:textAlignment w:val="auto"/>
        <w:rPr>
          <w:rFonts w:hint="eastAsia" w:ascii="Times New Roman" w:hAnsi="Times New Roman" w:eastAsia="仿宋_GB2312" w:cs="Times New Roman"/>
          <w:sz w:val="32"/>
          <w:szCs w:val="32"/>
          <w:lang w:val="en-US" w:eastAsia="zh-CN"/>
        </w:rPr>
      </w:pPr>
      <w:r>
        <w:rPr>
          <w:rFonts w:hint="eastAsia" w:ascii="楷体_GB2312" w:hAnsi="楷体_GB2312" w:eastAsia="楷体_GB2312" w:cs="楷体_GB2312"/>
          <w:b/>
          <w:bCs w:val="0"/>
          <w:position w:val="0"/>
          <w:sz w:val="32"/>
          <w:szCs w:val="32"/>
        </w:rPr>
        <w:t>（</w:t>
      </w:r>
      <w:r>
        <w:rPr>
          <w:rFonts w:hint="eastAsia" w:ascii="楷体_GB2312" w:hAnsi="楷体_GB2312" w:eastAsia="楷体_GB2312" w:cs="楷体_GB2312"/>
          <w:b/>
          <w:bCs w:val="0"/>
          <w:position w:val="0"/>
          <w:sz w:val="32"/>
          <w:szCs w:val="32"/>
          <w:lang w:eastAsia="zh-CN"/>
        </w:rPr>
        <w:t>七</w:t>
      </w:r>
      <w:r>
        <w:rPr>
          <w:rFonts w:hint="eastAsia" w:ascii="楷体_GB2312" w:hAnsi="楷体_GB2312" w:eastAsia="楷体_GB2312" w:cs="楷体_GB2312"/>
          <w:b/>
          <w:bCs w:val="0"/>
          <w:position w:val="0"/>
          <w:sz w:val="32"/>
          <w:szCs w:val="32"/>
        </w:rPr>
        <w:t>）</w:t>
      </w:r>
      <w:r>
        <w:rPr>
          <w:rFonts w:hint="eastAsia" w:ascii="楷体_GB2312" w:hAnsi="楷体_GB2312" w:eastAsia="楷体_GB2312" w:cs="楷体_GB2312"/>
          <w:b/>
          <w:bCs w:val="0"/>
          <w:position w:val="0"/>
          <w:sz w:val="32"/>
          <w:szCs w:val="32"/>
          <w:lang w:eastAsia="zh-CN"/>
        </w:rPr>
        <w:t>附则。</w:t>
      </w:r>
      <w:r>
        <w:rPr>
          <w:rFonts w:hint="eastAsia" w:ascii="Times New Roman" w:hAnsi="Times New Roman" w:eastAsia="仿宋_GB2312" w:cs="Times New Roman"/>
          <w:kern w:val="2"/>
          <w:sz w:val="32"/>
          <w:szCs w:val="32"/>
          <w:lang w:val="en-US" w:eastAsia="zh-CN" w:bidi="ar-SA"/>
        </w:rPr>
        <w:t>该部分明确了有关名词术语、预案日常管理与修订、预案实施日期等。</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kern w:val="2"/>
          <w:sz w:val="32"/>
          <w:szCs w:val="32"/>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CC"/>
    <w:family w:val="roman"/>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仿宋"/>
    <w:panose1 w:val="02010600030101010101"/>
    <w:charset w:val="00"/>
    <w:family w:val="auto"/>
    <w:pitch w:val="default"/>
    <w:sig w:usb0="00000000" w:usb1="00000000" w:usb2="00000016" w:usb3="00000000" w:csb0="0004000F" w:csb1="00000000"/>
  </w:font>
  <w:font w:name="Calibri Light">
    <w:altName w:val="DejaVu Sans"/>
    <w:panose1 w:val="020F0302020204030204"/>
    <w:charset w:val="00"/>
    <w:family w:val="roman"/>
    <w:pitch w:val="default"/>
    <w:sig w:usb0="00000000" w:usb1="00000000"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FA88FC"/>
    <w:multiLevelType w:val="singleLevel"/>
    <w:tmpl w:val="CFFA88FC"/>
    <w:lvl w:ilvl="0" w:tentative="0">
      <w:start w:val="1"/>
      <w:numFmt w:val="chineseCounting"/>
      <w:suff w:val="nothing"/>
      <w:lvlText w:val="（%1）"/>
      <w:lvlJc w:val="left"/>
      <w:rPr>
        <w:rFonts w:hint="eastAsia"/>
      </w:rPr>
    </w:lvl>
  </w:abstractNum>
  <w:abstractNum w:abstractNumId="1">
    <w:nsid w:val="22A380D1"/>
    <w:multiLevelType w:val="singleLevel"/>
    <w:tmpl w:val="22A380D1"/>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FF5D06"/>
    <w:rsid w:val="136C02CB"/>
    <w:rsid w:val="17D9044B"/>
    <w:rsid w:val="21272D3A"/>
    <w:rsid w:val="2A9C19E4"/>
    <w:rsid w:val="2BD9A6CF"/>
    <w:rsid w:val="2FC73145"/>
    <w:rsid w:val="32211088"/>
    <w:rsid w:val="3D131C95"/>
    <w:rsid w:val="415D242D"/>
    <w:rsid w:val="4D5A10F8"/>
    <w:rsid w:val="55630D3C"/>
    <w:rsid w:val="5B0C6F99"/>
    <w:rsid w:val="613D17F5"/>
    <w:rsid w:val="61B22A27"/>
    <w:rsid w:val="69E079D9"/>
    <w:rsid w:val="703110F6"/>
    <w:rsid w:val="7554604C"/>
    <w:rsid w:val="789471E3"/>
    <w:rsid w:val="F7BDA0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Indent"/>
    <w:basedOn w:val="1"/>
    <w:unhideWhenUsed/>
    <w:qFormat/>
    <w:uiPriority w:val="0"/>
    <w:rPr>
      <w:rFonts w:cs="Times New Roman"/>
      <w:sz w:val="18"/>
    </w:rPr>
  </w:style>
  <w:style w:type="paragraph" w:styleId="4">
    <w:name w:val="Body Text"/>
    <w:basedOn w:val="1"/>
    <w:next w:val="1"/>
    <w:qFormat/>
    <w:uiPriority w:val="0"/>
    <w:pPr>
      <w:spacing w:after="120"/>
    </w:pPr>
    <w:rPr>
      <w:rFonts w:ascii="等线" w:hAnsi="等线" w:eastAsia="宋体" w:cs="Times New Roman"/>
      <w:szCs w:val="24"/>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Subtitle"/>
    <w:basedOn w:val="1"/>
    <w:next w:val="1"/>
    <w:qFormat/>
    <w:uiPriority w:val="0"/>
    <w:pPr>
      <w:spacing w:before="240" w:after="60" w:line="312" w:lineRule="auto"/>
      <w:jc w:val="center"/>
      <w:outlineLvl w:val="1"/>
    </w:pPr>
    <w:rPr>
      <w:rFonts w:ascii="Calibri Light" w:hAnsi="Calibri Light" w:eastAsia="宋体" w:cs="Times New Roman"/>
      <w:b/>
      <w:bCs/>
      <w:kern w:val="28"/>
      <w:sz w:val="32"/>
      <w:szCs w:val="32"/>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15</TotalTime>
  <ScaleCrop>false</ScaleCrop>
  <LinksUpToDate>false</LinksUpToDate>
  <CharactersWithSpaces>0</CharactersWithSpaces>
  <Application>WPS Office_11.8.2.10587_F1E327BC-269C-435d-A152-05C5408002CA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user</dc:creator>
  <cp:lastModifiedBy>ht706</cp:lastModifiedBy>
  <cp:lastPrinted>2020-10-16T01:38:00Z</cp:lastPrinted>
  <dcterms:modified xsi:type="dcterms:W3CDTF">2026-09-22T18:36:09Z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2052-11.8.2.10587</vt:lpwstr>
  </property>
  <property fmtid="{D5CDD505-2E9C-101B-9397-08002B2CF9AE}" pid="3" name="ICV">
    <vt:lpwstr>88A31E5F55C7D98CDFF9B16AE70DF88E_42</vt:lpwstr>
  </property>
</Properties>
</file>