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tabs>
          <w:tab w:val="left" w:pos="996"/>
          <w:tab w:val="left" w:pos="1494"/>
        </w:tabs>
        <w:kinsoku/>
        <w:wordWrap/>
        <w:overflowPunct/>
        <w:topLinePunct w:val="0"/>
        <w:autoSpaceDE/>
        <w:autoSpaceDN/>
        <w:bidi w:val="0"/>
        <w:adjustRightInd/>
        <w:snapToGrid/>
        <w:spacing w:before="156" w:after="156" w:line="380" w:lineRule="atLeast"/>
        <w:ind w:left="0" w:leftChars="0" w:right="0" w:rightChars="0"/>
        <w:jc w:val="center"/>
        <w:textAlignment w:val="auto"/>
        <w:rPr>
          <w:rFonts w:hint="eastAsia" w:ascii="黑体" w:hAnsi="黑体" w:eastAsia="黑体"/>
          <w:b w:val="0"/>
          <w:bCs w:val="0"/>
          <w:sz w:val="32"/>
          <w:szCs w:val="32"/>
        </w:rPr>
      </w:pPr>
      <w:bookmarkStart w:id="0" w:name="_Toc2262117"/>
      <w:bookmarkStart w:id="1" w:name="_Toc3466719"/>
      <w:bookmarkStart w:id="2" w:name="_Toc3467178"/>
      <w:bookmarkStart w:id="3" w:name="_Toc9603595"/>
    </w:p>
    <w:p>
      <w:pPr>
        <w:keepNext w:val="0"/>
        <w:keepLines w:val="0"/>
        <w:pageBreakBefore w:val="0"/>
        <w:tabs>
          <w:tab w:val="left" w:pos="996"/>
          <w:tab w:val="left" w:pos="1494"/>
        </w:tabs>
        <w:kinsoku/>
        <w:wordWrap/>
        <w:overflowPunct/>
        <w:topLinePunct w:val="0"/>
        <w:autoSpaceDE/>
        <w:autoSpaceDN/>
        <w:bidi w:val="0"/>
        <w:adjustRightInd/>
        <w:snapToGrid/>
        <w:spacing w:before="156" w:after="156" w:line="380" w:lineRule="atLeast"/>
        <w:ind w:left="0" w:leftChars="0" w:right="0" w:rightChars="0"/>
        <w:jc w:val="center"/>
        <w:textAlignment w:val="auto"/>
        <w:rPr>
          <w:rFonts w:hint="eastAsia" w:ascii="黑体" w:hAnsi="黑体" w:eastAsia="黑体"/>
          <w:b w:val="0"/>
          <w:bCs w:val="0"/>
          <w:sz w:val="32"/>
          <w:szCs w:val="32"/>
        </w:rPr>
      </w:pPr>
      <w:r>
        <w:rPr>
          <w:rFonts w:hint="eastAsia" w:ascii="黑体" w:hAnsi="黑体" w:eastAsia="黑体"/>
          <w:b w:val="0"/>
          <w:bCs w:val="0"/>
          <w:sz w:val="32"/>
          <w:szCs w:val="32"/>
        </w:rPr>
        <w:t>汕头市东海岸新城新溪片区控规局部修编-A组团（LH-02201控制单元西片）文本主要内容</w:t>
      </w:r>
    </w:p>
    <w:p>
      <w:pPr>
        <w:keepNext w:val="0"/>
        <w:keepLines w:val="0"/>
        <w:pageBreakBefore w:val="0"/>
        <w:tabs>
          <w:tab w:val="left" w:pos="996"/>
          <w:tab w:val="left" w:pos="1494"/>
        </w:tabs>
        <w:kinsoku/>
        <w:wordWrap/>
        <w:overflowPunct/>
        <w:topLinePunct w:val="0"/>
        <w:autoSpaceDE/>
        <w:autoSpaceDN/>
        <w:bidi w:val="0"/>
        <w:adjustRightInd/>
        <w:snapToGrid/>
        <w:spacing w:before="156" w:after="156" w:line="380" w:lineRule="atLeast"/>
        <w:ind w:left="0" w:leftChars="0" w:right="0" w:rightChars="0"/>
        <w:jc w:val="center"/>
        <w:textAlignment w:val="auto"/>
        <w:rPr>
          <w:rFonts w:hint="eastAsia" w:ascii="黑体" w:hAnsi="黑体" w:eastAsia="黑体"/>
          <w:b w:val="0"/>
          <w:bCs w:val="0"/>
          <w:sz w:val="32"/>
          <w:szCs w:val="32"/>
        </w:rPr>
      </w:pPr>
    </w:p>
    <w:bookmarkEnd w:id="0"/>
    <w:bookmarkEnd w:id="1"/>
    <w:bookmarkEnd w:id="2"/>
    <w:bookmarkEnd w:id="3"/>
    <w:p>
      <w:pPr>
        <w:pStyle w:val="3"/>
        <w:keepNext w:val="0"/>
        <w:keepLines w:val="0"/>
        <w:pageBreakBefore w:val="0"/>
        <w:tabs>
          <w:tab w:val="left" w:pos="996"/>
          <w:tab w:val="left" w:pos="1494"/>
          <w:tab w:val="clear" w:pos="1134"/>
        </w:tabs>
        <w:kinsoku/>
        <w:wordWrap/>
        <w:overflowPunct/>
        <w:topLinePunct w:val="0"/>
        <w:autoSpaceDE/>
        <w:autoSpaceDN/>
        <w:bidi w:val="0"/>
        <w:adjustRightInd/>
        <w:snapToGrid/>
        <w:spacing w:before="156" w:after="156" w:line="380" w:lineRule="atLeast"/>
        <w:ind w:left="0" w:leftChars="0" w:right="0" w:rightChars="0"/>
        <w:textAlignment w:val="auto"/>
        <w:rPr>
          <w:b/>
          <w:bCs/>
        </w:rPr>
      </w:pPr>
      <w:r>
        <w:rPr>
          <w:rFonts w:hint="eastAsia"/>
          <w:b/>
          <w:bCs/>
        </w:rPr>
        <w:t>编制背景</w:t>
      </w:r>
    </w:p>
    <w:p>
      <w:pPr>
        <w:pStyle w:val="3"/>
        <w:keepNext w:val="0"/>
        <w:keepLines w:val="0"/>
        <w:pageBreakBefore w:val="0"/>
        <w:widowControl/>
        <w:numPr>
          <w:ilvl w:val="0"/>
          <w:numId w:val="0"/>
        </w:numPr>
        <w:tabs>
          <w:tab w:val="left" w:pos="996"/>
          <w:tab w:val="left" w:pos="1494"/>
          <w:tab w:val="clear" w:pos="1134"/>
        </w:tabs>
        <w:kinsoku/>
        <w:wordWrap/>
        <w:overflowPunct/>
        <w:topLinePunct w:val="0"/>
        <w:autoSpaceDE/>
        <w:autoSpaceDN/>
        <w:bidi w:val="0"/>
        <w:adjustRightInd/>
        <w:snapToGrid/>
        <w:spacing w:before="157" w:beforeLines="50" w:after="157" w:afterLines="50" w:line="380" w:lineRule="atLeast"/>
        <w:ind w:left="0" w:leftChars="0" w:right="0" w:rightChars="0" w:firstLine="0" w:firstLineChars="0"/>
        <w:jc w:val="both"/>
        <w:textAlignment w:val="auto"/>
        <w:outlineLvl w:val="2"/>
        <w:rPr>
          <w:rFonts w:hint="eastAsia"/>
          <w:b w:val="0"/>
          <w:bCs w:val="0"/>
          <w:kern w:val="0"/>
          <w:szCs w:val="20"/>
          <w:lang w:val="zh-CN"/>
        </w:rPr>
      </w:pPr>
      <w:r>
        <w:rPr>
          <w:rFonts w:hint="eastAsia"/>
          <w:b w:val="0"/>
          <w:bCs w:val="0"/>
          <w:kern w:val="0"/>
          <w:szCs w:val="20"/>
          <w:lang w:val="zh-CN"/>
        </w:rPr>
        <w:t>1、2003年，汕头市委市政府提出建设东部城市经济带发展战略。东部城市经济带以河口治理、海堤建设为切入点，通过填海造地塑造城市优美的滨海景观风貌，实现拓展城市发展空间和城市形态向海湾型滨海城市的跨越日标。2009年组织编制的《汕头市东部城市经济带新溪片区控制性详细规龙》(以下简称《原控规》)于2010年7月30日经汕头市第十二届第六十二次市政府常务会议审议通过后该区域按照控规正式进入实施阶段。</w:t>
      </w:r>
    </w:p>
    <w:p>
      <w:pPr>
        <w:pStyle w:val="3"/>
        <w:keepNext w:val="0"/>
        <w:keepLines w:val="0"/>
        <w:pageBreakBefore w:val="0"/>
        <w:widowControl/>
        <w:numPr>
          <w:ilvl w:val="0"/>
          <w:numId w:val="0"/>
        </w:numPr>
        <w:tabs>
          <w:tab w:val="left" w:pos="996"/>
          <w:tab w:val="left" w:pos="1494"/>
          <w:tab w:val="clear" w:pos="1134"/>
        </w:tabs>
        <w:kinsoku/>
        <w:wordWrap/>
        <w:overflowPunct/>
        <w:topLinePunct w:val="0"/>
        <w:autoSpaceDE/>
        <w:autoSpaceDN/>
        <w:bidi w:val="0"/>
        <w:adjustRightInd/>
        <w:snapToGrid/>
        <w:spacing w:before="157" w:beforeLines="50" w:after="157" w:afterLines="50" w:line="380" w:lineRule="atLeast"/>
        <w:ind w:left="0" w:leftChars="0" w:right="0" w:rightChars="0" w:firstLine="0" w:firstLineChars="0"/>
        <w:jc w:val="both"/>
        <w:textAlignment w:val="auto"/>
        <w:outlineLvl w:val="2"/>
        <w:rPr>
          <w:rFonts w:hint="eastAsia"/>
          <w:b w:val="0"/>
          <w:bCs w:val="0"/>
          <w:kern w:val="0"/>
          <w:szCs w:val="20"/>
          <w:lang w:val="zh-CN"/>
        </w:rPr>
      </w:pPr>
      <w:r>
        <w:rPr>
          <w:rFonts w:hint="eastAsia"/>
          <w:b w:val="0"/>
          <w:bCs w:val="0"/>
          <w:kern w:val="0"/>
          <w:szCs w:val="20"/>
          <w:lang w:val="zh-CN"/>
        </w:rPr>
        <w:t>2、为落实《国务院关于支持油头经济特区建设华侨经济文化合作试验区有关政策的批复(国函(2014)123号)》的精神、吸收2013年6月举行的东海岸新城国际城市设计竟赛中优胜方案的优点、落实《汕头市人民政府工作会议纪要[2014]12号》的要求，2014年组织对《原控规》进行修编论证，并形成公示草案规划草案部分也纳入《汕头市城市总体规划(2002-2020年)(2017年修订)》中。</w:t>
      </w:r>
    </w:p>
    <w:p>
      <w:pPr>
        <w:pStyle w:val="3"/>
        <w:keepNext w:val="0"/>
        <w:keepLines w:val="0"/>
        <w:pageBreakBefore w:val="0"/>
        <w:widowControl/>
        <w:numPr>
          <w:ilvl w:val="0"/>
          <w:numId w:val="0"/>
        </w:numPr>
        <w:tabs>
          <w:tab w:val="left" w:pos="996"/>
          <w:tab w:val="left" w:pos="1494"/>
          <w:tab w:val="clear" w:pos="1134"/>
        </w:tabs>
        <w:kinsoku/>
        <w:wordWrap/>
        <w:overflowPunct/>
        <w:topLinePunct w:val="0"/>
        <w:autoSpaceDE/>
        <w:autoSpaceDN/>
        <w:bidi w:val="0"/>
        <w:adjustRightInd/>
        <w:snapToGrid/>
        <w:spacing w:before="157" w:beforeLines="50" w:after="157" w:afterLines="50" w:line="380" w:lineRule="atLeast"/>
        <w:ind w:left="0" w:leftChars="0" w:right="0" w:rightChars="0" w:firstLine="0" w:firstLineChars="0"/>
        <w:jc w:val="both"/>
        <w:textAlignment w:val="auto"/>
        <w:outlineLvl w:val="2"/>
        <w:rPr>
          <w:rFonts w:hint="eastAsia"/>
          <w:b w:val="0"/>
          <w:bCs w:val="0"/>
          <w:kern w:val="0"/>
          <w:szCs w:val="20"/>
          <w:lang w:val="zh-CN"/>
        </w:rPr>
      </w:pPr>
      <w:r>
        <w:rPr>
          <w:rFonts w:hint="eastAsia"/>
          <w:b w:val="0"/>
          <w:bCs w:val="0"/>
          <w:kern w:val="0"/>
          <w:szCs w:val="20"/>
          <w:lang w:val="zh-CN"/>
        </w:rPr>
        <w:t>3、2017年，随着国家“一带一路”国家战略的逐步实施，汕头华侨经济文化合作试验区作为实施国家战略的重要平台，以国家合作、文化交流、经济合作等方面交流日益频繁，广大华侨华人回国创业创新热情高涨，随着东海岸新城新津片区建设的日益完善，新溪片区逐渐成为城市投资创业的新热点区域，目前多个项目已落户新溪片区，区内综合管廊、市政道路等设施正稳步推进建设。</w:t>
      </w:r>
    </w:p>
    <w:p>
      <w:pPr>
        <w:pStyle w:val="3"/>
        <w:keepNext w:val="0"/>
        <w:keepLines w:val="0"/>
        <w:pageBreakBefore w:val="0"/>
        <w:widowControl/>
        <w:numPr>
          <w:ilvl w:val="0"/>
          <w:numId w:val="0"/>
        </w:numPr>
        <w:tabs>
          <w:tab w:val="left" w:pos="996"/>
          <w:tab w:val="left" w:pos="1494"/>
          <w:tab w:val="clear" w:pos="1134"/>
        </w:tabs>
        <w:kinsoku/>
        <w:wordWrap/>
        <w:overflowPunct/>
        <w:topLinePunct w:val="0"/>
        <w:autoSpaceDE/>
        <w:autoSpaceDN/>
        <w:bidi w:val="0"/>
        <w:adjustRightInd/>
        <w:snapToGrid/>
        <w:spacing w:before="157" w:beforeLines="50" w:after="157" w:afterLines="50" w:line="380" w:lineRule="atLeast"/>
        <w:ind w:left="0" w:leftChars="0" w:right="0" w:rightChars="0" w:firstLine="0" w:firstLineChars="0"/>
        <w:jc w:val="both"/>
        <w:textAlignment w:val="auto"/>
        <w:outlineLvl w:val="2"/>
        <w:rPr>
          <w:rFonts w:hint="eastAsia"/>
          <w:b w:val="0"/>
          <w:bCs w:val="0"/>
          <w:kern w:val="0"/>
          <w:szCs w:val="20"/>
          <w:lang w:val="zh-CN"/>
        </w:rPr>
      </w:pPr>
      <w:r>
        <w:rPr>
          <w:rFonts w:hint="eastAsia"/>
          <w:b w:val="0"/>
          <w:bCs w:val="0"/>
          <w:kern w:val="0"/>
          <w:szCs w:val="20"/>
          <w:lang w:val="zh-CN"/>
        </w:rPr>
        <w:t>4、2019年3月，油头成功申办2021年第三届亚青会。亚青会开闭幕式主场馆选址东海岸新城塔岗围片区，东海岸新城将成为展现汕头城市风采与城市形象的重要区域。为助力“汕头亚青会”，东海岸新城各项公共配套及市政设施建设进入冲刺阶段。举办国际综合性运动会，将是东海岸新城城市发展的助推剂，目前新溪片区多块用地已经出让待建。</w:t>
      </w:r>
    </w:p>
    <w:p>
      <w:pPr>
        <w:pStyle w:val="3"/>
        <w:keepNext w:val="0"/>
        <w:keepLines w:val="0"/>
        <w:pageBreakBefore w:val="0"/>
        <w:widowControl/>
        <w:numPr>
          <w:ilvl w:val="0"/>
          <w:numId w:val="0"/>
        </w:numPr>
        <w:tabs>
          <w:tab w:val="left" w:pos="996"/>
          <w:tab w:val="left" w:pos="1494"/>
          <w:tab w:val="clear" w:pos="1134"/>
        </w:tabs>
        <w:kinsoku/>
        <w:wordWrap/>
        <w:overflowPunct/>
        <w:topLinePunct w:val="0"/>
        <w:autoSpaceDE/>
        <w:autoSpaceDN/>
        <w:bidi w:val="0"/>
        <w:adjustRightInd/>
        <w:snapToGrid/>
        <w:spacing w:before="157" w:beforeLines="50" w:after="157" w:afterLines="50" w:line="380" w:lineRule="atLeast"/>
        <w:ind w:left="0" w:leftChars="0" w:right="0" w:rightChars="0" w:firstLine="0" w:firstLineChars="0"/>
        <w:jc w:val="both"/>
        <w:textAlignment w:val="auto"/>
        <w:outlineLvl w:val="2"/>
        <w:rPr>
          <w:rFonts w:hint="eastAsia"/>
          <w:b w:val="0"/>
          <w:bCs w:val="0"/>
        </w:rPr>
      </w:pPr>
      <w:r>
        <w:rPr>
          <w:rFonts w:hint="eastAsia"/>
          <w:b w:val="0"/>
          <w:bCs w:val="0"/>
          <w:kern w:val="0"/>
          <w:szCs w:val="20"/>
          <w:lang w:val="zh-CN"/>
        </w:rPr>
        <w:t>5、2020年，为加完普片区公共服务设施，加快项目落地进程，市委市政府对原控规提出了更高的要求。由于2014年提出的新溪片区整体修编方案涉及到用海报批等各种限制因素，短时间内项目较难落地。新溪片区位于东海岸新城中央核心位置，A组团作为新溪片区河海交汇重要城市景观区域，为迎接亚青会，并满足不断提升的城市景观需求以及片区道路网专项规划等对道路体系的提升要求，需要及时结合片区最新的规划要求对旧版控规进行修编，以符合片区建设的</w:t>
      </w:r>
      <w:r>
        <w:rPr>
          <w:rFonts w:hint="eastAsia"/>
          <w:b w:val="0"/>
          <w:bCs w:val="0"/>
        </w:rPr>
        <w:t>新目标、新要求。同时，2019年后，汕头市控规全覆盖逐步展开，该区域位于控规全覆盖LH-022编制单元01控制单元西部。因此，结合以上内容对《原控规》A</w:t>
      </w:r>
    </w:p>
    <w:p>
      <w:pPr>
        <w:pStyle w:val="3"/>
        <w:keepNext w:val="0"/>
        <w:keepLines w:val="0"/>
        <w:pageBreakBefore w:val="0"/>
        <w:widowControl/>
        <w:numPr>
          <w:ilvl w:val="0"/>
          <w:numId w:val="0"/>
        </w:numPr>
        <w:tabs>
          <w:tab w:val="left" w:pos="996"/>
          <w:tab w:val="left" w:pos="1494"/>
          <w:tab w:val="clear" w:pos="1134"/>
        </w:tabs>
        <w:kinsoku/>
        <w:wordWrap/>
        <w:overflowPunct/>
        <w:topLinePunct w:val="0"/>
        <w:autoSpaceDE/>
        <w:autoSpaceDN/>
        <w:bidi w:val="0"/>
        <w:adjustRightInd/>
        <w:snapToGrid/>
        <w:spacing w:before="157" w:beforeLines="50" w:after="157" w:afterLines="50" w:line="380" w:lineRule="atLeast"/>
        <w:ind w:left="0" w:leftChars="0" w:right="0" w:rightChars="0" w:firstLine="0" w:firstLineChars="0"/>
        <w:jc w:val="both"/>
        <w:textAlignment w:val="auto"/>
        <w:outlineLvl w:val="2"/>
        <w:rPr>
          <w:rFonts w:hint="eastAsia"/>
          <w:b w:val="0"/>
          <w:bCs w:val="0"/>
        </w:rPr>
      </w:pPr>
      <w:r>
        <w:rPr>
          <w:rFonts w:hint="eastAsia"/>
          <w:b w:val="0"/>
          <w:bCs w:val="0"/>
        </w:rPr>
        <w:t>组团进行控规修编。</w:t>
      </w:r>
      <w:bookmarkStart w:id="9" w:name="_GoBack"/>
      <w:bookmarkEnd w:id="9"/>
    </w:p>
    <w:p>
      <w:pPr>
        <w:pStyle w:val="3"/>
        <w:keepNext w:val="0"/>
        <w:keepLines w:val="0"/>
        <w:pageBreakBefore w:val="0"/>
        <w:tabs>
          <w:tab w:val="left" w:pos="996"/>
          <w:tab w:val="left" w:pos="1494"/>
          <w:tab w:val="clear" w:pos="1134"/>
        </w:tabs>
        <w:kinsoku/>
        <w:wordWrap/>
        <w:overflowPunct/>
        <w:topLinePunct w:val="0"/>
        <w:autoSpaceDE/>
        <w:autoSpaceDN/>
        <w:bidi w:val="0"/>
        <w:adjustRightInd/>
        <w:snapToGrid/>
        <w:spacing w:before="156" w:after="156" w:line="380" w:lineRule="atLeast"/>
        <w:ind w:left="0" w:leftChars="0" w:right="0" w:rightChars="0"/>
        <w:textAlignment w:val="auto"/>
        <w:rPr>
          <w:b/>
          <w:bCs/>
        </w:rPr>
      </w:pPr>
      <w:r>
        <w:rPr>
          <w:rFonts w:hint="eastAsia"/>
          <w:b/>
          <w:bCs/>
        </w:rPr>
        <w:t>规划范围</w:t>
      </w:r>
    </w:p>
    <w:p>
      <w:pPr>
        <w:keepNext w:val="0"/>
        <w:keepLines w:val="0"/>
        <w:pageBreakBefore w:val="0"/>
        <w:widowControl w:val="0"/>
        <w:numPr>
          <w:ilvl w:val="0"/>
          <w:numId w:val="0"/>
        </w:numPr>
        <w:kinsoku/>
        <w:wordWrap/>
        <w:overflowPunct/>
        <w:topLinePunct w:val="0"/>
        <w:autoSpaceDE/>
        <w:autoSpaceDN/>
        <w:bidi w:val="0"/>
        <w:adjustRightInd/>
        <w:snapToGrid/>
        <w:spacing w:before="100" w:beforeAutospacing="1" w:after="100" w:afterAutospacing="1" w:line="380" w:lineRule="atLeast"/>
        <w:ind w:left="0" w:leftChars="0" w:right="0" w:rightChars="0" w:firstLine="240" w:firstLineChars="100"/>
        <w:jc w:val="both"/>
        <w:textAlignment w:val="auto"/>
      </w:pPr>
      <w:r>
        <w:rPr>
          <w:rFonts w:hint="eastAsia"/>
          <w:b w:val="0"/>
          <w:bCs w:val="0"/>
          <w:lang w:val="zh-CN"/>
        </w:rPr>
        <w:t>本次规划为对2010年批准的《汕头市东部城市经济带新溪片区控制性详细规划》的局部修编(A组团范围)，规划位于LH-022编制单元01控制单元西部，本修编规划区范围为:北至主河涌北側支路、南至东海岸大道南側堤围、西至新津河堤围、东至武夷山路，规划区总用地面积207.85公顷。规划区按照控制性详细规划的规划编制要求和深度进行编制，也是本规划各项内容的控制对象及各项数据统计的基准范围。</w:t>
      </w:r>
    </w:p>
    <w:p>
      <w:pPr>
        <w:pStyle w:val="3"/>
        <w:keepNext w:val="0"/>
        <w:keepLines w:val="0"/>
        <w:pageBreakBefore w:val="0"/>
        <w:tabs>
          <w:tab w:val="left" w:pos="996"/>
          <w:tab w:val="left" w:pos="1494"/>
          <w:tab w:val="clear" w:pos="1134"/>
        </w:tabs>
        <w:kinsoku/>
        <w:wordWrap/>
        <w:overflowPunct/>
        <w:topLinePunct w:val="0"/>
        <w:autoSpaceDE/>
        <w:autoSpaceDN/>
        <w:bidi w:val="0"/>
        <w:adjustRightInd/>
        <w:snapToGrid/>
        <w:spacing w:before="156" w:after="156" w:line="380" w:lineRule="atLeast"/>
        <w:ind w:left="0" w:leftChars="0" w:right="0" w:rightChars="0"/>
        <w:textAlignment w:val="auto"/>
        <w:rPr>
          <w:b/>
          <w:bCs/>
        </w:rPr>
      </w:pPr>
      <w:r>
        <w:rPr>
          <w:rFonts w:hint="eastAsia"/>
          <w:b/>
          <w:bCs/>
        </w:rPr>
        <w:t>发展目标</w:t>
      </w:r>
    </w:p>
    <w:p>
      <w:pPr>
        <w:keepNext w:val="0"/>
        <w:keepLines w:val="0"/>
        <w:pageBreakBefore w:val="0"/>
        <w:kinsoku/>
        <w:wordWrap/>
        <w:overflowPunct/>
        <w:topLinePunct w:val="0"/>
        <w:autoSpaceDE/>
        <w:autoSpaceDN/>
        <w:bidi w:val="0"/>
        <w:adjustRightInd/>
        <w:snapToGrid/>
        <w:spacing w:line="380" w:lineRule="atLeast"/>
        <w:ind w:left="0" w:leftChars="0" w:right="0" w:rightChars="0"/>
        <w:textAlignment w:val="auto"/>
        <w:rPr>
          <w:rFonts w:hint="eastAsia"/>
        </w:rPr>
      </w:pPr>
      <w:r>
        <w:rPr>
          <w:rFonts w:hint="eastAsia"/>
        </w:rPr>
        <w:t>1、产业发展</w:t>
      </w:r>
    </w:p>
    <w:p>
      <w:pPr>
        <w:keepNext w:val="0"/>
        <w:keepLines w:val="0"/>
        <w:pageBreakBefore w:val="0"/>
        <w:kinsoku/>
        <w:wordWrap/>
        <w:overflowPunct/>
        <w:topLinePunct w:val="0"/>
        <w:autoSpaceDE/>
        <w:autoSpaceDN/>
        <w:bidi w:val="0"/>
        <w:adjustRightInd/>
        <w:snapToGrid/>
        <w:spacing w:line="380" w:lineRule="atLeast"/>
        <w:ind w:left="0" w:leftChars="0" w:right="0" w:rightChars="0"/>
        <w:textAlignment w:val="auto"/>
        <w:rPr>
          <w:rFonts w:hint="eastAsia"/>
        </w:rPr>
      </w:pPr>
    </w:p>
    <w:p>
      <w:pPr>
        <w:keepNext w:val="0"/>
        <w:keepLines w:val="0"/>
        <w:pageBreakBefore w:val="0"/>
        <w:kinsoku/>
        <w:wordWrap/>
        <w:overflowPunct/>
        <w:topLinePunct w:val="0"/>
        <w:autoSpaceDE/>
        <w:autoSpaceDN/>
        <w:bidi w:val="0"/>
        <w:adjustRightInd/>
        <w:snapToGrid/>
        <w:spacing w:line="380" w:lineRule="atLeast"/>
        <w:ind w:left="0" w:leftChars="0" w:right="0" w:rightChars="0" w:firstLine="480" w:firstLineChars="200"/>
        <w:textAlignment w:val="auto"/>
        <w:rPr>
          <w:rFonts w:hint="eastAsia"/>
        </w:rPr>
      </w:pPr>
      <w:r>
        <w:rPr>
          <w:rFonts w:hint="eastAsia"/>
        </w:rPr>
        <w:t>提升片区产业发展规模，推动产业项目落地建设，进一步落实国务院对于华侨经济文化合作试验区的产业发展要求，增加产业发展的多元化，提高新溪片区的整体产业服务能力。</w:t>
      </w:r>
    </w:p>
    <w:p>
      <w:pPr>
        <w:keepNext w:val="0"/>
        <w:keepLines w:val="0"/>
        <w:pageBreakBefore w:val="0"/>
        <w:kinsoku/>
        <w:wordWrap/>
        <w:overflowPunct/>
        <w:topLinePunct w:val="0"/>
        <w:autoSpaceDE/>
        <w:autoSpaceDN/>
        <w:bidi w:val="0"/>
        <w:adjustRightInd/>
        <w:snapToGrid/>
        <w:spacing w:line="380" w:lineRule="atLeast"/>
        <w:ind w:left="0" w:leftChars="0" w:right="0" w:rightChars="0"/>
        <w:textAlignment w:val="auto"/>
        <w:rPr>
          <w:rFonts w:hint="eastAsia"/>
        </w:rPr>
      </w:pPr>
    </w:p>
    <w:p>
      <w:pPr>
        <w:keepNext w:val="0"/>
        <w:keepLines w:val="0"/>
        <w:pageBreakBefore w:val="0"/>
        <w:kinsoku/>
        <w:wordWrap/>
        <w:overflowPunct/>
        <w:topLinePunct w:val="0"/>
        <w:autoSpaceDE/>
        <w:autoSpaceDN/>
        <w:bidi w:val="0"/>
        <w:adjustRightInd/>
        <w:snapToGrid/>
        <w:spacing w:line="380" w:lineRule="atLeast"/>
        <w:ind w:left="0" w:leftChars="0" w:right="0" w:rightChars="0"/>
        <w:textAlignment w:val="auto"/>
        <w:rPr>
          <w:rFonts w:hint="eastAsia"/>
        </w:rPr>
      </w:pPr>
      <w:r>
        <w:rPr>
          <w:rFonts w:hint="eastAsia"/>
        </w:rPr>
        <w:t>2、功能提升</w:t>
      </w:r>
    </w:p>
    <w:p>
      <w:pPr>
        <w:keepNext w:val="0"/>
        <w:keepLines w:val="0"/>
        <w:pageBreakBefore w:val="0"/>
        <w:kinsoku/>
        <w:wordWrap/>
        <w:overflowPunct/>
        <w:topLinePunct w:val="0"/>
        <w:autoSpaceDE/>
        <w:autoSpaceDN/>
        <w:bidi w:val="0"/>
        <w:adjustRightInd/>
        <w:snapToGrid/>
        <w:spacing w:line="380" w:lineRule="atLeast"/>
        <w:ind w:left="0" w:leftChars="0" w:right="0" w:rightChars="0"/>
        <w:textAlignment w:val="auto"/>
        <w:rPr>
          <w:rFonts w:hint="eastAsia"/>
        </w:rPr>
      </w:pPr>
    </w:p>
    <w:p>
      <w:pPr>
        <w:keepNext w:val="0"/>
        <w:keepLines w:val="0"/>
        <w:pageBreakBefore w:val="0"/>
        <w:kinsoku/>
        <w:wordWrap/>
        <w:overflowPunct/>
        <w:topLinePunct w:val="0"/>
        <w:autoSpaceDE/>
        <w:autoSpaceDN/>
        <w:bidi w:val="0"/>
        <w:adjustRightInd/>
        <w:snapToGrid/>
        <w:spacing w:line="380" w:lineRule="atLeast"/>
        <w:ind w:left="0" w:leftChars="0" w:right="0" w:rightChars="0" w:firstLine="480" w:firstLineChars="200"/>
        <w:textAlignment w:val="auto"/>
        <w:rPr>
          <w:rFonts w:hint="eastAsia"/>
        </w:rPr>
      </w:pPr>
      <w:r>
        <w:rPr>
          <w:rFonts w:hint="eastAsia"/>
        </w:rPr>
        <w:t>通过城市配套功能的完普，提升A组团居住功能及现代服务产业的整体定位</w:t>
      </w:r>
    </w:p>
    <w:p>
      <w:pPr>
        <w:keepNext w:val="0"/>
        <w:keepLines w:val="0"/>
        <w:pageBreakBefore w:val="0"/>
        <w:kinsoku/>
        <w:wordWrap/>
        <w:overflowPunct/>
        <w:topLinePunct w:val="0"/>
        <w:autoSpaceDE/>
        <w:autoSpaceDN/>
        <w:bidi w:val="0"/>
        <w:adjustRightInd/>
        <w:snapToGrid/>
        <w:spacing w:line="380" w:lineRule="atLeast"/>
        <w:ind w:left="0" w:leftChars="0" w:right="0" w:rightChars="0"/>
        <w:textAlignment w:val="auto"/>
        <w:rPr>
          <w:rFonts w:hint="eastAsia"/>
        </w:rPr>
      </w:pPr>
      <w:r>
        <w:rPr>
          <w:rFonts w:hint="eastAsia"/>
        </w:rPr>
        <w:t>以更多元、丰富的城市体验提升片区功能，完普区域城市居住、游憩、教育配套</w:t>
      </w:r>
    </w:p>
    <w:p>
      <w:pPr>
        <w:keepNext w:val="0"/>
        <w:keepLines w:val="0"/>
        <w:pageBreakBefore w:val="0"/>
        <w:kinsoku/>
        <w:wordWrap/>
        <w:overflowPunct/>
        <w:topLinePunct w:val="0"/>
        <w:autoSpaceDE/>
        <w:autoSpaceDN/>
        <w:bidi w:val="0"/>
        <w:adjustRightInd/>
        <w:snapToGrid/>
        <w:spacing w:line="380" w:lineRule="atLeast"/>
        <w:ind w:left="0" w:leftChars="0" w:right="0" w:rightChars="0"/>
        <w:textAlignment w:val="auto"/>
        <w:rPr>
          <w:rFonts w:hint="eastAsia"/>
        </w:rPr>
      </w:pPr>
      <w:r>
        <w:rPr>
          <w:rFonts w:hint="eastAsia"/>
        </w:rPr>
        <w:t>服务功能，实现整个新溪A组团的整体功能提升。</w:t>
      </w:r>
    </w:p>
    <w:p>
      <w:pPr>
        <w:keepNext w:val="0"/>
        <w:keepLines w:val="0"/>
        <w:pageBreakBefore w:val="0"/>
        <w:kinsoku/>
        <w:wordWrap/>
        <w:overflowPunct/>
        <w:topLinePunct w:val="0"/>
        <w:autoSpaceDE/>
        <w:autoSpaceDN/>
        <w:bidi w:val="0"/>
        <w:adjustRightInd/>
        <w:snapToGrid/>
        <w:spacing w:line="380" w:lineRule="atLeast"/>
        <w:ind w:left="0" w:leftChars="0" w:right="0" w:rightChars="0"/>
        <w:textAlignment w:val="auto"/>
        <w:rPr>
          <w:rFonts w:hint="eastAsia"/>
        </w:rPr>
      </w:pPr>
    </w:p>
    <w:p>
      <w:pPr>
        <w:keepNext w:val="0"/>
        <w:keepLines w:val="0"/>
        <w:pageBreakBefore w:val="0"/>
        <w:kinsoku/>
        <w:wordWrap/>
        <w:overflowPunct/>
        <w:topLinePunct w:val="0"/>
        <w:autoSpaceDE/>
        <w:autoSpaceDN/>
        <w:bidi w:val="0"/>
        <w:adjustRightInd/>
        <w:snapToGrid/>
        <w:spacing w:line="380" w:lineRule="atLeast"/>
        <w:ind w:left="0" w:leftChars="0" w:right="0" w:rightChars="0"/>
        <w:textAlignment w:val="auto"/>
        <w:rPr>
          <w:rFonts w:hint="eastAsia"/>
        </w:rPr>
      </w:pPr>
      <w:r>
        <w:rPr>
          <w:rFonts w:hint="eastAsia"/>
        </w:rPr>
        <w:t>3、塑造地标</w:t>
      </w:r>
    </w:p>
    <w:p>
      <w:pPr>
        <w:keepNext w:val="0"/>
        <w:keepLines w:val="0"/>
        <w:pageBreakBefore w:val="0"/>
        <w:kinsoku/>
        <w:wordWrap/>
        <w:overflowPunct/>
        <w:topLinePunct w:val="0"/>
        <w:autoSpaceDE/>
        <w:autoSpaceDN/>
        <w:bidi w:val="0"/>
        <w:adjustRightInd/>
        <w:snapToGrid/>
        <w:spacing w:line="380" w:lineRule="atLeast"/>
        <w:ind w:left="0" w:leftChars="0" w:right="0" w:rightChars="0"/>
        <w:textAlignment w:val="auto"/>
        <w:rPr>
          <w:rFonts w:hint="eastAsia"/>
        </w:rPr>
      </w:pPr>
    </w:p>
    <w:p>
      <w:pPr>
        <w:keepNext w:val="0"/>
        <w:keepLines w:val="0"/>
        <w:pageBreakBefore w:val="0"/>
        <w:kinsoku/>
        <w:wordWrap/>
        <w:overflowPunct/>
        <w:topLinePunct w:val="0"/>
        <w:autoSpaceDE/>
        <w:autoSpaceDN/>
        <w:bidi w:val="0"/>
        <w:adjustRightInd/>
        <w:snapToGrid/>
        <w:spacing w:line="380" w:lineRule="atLeast"/>
        <w:ind w:left="0" w:leftChars="0" w:right="0" w:rightChars="0" w:firstLine="480" w:firstLineChars="200"/>
        <w:textAlignment w:val="auto"/>
        <w:rPr>
          <w:rFonts w:hint="eastAsia"/>
        </w:rPr>
      </w:pPr>
      <w:r>
        <w:rPr>
          <w:rFonts w:hint="eastAsia"/>
        </w:rPr>
        <w:t>承城市自然山水格局、生态环境和未来城市发展概念，在河、海交汇处形成现代化地标景观，与新津片区共同塑造汕头滨海城市独特的门户形象</w:t>
      </w:r>
    </w:p>
    <w:p>
      <w:pPr>
        <w:keepNext w:val="0"/>
        <w:keepLines w:val="0"/>
        <w:pageBreakBefore w:val="0"/>
        <w:kinsoku/>
        <w:wordWrap/>
        <w:overflowPunct/>
        <w:topLinePunct w:val="0"/>
        <w:autoSpaceDE/>
        <w:autoSpaceDN/>
        <w:bidi w:val="0"/>
        <w:adjustRightInd/>
        <w:snapToGrid/>
        <w:spacing w:line="380" w:lineRule="atLeast"/>
        <w:ind w:left="0" w:leftChars="0" w:right="0" w:rightChars="0"/>
        <w:textAlignment w:val="auto"/>
        <w:rPr>
          <w:rFonts w:hint="eastAsia"/>
        </w:rPr>
      </w:pPr>
    </w:p>
    <w:p>
      <w:pPr>
        <w:keepNext w:val="0"/>
        <w:keepLines w:val="0"/>
        <w:pageBreakBefore w:val="0"/>
        <w:kinsoku/>
        <w:wordWrap/>
        <w:overflowPunct/>
        <w:topLinePunct w:val="0"/>
        <w:autoSpaceDE/>
        <w:autoSpaceDN/>
        <w:bidi w:val="0"/>
        <w:adjustRightInd/>
        <w:snapToGrid/>
        <w:spacing w:line="380" w:lineRule="atLeast"/>
        <w:ind w:left="0" w:leftChars="0" w:right="0" w:rightChars="0"/>
        <w:textAlignment w:val="auto"/>
        <w:rPr>
          <w:rFonts w:hint="eastAsia"/>
        </w:rPr>
      </w:pPr>
      <w:r>
        <w:rPr>
          <w:rFonts w:hint="eastAsia"/>
        </w:rPr>
        <w:t>4、带动辐射</w:t>
      </w:r>
    </w:p>
    <w:p>
      <w:pPr>
        <w:keepNext w:val="0"/>
        <w:keepLines w:val="0"/>
        <w:pageBreakBefore w:val="0"/>
        <w:kinsoku/>
        <w:wordWrap/>
        <w:overflowPunct/>
        <w:topLinePunct w:val="0"/>
        <w:autoSpaceDE/>
        <w:autoSpaceDN/>
        <w:bidi w:val="0"/>
        <w:adjustRightInd/>
        <w:snapToGrid/>
        <w:spacing w:line="380" w:lineRule="atLeast"/>
        <w:ind w:left="0" w:leftChars="0" w:right="0" w:rightChars="0"/>
        <w:textAlignment w:val="auto"/>
        <w:rPr>
          <w:rFonts w:hint="eastAsia"/>
        </w:rPr>
      </w:pPr>
    </w:p>
    <w:p>
      <w:pPr>
        <w:keepNext w:val="0"/>
        <w:keepLines w:val="0"/>
        <w:pageBreakBefore w:val="0"/>
        <w:kinsoku/>
        <w:wordWrap/>
        <w:overflowPunct/>
        <w:topLinePunct w:val="0"/>
        <w:autoSpaceDE/>
        <w:autoSpaceDN/>
        <w:bidi w:val="0"/>
        <w:adjustRightInd/>
        <w:snapToGrid/>
        <w:spacing w:line="380" w:lineRule="atLeast"/>
        <w:ind w:left="0" w:leftChars="0" w:right="0" w:rightChars="0" w:firstLine="480" w:firstLineChars="200"/>
        <w:textAlignment w:val="auto"/>
      </w:pPr>
      <w:r>
        <w:rPr>
          <w:rFonts w:hint="eastAsia"/>
        </w:rPr>
        <w:t>通过提升片区的总体定位与城市功能，形成独具特色的滨海休闲居住区，借助临近靠近新津建成区的区位优势，发挥示范带动作用，主动对接城市向东拓展步伐，形成新津河两岸城市滨水景观区域，为东海岸新城新溪片区开发建设莫定良好基础，带动辐射新溪片区的总体发展。</w:t>
      </w:r>
    </w:p>
    <w:p>
      <w:pPr>
        <w:keepNext w:val="0"/>
        <w:keepLines w:val="0"/>
        <w:pageBreakBefore w:val="0"/>
        <w:widowControl w:val="0"/>
        <w:numPr>
          <w:ilvl w:val="0"/>
          <w:numId w:val="0"/>
        </w:numPr>
        <w:kinsoku/>
        <w:wordWrap/>
        <w:overflowPunct/>
        <w:topLinePunct w:val="0"/>
        <w:autoSpaceDE/>
        <w:autoSpaceDN/>
        <w:bidi w:val="0"/>
        <w:adjustRightInd/>
        <w:snapToGrid/>
        <w:spacing w:before="100" w:beforeAutospacing="1" w:after="100" w:afterAutospacing="1" w:line="380" w:lineRule="atLeast"/>
        <w:ind w:left="0" w:leftChars="0" w:right="0" w:rightChars="0"/>
        <w:jc w:val="both"/>
        <w:textAlignment w:val="auto"/>
        <w:rPr>
          <w:rFonts w:hint="eastAsia"/>
          <w:b w:val="0"/>
          <w:bCs w:val="0"/>
          <w:lang w:val="zh-CN"/>
        </w:rPr>
      </w:pPr>
      <w:bookmarkStart w:id="4" w:name="_Toc3466726"/>
      <w:bookmarkStart w:id="5" w:name="_Hlk7341402"/>
      <w:bookmarkStart w:id="6" w:name="_Toc3467185"/>
      <w:bookmarkStart w:id="7" w:name="_Toc9603603"/>
      <w:bookmarkStart w:id="8" w:name="_Toc2262126"/>
      <w:r>
        <w:rPr>
          <w:rFonts w:hint="eastAsia" w:ascii="黑体" w:hAnsi="黑体" w:eastAsia="黑体" w:cs="黑体"/>
          <w:b/>
          <w:bCs/>
          <w:lang w:val="zh-CN"/>
        </w:rPr>
        <w:t>第四条</w:t>
      </w:r>
      <w:r>
        <w:rPr>
          <w:rFonts w:hint="eastAsia" w:ascii="黑体" w:hAnsi="黑体" w:eastAsia="黑体" w:cs="黑体"/>
          <w:b/>
          <w:bCs/>
          <w:lang w:val="en-US" w:eastAsia="zh-CN"/>
        </w:rPr>
        <w:t xml:space="preserve">  功能定位</w:t>
      </w:r>
    </w:p>
    <w:p>
      <w:pPr>
        <w:keepNext w:val="0"/>
        <w:keepLines w:val="0"/>
        <w:pageBreakBefore w:val="0"/>
        <w:widowControl w:val="0"/>
        <w:numPr>
          <w:ilvl w:val="0"/>
          <w:numId w:val="0"/>
        </w:numPr>
        <w:kinsoku/>
        <w:wordWrap/>
        <w:overflowPunct/>
        <w:topLinePunct w:val="0"/>
        <w:autoSpaceDE/>
        <w:autoSpaceDN/>
        <w:bidi w:val="0"/>
        <w:adjustRightInd/>
        <w:snapToGrid/>
        <w:spacing w:before="100" w:beforeAutospacing="1" w:after="100" w:afterAutospacing="1" w:line="380" w:lineRule="atLeast"/>
        <w:ind w:left="0" w:leftChars="0" w:right="0" w:rightChars="0" w:firstLine="480" w:firstLineChars="200"/>
        <w:jc w:val="both"/>
        <w:textAlignment w:val="auto"/>
        <w:rPr>
          <w:rFonts w:hint="eastAsia"/>
          <w:b w:val="0"/>
          <w:bCs w:val="0"/>
          <w:lang w:val="zh-CN"/>
        </w:rPr>
      </w:pPr>
      <w:r>
        <w:rPr>
          <w:rFonts w:hint="eastAsia"/>
          <w:b w:val="0"/>
          <w:bCs w:val="0"/>
          <w:lang w:val="zh-CN"/>
        </w:rPr>
        <w:t>规划功能定位为:东海岸新城新溪片区毗郐新津河的环境优美、交通方便、配套完普的高品质滨海住组团，融合居住服务、商业配套、城市景观等功能于体的滨海休闲商住综合片区。</w:t>
      </w:r>
    </w:p>
    <w:p>
      <w:pPr>
        <w:keepNext w:val="0"/>
        <w:keepLines w:val="0"/>
        <w:pageBreakBefore w:val="0"/>
        <w:widowControl w:val="0"/>
        <w:numPr>
          <w:ilvl w:val="0"/>
          <w:numId w:val="0"/>
        </w:numPr>
        <w:kinsoku/>
        <w:wordWrap/>
        <w:overflowPunct/>
        <w:topLinePunct w:val="0"/>
        <w:autoSpaceDE/>
        <w:autoSpaceDN/>
        <w:bidi w:val="0"/>
        <w:adjustRightInd/>
        <w:snapToGrid/>
        <w:spacing w:before="100" w:beforeAutospacing="1" w:after="100" w:afterAutospacing="1" w:line="380" w:lineRule="atLeast"/>
        <w:ind w:left="0" w:leftChars="0" w:right="0" w:rightChars="0"/>
        <w:jc w:val="both"/>
        <w:textAlignment w:val="auto"/>
        <w:rPr>
          <w:rFonts w:hint="eastAsia" w:ascii="黑体" w:hAnsi="黑体" w:eastAsia="黑体" w:cs="黑体"/>
          <w:b/>
          <w:bCs/>
          <w:lang w:val="zh-CN"/>
        </w:rPr>
      </w:pPr>
      <w:r>
        <w:rPr>
          <w:rFonts w:hint="eastAsia" w:ascii="黑体" w:hAnsi="黑体" w:eastAsia="黑体" w:cs="黑体"/>
          <w:b/>
          <w:bCs/>
          <w:lang w:val="zh-CN"/>
        </w:rPr>
        <w:t>第五条</w:t>
      </w:r>
      <w:r>
        <w:rPr>
          <w:rFonts w:hint="eastAsia" w:ascii="黑体" w:hAnsi="黑体" w:eastAsia="黑体" w:cs="黑体"/>
          <w:b/>
          <w:bCs/>
          <w:lang w:val="en-US" w:eastAsia="zh-CN"/>
        </w:rPr>
        <w:t xml:space="preserve"> 发展规模</w:t>
      </w:r>
    </w:p>
    <w:p>
      <w:pPr>
        <w:keepNext w:val="0"/>
        <w:keepLines w:val="0"/>
        <w:pageBreakBefore w:val="0"/>
        <w:widowControl w:val="0"/>
        <w:numPr>
          <w:ilvl w:val="0"/>
          <w:numId w:val="0"/>
        </w:numPr>
        <w:kinsoku/>
        <w:wordWrap/>
        <w:overflowPunct/>
        <w:topLinePunct w:val="0"/>
        <w:autoSpaceDE/>
        <w:autoSpaceDN/>
        <w:bidi w:val="0"/>
        <w:adjustRightInd/>
        <w:snapToGrid/>
        <w:spacing w:before="100" w:beforeAutospacing="1" w:after="100" w:afterAutospacing="1" w:line="380" w:lineRule="atLeast"/>
        <w:ind w:left="0" w:leftChars="0" w:right="0" w:rightChars="0" w:firstLine="480" w:firstLineChars="200"/>
        <w:jc w:val="both"/>
        <w:textAlignment w:val="auto"/>
        <w:rPr>
          <w:rFonts w:hint="eastAsia"/>
          <w:b w:val="0"/>
          <w:bCs w:val="0"/>
          <w:lang w:val="zh-CN"/>
        </w:rPr>
      </w:pPr>
      <w:r>
        <w:rPr>
          <w:rFonts w:hint="eastAsia"/>
          <w:b w:val="0"/>
          <w:bCs w:val="0"/>
          <w:lang w:val="zh-CN"/>
        </w:rPr>
        <w:t>法定规划区总用地面积207.85公顷，其中城镇建设用地186.54公顷。</w:t>
      </w:r>
    </w:p>
    <w:p>
      <w:pPr>
        <w:keepNext w:val="0"/>
        <w:keepLines w:val="0"/>
        <w:pageBreakBefore w:val="0"/>
        <w:widowControl w:val="0"/>
        <w:numPr>
          <w:ilvl w:val="0"/>
          <w:numId w:val="0"/>
        </w:numPr>
        <w:kinsoku/>
        <w:wordWrap/>
        <w:overflowPunct/>
        <w:topLinePunct w:val="0"/>
        <w:autoSpaceDE/>
        <w:autoSpaceDN/>
        <w:bidi w:val="0"/>
        <w:adjustRightInd/>
        <w:snapToGrid/>
        <w:spacing w:before="100" w:beforeAutospacing="1" w:after="100" w:afterAutospacing="1" w:line="380" w:lineRule="atLeast"/>
        <w:ind w:left="0" w:leftChars="0" w:right="0" w:rightChars="0" w:firstLine="480" w:firstLineChars="200"/>
        <w:jc w:val="both"/>
        <w:textAlignment w:val="auto"/>
        <w:rPr>
          <w:rFonts w:hint="eastAsia"/>
          <w:b w:val="0"/>
          <w:bCs w:val="0"/>
          <w:lang w:val="zh-CN"/>
        </w:rPr>
      </w:pPr>
      <w:r>
        <w:rPr>
          <w:rFonts w:hint="eastAsia"/>
          <w:b w:val="0"/>
          <w:bCs w:val="0"/>
          <w:lang w:val="zh-CN"/>
        </w:rPr>
        <w:t>规划住宅用地、商住用地75.68公顷，根据有关法规、规章、技术规范及市政府相关文件，经测算居住人口约5.83万人。</w:t>
      </w:r>
    </w:p>
    <w:p>
      <w:pPr>
        <w:keepNext w:val="0"/>
        <w:keepLines w:val="0"/>
        <w:pageBreakBefore w:val="0"/>
        <w:widowControl w:val="0"/>
        <w:numPr>
          <w:ilvl w:val="0"/>
          <w:numId w:val="0"/>
        </w:numPr>
        <w:kinsoku/>
        <w:wordWrap/>
        <w:overflowPunct/>
        <w:topLinePunct w:val="0"/>
        <w:autoSpaceDE/>
        <w:autoSpaceDN/>
        <w:bidi w:val="0"/>
        <w:adjustRightInd/>
        <w:snapToGrid/>
        <w:spacing w:before="100" w:beforeAutospacing="1" w:after="100" w:afterAutospacing="1" w:line="380" w:lineRule="atLeast"/>
        <w:ind w:left="0" w:leftChars="0" w:right="0" w:rightChars="0"/>
        <w:jc w:val="both"/>
        <w:textAlignment w:val="auto"/>
        <w:rPr>
          <w:rFonts w:hint="eastAsia"/>
          <w:b w:val="0"/>
          <w:bCs w:val="0"/>
          <w:lang w:val="zh-CN"/>
        </w:rPr>
      </w:pPr>
    </w:p>
    <w:bookmarkEnd w:id="4"/>
    <w:bookmarkEnd w:id="5"/>
    <w:bookmarkEnd w:id="6"/>
    <w:bookmarkEnd w:id="7"/>
    <w:bookmarkEnd w:id="8"/>
    <w:p>
      <w:pPr>
        <w:keepNext w:val="0"/>
        <w:keepLines w:val="0"/>
        <w:pageBreakBefore w:val="0"/>
        <w:kinsoku/>
        <w:wordWrap/>
        <w:overflowPunct/>
        <w:topLinePunct w:val="0"/>
        <w:autoSpaceDE/>
        <w:autoSpaceDN/>
        <w:bidi w:val="0"/>
        <w:adjustRightInd/>
        <w:snapToGrid/>
        <w:spacing w:before="100" w:beforeAutospacing="1" w:after="100" w:afterAutospacing="1" w:line="380" w:lineRule="atLeast"/>
        <w:ind w:left="0" w:leftChars="0" w:right="0" w:rightChars="0" w:firstLine="480" w:firstLineChars="200"/>
        <w:textAlignment w:val="auto"/>
        <w:rPr>
          <w:b w:val="0"/>
          <w:bCs w:val="0"/>
          <w:kern w:val="0"/>
          <w:szCs w:val="20"/>
          <w:lang w:val="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微软雅黑">
    <w:panose1 w:val="020B0503020204020204"/>
    <w:charset w:val="86"/>
    <w:family w:val="swiss"/>
    <w:pitch w:val="default"/>
    <w:sig w:usb0="80000287" w:usb1="280F3C52" w:usb2="00000016" w:usb3="00000000" w:csb0="0004001F" w:csb1="00000000"/>
  </w:font>
  <w:font w:name="RomanS">
    <w:panose1 w:val="02000400000000000000"/>
    <w:charset w:val="00"/>
    <w:family w:val="auto"/>
    <w:pitch w:val="default"/>
    <w:sig w:usb0="00000207" w:usb1="00000000" w:usb2="00000000" w:usb3="00000000" w:csb0="000001FF" w:csb1="00000000"/>
  </w:font>
  <w:font w:name="等线">
    <w:altName w:val="宋体"/>
    <w:panose1 w:val="00000000000000000000"/>
    <w:charset w:val="86"/>
    <w:family w:val="auto"/>
    <w:pitch w:val="default"/>
    <w:sig w:usb0="00000000" w:usb1="00000000" w:usb2="00000000" w:usb3="00000000" w:csb0="00000000" w:csb1="00000000"/>
  </w:font>
  <w:font w:name="等线 Light">
    <w:altName w:val="RomanS"/>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等线">
    <w:altName w:val="RomanS"/>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047F5A"/>
    <w:multiLevelType w:val="multilevel"/>
    <w:tmpl w:val="69047F5A"/>
    <w:lvl w:ilvl="0" w:tentative="0">
      <w:start w:val="1"/>
      <w:numFmt w:val="japaneseCounting"/>
      <w:pStyle w:val="2"/>
      <w:lvlText w:val="第%1章"/>
      <w:lvlJc w:val="left"/>
      <w:pPr>
        <w:tabs>
          <w:tab w:val="left" w:pos="1401"/>
        </w:tabs>
        <w:ind w:left="1401" w:hanging="1400"/>
      </w:pPr>
      <w:rPr>
        <w:rFonts w:hint="default"/>
      </w:rPr>
    </w:lvl>
    <w:lvl w:ilvl="1" w:tentative="0">
      <w:start w:val="1"/>
      <w:numFmt w:val="decimal"/>
      <w:lvlText w:val="%2."/>
      <w:lvlJc w:val="left"/>
      <w:pPr>
        <w:tabs>
          <w:tab w:val="left" w:pos="841"/>
        </w:tabs>
        <w:ind w:left="841" w:hanging="420"/>
      </w:pPr>
      <w:rPr>
        <w:rFonts w:hint="default"/>
      </w:rPr>
    </w:lvl>
    <w:lvl w:ilvl="2" w:tentative="0">
      <w:start w:val="1"/>
      <w:numFmt w:val="decimal"/>
      <w:lvlText w:val="%3．"/>
      <w:lvlJc w:val="left"/>
      <w:pPr>
        <w:tabs>
          <w:tab w:val="left" w:pos="1201"/>
        </w:tabs>
        <w:ind w:left="1201" w:hanging="360"/>
      </w:pPr>
      <w:rPr>
        <w:rFonts w:hint="default"/>
      </w:rPr>
    </w:lvl>
    <w:lvl w:ilvl="3" w:tentative="0">
      <w:start w:val="1"/>
      <w:numFmt w:val="decimal"/>
      <w:lvlText w:val="%4."/>
      <w:lvlJc w:val="left"/>
      <w:pPr>
        <w:tabs>
          <w:tab w:val="left" w:pos="1681"/>
        </w:tabs>
        <w:ind w:left="1681" w:hanging="420"/>
      </w:pPr>
      <w:rPr>
        <w:rFonts w:hint="default"/>
      </w:rPr>
    </w:lvl>
    <w:lvl w:ilvl="4" w:tentative="0">
      <w:start w:val="1"/>
      <w:numFmt w:val="decimal"/>
      <w:lvlText w:val="%5．"/>
      <w:lvlJc w:val="left"/>
      <w:pPr>
        <w:tabs>
          <w:tab w:val="left" w:pos="2041"/>
        </w:tabs>
        <w:ind w:left="2041" w:hanging="360"/>
      </w:pPr>
      <w:rPr>
        <w:rFonts w:hint="default"/>
      </w:rPr>
    </w:lvl>
    <w:lvl w:ilvl="5" w:tentative="0">
      <w:start w:val="1"/>
      <w:numFmt w:val="decimal"/>
      <w:lvlText w:val="%6."/>
      <w:lvlJc w:val="left"/>
      <w:pPr>
        <w:tabs>
          <w:tab w:val="left" w:pos="2521"/>
        </w:tabs>
        <w:ind w:left="2521" w:hanging="420"/>
      </w:pPr>
      <w:rPr>
        <w:rFonts w:hint="default"/>
      </w:rPr>
    </w:lvl>
    <w:lvl w:ilvl="6" w:tentative="0">
      <w:start w:val="1"/>
      <w:numFmt w:val="decimal"/>
      <w:lvlText w:val="%7."/>
      <w:lvlJc w:val="left"/>
      <w:pPr>
        <w:tabs>
          <w:tab w:val="left" w:pos="2941"/>
        </w:tabs>
        <w:ind w:left="2941" w:hanging="420"/>
      </w:pPr>
    </w:lvl>
    <w:lvl w:ilvl="7" w:tentative="0">
      <w:start w:val="1"/>
      <w:numFmt w:val="lowerLetter"/>
      <w:lvlText w:val="%8)"/>
      <w:lvlJc w:val="left"/>
      <w:pPr>
        <w:tabs>
          <w:tab w:val="left" w:pos="3361"/>
        </w:tabs>
        <w:ind w:left="3361" w:hanging="420"/>
      </w:pPr>
    </w:lvl>
    <w:lvl w:ilvl="8" w:tentative="0">
      <w:start w:val="1"/>
      <w:numFmt w:val="lowerRoman"/>
      <w:lvlText w:val="%9."/>
      <w:lvlJc w:val="right"/>
      <w:pPr>
        <w:tabs>
          <w:tab w:val="left" w:pos="3781"/>
        </w:tabs>
        <w:ind w:left="3781" w:hanging="420"/>
      </w:pPr>
    </w:lvl>
  </w:abstractNum>
  <w:abstractNum w:abstractNumId="1">
    <w:nsid w:val="717E2C8B"/>
    <w:multiLevelType w:val="multilevel"/>
    <w:tmpl w:val="717E2C8B"/>
    <w:lvl w:ilvl="0" w:tentative="0">
      <w:start w:val="1"/>
      <w:numFmt w:val="chineseCountingThousand"/>
      <w:pStyle w:val="3"/>
      <w:lvlText w:val="第%1条"/>
      <w:lvlJc w:val="left"/>
      <w:pPr>
        <w:tabs>
          <w:tab w:val="left" w:pos="1134"/>
        </w:tabs>
        <w:ind w:left="0" w:firstLine="0"/>
      </w:pPr>
      <w:rPr>
        <w:rFonts w:hint="default" w:ascii="黑体" w:eastAsia="黑体"/>
        <w:b/>
      </w:rPr>
    </w:lvl>
    <w:lvl w:ilvl="1" w:tentative="0">
      <w:start w:val="1"/>
      <w:numFmt w:val="decimal"/>
      <w:lvlText w:val="%2．"/>
      <w:lvlJc w:val="left"/>
      <w:pPr>
        <w:tabs>
          <w:tab w:val="left" w:pos="780"/>
        </w:tabs>
        <w:ind w:left="780" w:hanging="360"/>
      </w:pPr>
      <w:rPr>
        <w:rFonts w:hint="default"/>
        <w:b/>
      </w:rPr>
    </w:lvl>
    <w:lvl w:ilvl="2" w:tentative="0">
      <w:start w:val="1"/>
      <w:numFmt w:val="decimal"/>
      <w:lvlText w:val="%3."/>
      <w:lvlJc w:val="left"/>
      <w:pPr>
        <w:tabs>
          <w:tab w:val="left" w:pos="1260"/>
        </w:tabs>
        <w:ind w:left="1260" w:hanging="420"/>
      </w:pPr>
      <w:rPr>
        <w:rFonts w:hint="default"/>
      </w:rPr>
    </w:lvl>
    <w:lvl w:ilvl="3" w:tentative="0">
      <w:start w:val="1"/>
      <w:numFmt w:val="decimal"/>
      <w:lvlText w:val="%4、"/>
      <w:lvlJc w:val="left"/>
      <w:pPr>
        <w:tabs>
          <w:tab w:val="left" w:pos="2055"/>
        </w:tabs>
        <w:ind w:left="2055" w:hanging="795"/>
      </w:pPr>
      <w:rPr>
        <w:rFonts w:hint="eastAsia"/>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6303"/>
    <w:rsid w:val="001D6303"/>
    <w:rsid w:val="00482B39"/>
    <w:rsid w:val="00D74993"/>
    <w:rsid w:val="00F33FF1"/>
    <w:rsid w:val="26052CC8"/>
    <w:rsid w:val="3CDA3D59"/>
    <w:rsid w:val="40BC265A"/>
    <w:rsid w:val="554166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Times New Roman"/>
      <w:kern w:val="2"/>
      <w:sz w:val="24"/>
      <w:szCs w:val="24"/>
      <w:lang w:val="en-US" w:eastAsia="zh-CN" w:bidi="ar-SA"/>
    </w:rPr>
  </w:style>
  <w:style w:type="character" w:default="1" w:styleId="4">
    <w:name w:val="Default Paragraph Font"/>
    <w:unhideWhenUsed/>
    <w:uiPriority w:val="1"/>
  </w:style>
  <w:style w:type="table" w:default="1" w:styleId="5">
    <w:name w:val="Normal Table"/>
    <w:unhideWhenUsed/>
    <w:uiPriority w:val="99"/>
    <w:tblPr>
      <w:tblLayout w:type="fixed"/>
      <w:tblCellMar>
        <w:top w:w="0" w:type="dxa"/>
        <w:left w:w="108" w:type="dxa"/>
        <w:bottom w:w="0" w:type="dxa"/>
        <w:right w:w="108" w:type="dxa"/>
      </w:tblCellMar>
    </w:tblPr>
  </w:style>
  <w:style w:type="paragraph" w:styleId="2">
    <w:name w:val="Title"/>
    <w:basedOn w:val="1"/>
    <w:next w:val="3"/>
    <w:link w:val="7"/>
    <w:qFormat/>
    <w:uiPriority w:val="10"/>
    <w:pPr>
      <w:keepNext/>
      <w:widowControl/>
      <w:numPr>
        <w:ilvl w:val="0"/>
        <w:numId w:val="1"/>
      </w:numPr>
      <w:spacing w:before="389" w:beforeLines="100" w:after="389" w:afterLines="100"/>
      <w:jc w:val="center"/>
      <w:outlineLvl w:val="0"/>
    </w:pPr>
    <w:rPr>
      <w:rFonts w:ascii="等线 Light" w:hAnsi="等线 Light" w:eastAsia="微软雅黑" w:cstheme="minorBidi"/>
      <w:bCs/>
      <w:kern w:val="28"/>
      <w:sz w:val="28"/>
      <w:szCs w:val="28"/>
    </w:rPr>
  </w:style>
  <w:style w:type="paragraph" w:customStyle="1" w:styleId="3">
    <w:name w:val="文本条文"/>
    <w:next w:val="1"/>
    <w:link w:val="6"/>
    <w:qFormat/>
    <w:uiPriority w:val="0"/>
    <w:pPr>
      <w:numPr>
        <w:ilvl w:val="0"/>
        <w:numId w:val="2"/>
      </w:numPr>
      <w:spacing w:before="194" w:beforeLines="50" w:after="194" w:afterLines="50"/>
      <w:jc w:val="both"/>
      <w:outlineLvl w:val="2"/>
    </w:pPr>
    <w:rPr>
      <w:rFonts w:ascii="宋体" w:hAnsi="宋体" w:eastAsiaTheme="minorEastAsia" w:cstheme="minorBidi"/>
      <w:kern w:val="2"/>
      <w:sz w:val="24"/>
      <w:szCs w:val="24"/>
      <w:lang w:val="en-US" w:eastAsia="zh-CN" w:bidi="ar-SA"/>
    </w:rPr>
  </w:style>
  <w:style w:type="character" w:customStyle="1" w:styleId="6">
    <w:name w:val="文本条文 字符"/>
    <w:link w:val="3"/>
    <w:uiPriority w:val="0"/>
    <w:rPr>
      <w:rFonts w:ascii="宋体" w:hAnsi="宋体"/>
      <w:sz w:val="24"/>
      <w:szCs w:val="24"/>
    </w:rPr>
  </w:style>
  <w:style w:type="character" w:customStyle="1" w:styleId="7">
    <w:name w:val="标题 字符"/>
    <w:link w:val="2"/>
    <w:uiPriority w:val="10"/>
    <w:rPr>
      <w:rFonts w:ascii="等线 Light" w:hAnsi="等线 Light" w:eastAsia="微软雅黑"/>
      <w:bCs/>
      <w:kern w:val="28"/>
      <w:sz w:val="28"/>
      <w:szCs w:val="28"/>
    </w:rPr>
  </w:style>
  <w:style w:type="character" w:customStyle="1" w:styleId="8">
    <w:name w:val="标题 字符1"/>
    <w:basedOn w:val="4"/>
    <w:qFormat/>
    <w:uiPriority w:val="10"/>
    <w:rPr>
      <w:rFonts w:asciiTheme="majorHAnsi" w:hAnsiTheme="majorHAnsi" w:eastAsiaTheme="majorEastAsia" w:cstheme="majorBidi"/>
      <w:b/>
      <w:bCs/>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183</Words>
  <Characters>1046</Characters>
  <Lines>8</Lines>
  <Paragraphs>2</Paragraphs>
  <ScaleCrop>false</ScaleCrop>
  <LinksUpToDate>false</LinksUpToDate>
  <CharactersWithSpaces>1227</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2020-06-16T03:52:00Z</dcterms:created>
  <dc:creator>user</dc:creator>
  <cp:lastModifiedBy>andechen</cp:lastModifiedBy>
  <dcterms:modified xsi:type="dcterms:W3CDTF">2020-09-25T03:06:26Z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