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both"/>
        <w:textAlignment w:val="auto"/>
        <w:rPr>
          <w:rFonts w:hint="default" w:ascii="Times New Roman" w:hAnsi="Times New Roman" w:eastAsia="黑体" w:cs="Times New Roman"/>
          <w:color w:val="auto"/>
          <w:sz w:val="32"/>
          <w:szCs w:val="32"/>
          <w:highlight w:val="none"/>
          <w:lang w:val="en-US" w:eastAsia="zh-CN"/>
        </w:rPr>
      </w:pPr>
      <w:bookmarkStart w:id="0" w:name="_GoBack"/>
      <w:bookmarkEnd w:id="0"/>
      <w:r>
        <w:rPr>
          <w:rFonts w:hint="default" w:ascii="Times New Roman" w:hAnsi="Times New Roman" w:eastAsia="黑体" w:cs="Times New Roman"/>
          <w:color w:val="auto"/>
          <w:sz w:val="32"/>
          <w:szCs w:val="32"/>
          <w:highlight w:val="none"/>
          <w:lang w:eastAsia="zh-CN"/>
        </w:rPr>
        <w:t>附件</w:t>
      </w:r>
      <w:r>
        <w:rPr>
          <w:rFonts w:hint="default" w:ascii="Times New Roman" w:hAnsi="Times New Roman" w:eastAsia="黑体" w:cs="Times New Roman"/>
          <w:color w:val="auto"/>
          <w:sz w:val="32"/>
          <w:szCs w:val="32"/>
          <w:highlight w:val="none"/>
          <w:lang w:val="en-US" w:eastAsia="zh-CN"/>
        </w:rPr>
        <w:t>2</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both"/>
        <w:textAlignment w:val="auto"/>
        <w:rPr>
          <w:rFonts w:hint="default" w:ascii="Times New Roman" w:hAnsi="Times New Roman" w:eastAsia="黑体" w:cs="Times New Roman"/>
          <w:color w:val="auto"/>
          <w:sz w:val="32"/>
          <w:szCs w:val="32"/>
          <w:highlight w:val="none"/>
          <w:lang w:eastAsia="zh-CN"/>
        </w:rPr>
      </w:pPr>
    </w:p>
    <w:p>
      <w:pPr>
        <w:keepNext w:val="0"/>
        <w:keepLines w:val="0"/>
        <w:pageBreakBefore w:val="0"/>
        <w:widowControl w:val="0"/>
        <w:kinsoku/>
        <w:wordWrap/>
        <w:overflowPunct/>
        <w:topLinePunct w:val="0"/>
        <w:autoSpaceDE/>
        <w:autoSpaceDN/>
        <w:bidi w:val="0"/>
        <w:adjustRightInd/>
        <w:snapToGrid/>
        <w:spacing w:before="157" w:beforeLines="50" w:after="157" w:afterLines="50" w:line="600" w:lineRule="exact"/>
        <w:jc w:val="center"/>
        <w:textAlignment w:val="auto"/>
        <w:rPr>
          <w:rFonts w:hint="default" w:ascii="Times New Roman" w:hAnsi="Times New Roman" w:eastAsia="方正小标宋简体" w:cs="Times New Roman"/>
          <w:sz w:val="44"/>
          <w:szCs w:val="44"/>
          <w:lang w:eastAsia="zh-CN"/>
        </w:rPr>
      </w:pPr>
      <w:r>
        <w:rPr>
          <w:rFonts w:hint="default" w:ascii="Times New Roman" w:hAnsi="Times New Roman" w:eastAsia="方正小标宋简体" w:cs="Times New Roman"/>
          <w:sz w:val="44"/>
          <w:szCs w:val="44"/>
          <w:lang w:eastAsia="zh-CN"/>
        </w:rPr>
        <w:t>《汕头市市场监管（知识产权）“十五五”规划</w:t>
      </w:r>
    </w:p>
    <w:p>
      <w:pPr>
        <w:keepNext w:val="0"/>
        <w:keepLines w:val="0"/>
        <w:pageBreakBefore w:val="0"/>
        <w:widowControl w:val="0"/>
        <w:kinsoku/>
        <w:wordWrap/>
        <w:overflowPunct/>
        <w:topLinePunct w:val="0"/>
        <w:autoSpaceDE/>
        <w:autoSpaceDN/>
        <w:bidi w:val="0"/>
        <w:adjustRightInd/>
        <w:snapToGrid/>
        <w:spacing w:before="157" w:beforeLines="50" w:after="157" w:afterLines="50" w:line="600" w:lineRule="exact"/>
        <w:jc w:val="center"/>
        <w:textAlignment w:val="auto"/>
        <w:rPr>
          <w:rFonts w:hint="default" w:ascii="Times New Roman" w:hAnsi="Times New Roman" w:eastAsia="仿宋_GB2312" w:cs="Times New Roman"/>
          <w:sz w:val="32"/>
          <w:szCs w:val="32"/>
          <w:lang w:eastAsia="zh-CN"/>
        </w:rPr>
      </w:pPr>
      <w:r>
        <w:rPr>
          <w:rFonts w:hint="default" w:ascii="Times New Roman" w:hAnsi="Times New Roman" w:eastAsia="方正小标宋简体" w:cs="Times New Roman"/>
          <w:sz w:val="44"/>
          <w:szCs w:val="44"/>
          <w:lang w:eastAsia="zh-CN"/>
        </w:rPr>
        <w:t>（征求意见稿）》起草说明</w:t>
      </w:r>
    </w:p>
    <w:p>
      <w:pPr>
        <w:keepNext w:val="0"/>
        <w:keepLines w:val="0"/>
        <w:pageBreakBefore w:val="0"/>
        <w:widowControl w:val="0"/>
        <w:kinsoku/>
        <w:wordWrap/>
        <w:overflowPunct/>
        <w:topLinePunct w:val="0"/>
        <w:autoSpaceDE/>
        <w:autoSpaceDN/>
        <w:bidi w:val="0"/>
        <w:adjustRightInd/>
        <w:snapToGrid/>
        <w:spacing w:before="313" w:beforeLines="100" w:line="600" w:lineRule="exact"/>
        <w:jc w:val="center"/>
        <w:textAlignment w:val="auto"/>
        <w:rPr>
          <w:rFonts w:hint="default" w:ascii="Times New Roman" w:hAnsi="Times New Roman" w:eastAsia="楷体_GB2312" w:cs="Times New Roman"/>
          <w:sz w:val="32"/>
          <w:szCs w:val="32"/>
          <w:lang w:eastAsia="zh-CN"/>
        </w:rPr>
      </w:pPr>
      <w:r>
        <w:rPr>
          <w:rFonts w:hint="default" w:ascii="Times New Roman" w:hAnsi="Times New Roman" w:eastAsia="楷体_GB2312" w:cs="Times New Roman"/>
          <w:sz w:val="32"/>
          <w:szCs w:val="32"/>
          <w:lang w:eastAsia="zh-CN"/>
        </w:rPr>
        <w:t>汕头市市场监督管理局</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lang w:eastAsia="zh-CN"/>
        </w:rPr>
      </w:pP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一、起草背景及过程</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十五五”（2026-2030年）时期，是基本实现社会主义现代化夯实基础、全面发力的关键时期，是汕头奋力在新时代经济特区建设中迎头赶上、开启全面建设社会主义现代化新征程的重要时期，也是汕头市场监管和知识产权事业实现跨越式发展的窗口时期。根据市政府关于做好“十五五”专项规划编制工作的有关要求以及《汕头市人民政府办公室关于调整市“十五五”专项规划编制目录清单的通知》（汕府办〔2025〕30号），汕头市市场监督管理局负责牵头编制《汕头市市场监管（知识产权）“十五五”规划》（以下简称《规划》），为市级一般专项规划。</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市市场监管局高度重视《规划》编制工作，成立专项规划编制工作领导小组，由局主要负责同志担任领导小组组长，下设工作专班，统筹推进《规划》编制工作。为做好前期研究工作，系统总结了“十四五”时期全市市场监管工作成效，分析研判未来五年面临的发展形势，开展“十五五”时期推动市场监管和知识产权高质量发展思路研究。起草过程中注重衔接《汕头市国民经济和社会发展第十五个五年规划纲要》和国家、省相关专项规划，紧扣市情实际，</w:t>
      </w:r>
      <w:r>
        <w:rPr>
          <w:rFonts w:hint="eastAsia" w:ascii="Times New Roman" w:hAnsi="Times New Roman" w:eastAsia="仿宋_GB2312" w:cs="Times New Roman"/>
          <w:sz w:val="32"/>
          <w:szCs w:val="32"/>
          <w:lang w:val="en-US" w:eastAsia="zh-CN"/>
        </w:rPr>
        <w:t>并征求各区（县）人民政府、功能区管委会和市各有关部门以及全市市场监管系统意见，经梳理分析和反复修改</w:t>
      </w:r>
      <w:r>
        <w:rPr>
          <w:rFonts w:hint="default" w:ascii="Times New Roman" w:hAnsi="Times New Roman" w:eastAsia="仿宋_GB2312" w:cs="Times New Roman"/>
          <w:sz w:val="32"/>
          <w:szCs w:val="32"/>
          <w:lang w:val="en-US" w:eastAsia="zh-CN"/>
        </w:rPr>
        <w:t>完善，形成了《规划（征求意见稿）》，旨在为我市今后五年市场监管和知识产权高质量发展划定清晰路径，全面有力有效服务汕头增创新优势、实现新突破。</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二、主要考虑</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规划（征求意见稿）》坚持以习近平新时代中国特色社会主义思想为指导，深入贯彻党的二十大和二十届历次全会精神，深入贯彻习近平总书记视察广东、视察汕头重要讲话重要指示精神以及关于市场监管和知识产权工作的重要论述，全面落实市委、市政府决策部署，聚焦扬优势、补短板、战风险，一以贯之加强市场监管各项建设，接续推进知识产权事业创新发展，为奋力推进中国式现代化的汕头实践提供有力支撑。</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一是</w:t>
      </w:r>
      <w:r>
        <w:rPr>
          <w:rFonts w:hint="eastAsia" w:ascii="Times New Roman" w:hAnsi="Times New Roman" w:eastAsia="仿宋_GB2312" w:cs="Times New Roman"/>
          <w:sz w:val="32"/>
          <w:szCs w:val="32"/>
          <w:lang w:val="en-US" w:eastAsia="zh-CN"/>
        </w:rPr>
        <w:t>注重</w:t>
      </w:r>
      <w:r>
        <w:rPr>
          <w:rFonts w:hint="default" w:ascii="Times New Roman" w:hAnsi="Times New Roman" w:eastAsia="仿宋_GB2312" w:cs="Times New Roman"/>
          <w:sz w:val="32"/>
          <w:szCs w:val="32"/>
          <w:lang w:val="en-US" w:eastAsia="zh-CN"/>
        </w:rPr>
        <w:t>目标导向与问题导向相结合。紧扣</w:t>
      </w:r>
      <w:r>
        <w:rPr>
          <w:rFonts w:hint="eastAsia" w:ascii="Times New Roman" w:hAnsi="Times New Roman" w:eastAsia="仿宋_GB2312" w:cs="Times New Roman"/>
          <w:sz w:val="32"/>
          <w:szCs w:val="32"/>
          <w:lang w:val="en-US" w:eastAsia="zh-CN"/>
        </w:rPr>
        <w:t>汕头</w:t>
      </w:r>
      <w:r>
        <w:rPr>
          <w:rFonts w:hint="default" w:ascii="Times New Roman" w:hAnsi="Times New Roman" w:eastAsia="仿宋_GB2312" w:cs="Times New Roman"/>
          <w:sz w:val="32"/>
          <w:szCs w:val="32"/>
          <w:lang w:val="en-US" w:eastAsia="zh-CN"/>
        </w:rPr>
        <w:t>“在新时代经济特区建设中迎头赶上”的使命任务和全力打造现代化沿海经济带重要发展极，全面建设现代化活力经济特区、省域副中心城市、汕潮揭都市圈主中心的战略定位，对标</w:t>
      </w:r>
      <w:r>
        <w:rPr>
          <w:rFonts w:hint="eastAsia" w:ascii="Times New Roman" w:hAnsi="Times New Roman" w:eastAsia="仿宋_GB2312" w:cs="Times New Roman"/>
          <w:sz w:val="32"/>
          <w:szCs w:val="32"/>
          <w:lang w:val="en-US" w:eastAsia="zh-CN"/>
        </w:rPr>
        <w:t>上级</w:t>
      </w:r>
      <w:r>
        <w:rPr>
          <w:rFonts w:hint="default" w:ascii="Times New Roman" w:hAnsi="Times New Roman" w:eastAsia="仿宋_GB2312" w:cs="Times New Roman"/>
          <w:sz w:val="32"/>
          <w:szCs w:val="32"/>
          <w:lang w:val="en-US" w:eastAsia="zh-CN"/>
        </w:rPr>
        <w:t>“十五五”时期有关</w:t>
      </w:r>
      <w:r>
        <w:rPr>
          <w:rFonts w:hint="eastAsia" w:ascii="Times New Roman" w:hAnsi="Times New Roman" w:eastAsia="仿宋_GB2312" w:cs="Times New Roman"/>
          <w:sz w:val="32"/>
          <w:szCs w:val="32"/>
          <w:lang w:val="en-US" w:eastAsia="zh-CN"/>
        </w:rPr>
        <w:t>决策</w:t>
      </w:r>
      <w:r>
        <w:rPr>
          <w:rFonts w:hint="default" w:ascii="Times New Roman" w:hAnsi="Times New Roman" w:eastAsia="仿宋_GB2312" w:cs="Times New Roman"/>
          <w:sz w:val="32"/>
          <w:szCs w:val="32"/>
          <w:lang w:val="en-US" w:eastAsia="zh-CN"/>
        </w:rPr>
        <w:t>部署，确定我市市场监管和知识产权高质量发展的主要目标，同时深入剖析当前存在的短板弱项，精准施策，确保《规划》举措有的放矢、切实可行。</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二是</w:t>
      </w:r>
      <w:r>
        <w:rPr>
          <w:rFonts w:hint="eastAsia" w:ascii="Times New Roman" w:hAnsi="Times New Roman" w:eastAsia="仿宋_GB2312" w:cs="Times New Roman"/>
          <w:sz w:val="32"/>
          <w:szCs w:val="32"/>
          <w:lang w:val="en-US" w:eastAsia="zh-CN"/>
        </w:rPr>
        <w:t>注重</w:t>
      </w:r>
      <w:r>
        <w:rPr>
          <w:rFonts w:hint="default" w:ascii="Times New Roman" w:hAnsi="Times New Roman" w:eastAsia="仿宋_GB2312" w:cs="Times New Roman"/>
          <w:sz w:val="32"/>
          <w:szCs w:val="32"/>
          <w:lang w:val="en-US" w:eastAsia="zh-CN"/>
        </w:rPr>
        <w:t>系统谋划与重点突破相统一。立足全市经济社会发展大局，在全面推进市场监管和知识产权各项基础工作的同时，聚焦服务构建工商并举现代化产业体系、赋能“百县千镇万村高质量发展工程”</w:t>
      </w:r>
      <w:r>
        <w:rPr>
          <w:rFonts w:hint="eastAsia" w:ascii="Times New Roman" w:hAnsi="Times New Roman" w:eastAsia="仿宋_GB2312" w:cs="Times New Roman"/>
          <w:sz w:val="32"/>
          <w:szCs w:val="32"/>
          <w:lang w:val="en-US" w:eastAsia="zh-CN"/>
        </w:rPr>
        <w:t>、积极融入粤港澳大湾区建设</w:t>
      </w:r>
      <w:r>
        <w:rPr>
          <w:rFonts w:hint="default" w:ascii="Times New Roman" w:hAnsi="Times New Roman" w:eastAsia="仿宋_GB2312" w:cs="Times New Roman"/>
          <w:sz w:val="32"/>
          <w:szCs w:val="32"/>
          <w:lang w:val="en-US" w:eastAsia="zh-CN"/>
        </w:rPr>
        <w:t>等，充分挖掘市场监管服务有效路径，谋划实施一批标志性行动、举措，</w:t>
      </w:r>
      <w:r>
        <w:rPr>
          <w:rFonts w:hint="eastAsia" w:ascii="Times New Roman" w:hAnsi="Times New Roman" w:eastAsia="仿宋_GB2312" w:cs="Times New Roman"/>
          <w:sz w:val="32"/>
          <w:szCs w:val="32"/>
          <w:lang w:val="en-US" w:eastAsia="zh-CN"/>
        </w:rPr>
        <w:t>力争</w:t>
      </w:r>
      <w:r>
        <w:rPr>
          <w:rFonts w:hint="default" w:ascii="Times New Roman" w:hAnsi="Times New Roman" w:eastAsia="仿宋_GB2312" w:cs="Times New Roman"/>
          <w:sz w:val="32"/>
          <w:szCs w:val="32"/>
          <w:lang w:val="en-US" w:eastAsia="zh-CN"/>
        </w:rPr>
        <w:t>推动产业发展支撑更实、</w:t>
      </w:r>
      <w:r>
        <w:rPr>
          <w:rFonts w:hint="eastAsia" w:ascii="Times New Roman" w:hAnsi="Times New Roman" w:eastAsia="仿宋_GB2312" w:cs="Times New Roman"/>
          <w:sz w:val="32"/>
          <w:szCs w:val="32"/>
          <w:lang w:val="en-US" w:eastAsia="zh-CN"/>
        </w:rPr>
        <w:t>经营主体活力更足、</w:t>
      </w:r>
      <w:r>
        <w:rPr>
          <w:rFonts w:hint="default" w:ascii="Times New Roman" w:hAnsi="Times New Roman" w:eastAsia="仿宋_GB2312" w:cs="Times New Roman"/>
          <w:sz w:val="32"/>
          <w:szCs w:val="32"/>
          <w:lang w:val="en-US" w:eastAsia="zh-CN"/>
        </w:rPr>
        <w:t>公平竞争环境更优、监管服务效能更好。</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三是</w:t>
      </w:r>
      <w:r>
        <w:rPr>
          <w:rFonts w:hint="eastAsia" w:ascii="Times New Roman" w:hAnsi="Times New Roman" w:eastAsia="仿宋_GB2312" w:cs="Times New Roman"/>
          <w:sz w:val="32"/>
          <w:szCs w:val="32"/>
          <w:lang w:val="en-US" w:eastAsia="zh-CN"/>
        </w:rPr>
        <w:t>注重</w:t>
      </w:r>
      <w:r>
        <w:rPr>
          <w:rFonts w:hint="default" w:ascii="Times New Roman" w:hAnsi="Times New Roman" w:eastAsia="仿宋_GB2312" w:cs="Times New Roman"/>
          <w:sz w:val="32"/>
          <w:szCs w:val="32"/>
          <w:lang w:val="en-US" w:eastAsia="zh-CN"/>
        </w:rPr>
        <w:t>改革创新与法治保障相协同。顺应数智化发展趋势，探索推进以大数据、人工智能等数字技术为支撑的智慧监管模式，</w:t>
      </w:r>
      <w:r>
        <w:rPr>
          <w:rFonts w:hint="eastAsia" w:ascii="Times New Roman" w:hAnsi="Times New Roman" w:eastAsia="仿宋_GB2312" w:cs="Times New Roman"/>
          <w:sz w:val="32"/>
          <w:szCs w:val="32"/>
          <w:lang w:val="en-US" w:eastAsia="zh-CN"/>
        </w:rPr>
        <w:t>构建精准高效的信用监管网络，</w:t>
      </w:r>
      <w:r>
        <w:rPr>
          <w:rFonts w:hint="default" w:ascii="Times New Roman" w:hAnsi="Times New Roman" w:eastAsia="仿宋_GB2312" w:cs="Times New Roman"/>
          <w:sz w:val="32"/>
          <w:szCs w:val="32"/>
          <w:lang w:val="en-US" w:eastAsia="zh-CN"/>
        </w:rPr>
        <w:t>同时践行依法行政</w:t>
      </w:r>
      <w:r>
        <w:rPr>
          <w:rFonts w:hint="eastAsia" w:ascii="Times New Roman" w:hAnsi="Times New Roman" w:eastAsia="仿宋_GB2312" w:cs="Times New Roman"/>
          <w:sz w:val="32"/>
          <w:szCs w:val="32"/>
          <w:lang w:val="en-US" w:eastAsia="zh-CN"/>
        </w:rPr>
        <w:t>、合理行政，</w:t>
      </w:r>
      <w:r>
        <w:rPr>
          <w:rFonts w:hint="default" w:ascii="Times New Roman" w:hAnsi="Times New Roman" w:eastAsia="仿宋_GB2312" w:cs="Times New Roman"/>
          <w:sz w:val="32"/>
          <w:szCs w:val="32"/>
          <w:lang w:val="en-US" w:eastAsia="zh-CN"/>
        </w:rPr>
        <w:t>健全市场监管法规制度体系，严格规范公正文明执法，</w:t>
      </w:r>
      <w:r>
        <w:rPr>
          <w:rFonts w:hint="eastAsia" w:ascii="Times New Roman" w:hAnsi="Times New Roman" w:eastAsia="仿宋_GB2312" w:cs="Times New Roman"/>
          <w:sz w:val="32"/>
          <w:szCs w:val="32"/>
          <w:lang w:val="en-US" w:eastAsia="zh-CN"/>
        </w:rPr>
        <w:t>力求全面提升市场综合监管效能，</w:t>
      </w:r>
      <w:r>
        <w:rPr>
          <w:rFonts w:hint="default" w:ascii="Times New Roman" w:hAnsi="Times New Roman" w:eastAsia="仿宋_GB2312" w:cs="Times New Roman"/>
          <w:sz w:val="32"/>
          <w:szCs w:val="32"/>
          <w:lang w:val="en-US" w:eastAsia="zh-CN"/>
        </w:rPr>
        <w:t>推动实现穿透式、非现场监管</w:t>
      </w:r>
      <w:r>
        <w:rPr>
          <w:rFonts w:hint="eastAsia" w:ascii="Times New Roman" w:hAnsi="Times New Roman" w:eastAsia="仿宋_GB2312" w:cs="Times New Roman"/>
          <w:sz w:val="32"/>
          <w:szCs w:val="32"/>
          <w:lang w:val="en-US" w:eastAsia="zh-CN"/>
        </w:rPr>
        <w:t>和法治化、规范化监管。</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三、框架</w:t>
      </w:r>
      <w:r>
        <w:rPr>
          <w:rFonts w:hint="eastAsia" w:ascii="Times New Roman" w:hAnsi="Times New Roman" w:eastAsia="黑体" w:cs="Times New Roman"/>
          <w:sz w:val="32"/>
          <w:szCs w:val="32"/>
          <w:lang w:val="en-US" w:eastAsia="zh-CN"/>
        </w:rPr>
        <w:t>安排及主要</w:t>
      </w:r>
      <w:r>
        <w:rPr>
          <w:rFonts w:hint="default" w:ascii="Times New Roman" w:hAnsi="Times New Roman" w:eastAsia="黑体" w:cs="Times New Roman"/>
          <w:sz w:val="32"/>
          <w:szCs w:val="32"/>
          <w:lang w:val="en-US" w:eastAsia="zh-CN"/>
        </w:rPr>
        <w:t>内容</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规划（征求意见稿）》共分三部分，分别为总体要求、重点任务、实施保障。第一部分是总体要求，主要阐明“十五五”时期市场监管和知识产权工作的发展基础、指导思想和发展目标。第二部分是重点任务，主要包括以打造一流营商环境为牵引，多措并举育新培强经营主体；进一步深化质量强市建设，服务构建工商并举现代化产业体系；赋能创新驱动发展，全力构筑知识产权发展新高地；融入服务全国统一大市场建设，营造公平公正市场环境；防范化解“三品一特”领域安全风险，构建高水平安全治理格局；加强高素质专业化干部队伍建设，全面提升市场综合监管效能共六方面内容。第三部分是实施保障，从强化组织领导、要素支撑和监测评估三方面系统施策，全力保障《规划》落地实施。</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规划（征求意见稿）》设置了汕头市市场监管（知识产权）“十五五”规划主要指标，共12项，其中预期性指标8项、约束性指标4项，兼顾经营主体发展规模、专利商标等创新水平和食品、药品、质量、特种设备等重点领域安全监管能级，指标设置科学、可量化、可落地。同时还设置了6个专栏，包括香港投资者简化版公证文书电子化流转、质量基础设施升级增效工程、高价值知识产权培育工程、健全涉外知识产权保护体系、优化市场价格监管机制和食品药品检验检测能力提升工程，力求点面结合推进《规划》重点任务落地落实。</w:t>
      </w:r>
    </w:p>
    <w:sectPr>
      <w:footerReference r:id="rId3" w:type="default"/>
      <w:pgSz w:w="11906" w:h="16838"/>
      <w:pgMar w:top="1701" w:right="1474" w:bottom="1440" w:left="1587"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3</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3</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dit="forms" w:enforcement="1" w:cryptProviderType="rsaFull" w:cryptAlgorithmClass="hash" w:cryptAlgorithmType="typeAny" w:cryptAlgorithmSid="4" w:cryptSpinCount="0" w:hash="d0Wj7xk1KezQrKl7i/L3IaG3TJ0=" w:salt="VBaKCpA6Kqhh25Or3ray2g=="/>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136C07"/>
    <w:rsid w:val="004E6E8D"/>
    <w:rsid w:val="00512FD2"/>
    <w:rsid w:val="006E51C3"/>
    <w:rsid w:val="00A90226"/>
    <w:rsid w:val="00C8283F"/>
    <w:rsid w:val="01440965"/>
    <w:rsid w:val="018B50B1"/>
    <w:rsid w:val="01C012ED"/>
    <w:rsid w:val="020225EC"/>
    <w:rsid w:val="02174D5E"/>
    <w:rsid w:val="02D149AD"/>
    <w:rsid w:val="03553D0B"/>
    <w:rsid w:val="03706547"/>
    <w:rsid w:val="03E7552B"/>
    <w:rsid w:val="04274854"/>
    <w:rsid w:val="04747F4B"/>
    <w:rsid w:val="0488407F"/>
    <w:rsid w:val="049412FF"/>
    <w:rsid w:val="04960C02"/>
    <w:rsid w:val="04A071A7"/>
    <w:rsid w:val="04A41C1F"/>
    <w:rsid w:val="04A80719"/>
    <w:rsid w:val="04E34A5B"/>
    <w:rsid w:val="04F657BA"/>
    <w:rsid w:val="05274EB2"/>
    <w:rsid w:val="05E04021"/>
    <w:rsid w:val="0624128B"/>
    <w:rsid w:val="065B19FB"/>
    <w:rsid w:val="06F87D3D"/>
    <w:rsid w:val="070C28DE"/>
    <w:rsid w:val="070E3C37"/>
    <w:rsid w:val="07210F5B"/>
    <w:rsid w:val="07541035"/>
    <w:rsid w:val="075B2795"/>
    <w:rsid w:val="076E25F4"/>
    <w:rsid w:val="07824CE1"/>
    <w:rsid w:val="07BC62F4"/>
    <w:rsid w:val="07F1543F"/>
    <w:rsid w:val="081542C5"/>
    <w:rsid w:val="08307EB2"/>
    <w:rsid w:val="08841D88"/>
    <w:rsid w:val="088D4641"/>
    <w:rsid w:val="08921652"/>
    <w:rsid w:val="0902500A"/>
    <w:rsid w:val="090B175C"/>
    <w:rsid w:val="09546099"/>
    <w:rsid w:val="09776BE6"/>
    <w:rsid w:val="09AB3C59"/>
    <w:rsid w:val="09AD03A9"/>
    <w:rsid w:val="09FF1E34"/>
    <w:rsid w:val="0A7814BB"/>
    <w:rsid w:val="0A81175F"/>
    <w:rsid w:val="0A960272"/>
    <w:rsid w:val="0A964EF9"/>
    <w:rsid w:val="0AE770C1"/>
    <w:rsid w:val="0AE844ED"/>
    <w:rsid w:val="0B1710BE"/>
    <w:rsid w:val="0B322BCA"/>
    <w:rsid w:val="0B891559"/>
    <w:rsid w:val="0B8F0D09"/>
    <w:rsid w:val="0B9E75CD"/>
    <w:rsid w:val="0BAF06EB"/>
    <w:rsid w:val="0BBC084E"/>
    <w:rsid w:val="0BDC4DCC"/>
    <w:rsid w:val="0BDD0D82"/>
    <w:rsid w:val="0BED1E0E"/>
    <w:rsid w:val="0C4471BE"/>
    <w:rsid w:val="0C8C0CE0"/>
    <w:rsid w:val="0CB66EF5"/>
    <w:rsid w:val="0CE23220"/>
    <w:rsid w:val="0CEF157B"/>
    <w:rsid w:val="0D3F359E"/>
    <w:rsid w:val="0D6A0329"/>
    <w:rsid w:val="0DA83A9D"/>
    <w:rsid w:val="0DBF196A"/>
    <w:rsid w:val="0DDC6430"/>
    <w:rsid w:val="0DE306AE"/>
    <w:rsid w:val="0E681A7D"/>
    <w:rsid w:val="0E75310C"/>
    <w:rsid w:val="0E9B77F2"/>
    <w:rsid w:val="0EA91E84"/>
    <w:rsid w:val="0EAE3580"/>
    <w:rsid w:val="0EB44E7C"/>
    <w:rsid w:val="0EB53C59"/>
    <w:rsid w:val="0ECF4BCA"/>
    <w:rsid w:val="0EDE37C6"/>
    <w:rsid w:val="0F3671CC"/>
    <w:rsid w:val="0F9242C9"/>
    <w:rsid w:val="0FD34206"/>
    <w:rsid w:val="0FE54422"/>
    <w:rsid w:val="0FE732AC"/>
    <w:rsid w:val="10001FA4"/>
    <w:rsid w:val="100C20FA"/>
    <w:rsid w:val="10426A38"/>
    <w:rsid w:val="110241B9"/>
    <w:rsid w:val="110D1F78"/>
    <w:rsid w:val="117D66A2"/>
    <w:rsid w:val="11CA68BF"/>
    <w:rsid w:val="11D413CD"/>
    <w:rsid w:val="11D83CAC"/>
    <w:rsid w:val="11D960F1"/>
    <w:rsid w:val="11F0547A"/>
    <w:rsid w:val="12531355"/>
    <w:rsid w:val="12CC7F16"/>
    <w:rsid w:val="13594F6C"/>
    <w:rsid w:val="136D27FA"/>
    <w:rsid w:val="137C0DCC"/>
    <w:rsid w:val="13A83F8E"/>
    <w:rsid w:val="13B2235C"/>
    <w:rsid w:val="14681DBB"/>
    <w:rsid w:val="147879F9"/>
    <w:rsid w:val="14DE264A"/>
    <w:rsid w:val="14F742AD"/>
    <w:rsid w:val="15412142"/>
    <w:rsid w:val="155F7720"/>
    <w:rsid w:val="15702410"/>
    <w:rsid w:val="15863D5C"/>
    <w:rsid w:val="15A54611"/>
    <w:rsid w:val="15D667BF"/>
    <w:rsid w:val="1653043C"/>
    <w:rsid w:val="167D5E29"/>
    <w:rsid w:val="16A67A37"/>
    <w:rsid w:val="16F62850"/>
    <w:rsid w:val="17A370E5"/>
    <w:rsid w:val="17BB1B6B"/>
    <w:rsid w:val="17E06729"/>
    <w:rsid w:val="180349B5"/>
    <w:rsid w:val="180624FC"/>
    <w:rsid w:val="187F2B40"/>
    <w:rsid w:val="18B57797"/>
    <w:rsid w:val="1903629F"/>
    <w:rsid w:val="19111633"/>
    <w:rsid w:val="198A4D73"/>
    <w:rsid w:val="19976D77"/>
    <w:rsid w:val="19AB2F1A"/>
    <w:rsid w:val="19AB300C"/>
    <w:rsid w:val="19D570FD"/>
    <w:rsid w:val="1A3F55D3"/>
    <w:rsid w:val="1A7D1D12"/>
    <w:rsid w:val="1A9727B3"/>
    <w:rsid w:val="1A986195"/>
    <w:rsid w:val="1AC75E60"/>
    <w:rsid w:val="1ACF5593"/>
    <w:rsid w:val="1B2E6115"/>
    <w:rsid w:val="1B3801CC"/>
    <w:rsid w:val="1B543563"/>
    <w:rsid w:val="1C115635"/>
    <w:rsid w:val="1C5342F0"/>
    <w:rsid w:val="1C572657"/>
    <w:rsid w:val="1C9705C6"/>
    <w:rsid w:val="1C9729AD"/>
    <w:rsid w:val="1CEB48FE"/>
    <w:rsid w:val="1D2D45F5"/>
    <w:rsid w:val="1D487372"/>
    <w:rsid w:val="1D8F0EE4"/>
    <w:rsid w:val="1E7755F4"/>
    <w:rsid w:val="1E935E0D"/>
    <w:rsid w:val="1E9643EC"/>
    <w:rsid w:val="1EF501D6"/>
    <w:rsid w:val="1F084755"/>
    <w:rsid w:val="1F1868D6"/>
    <w:rsid w:val="1F62028D"/>
    <w:rsid w:val="1F6B0E21"/>
    <w:rsid w:val="1F7E51B7"/>
    <w:rsid w:val="1F9E47D4"/>
    <w:rsid w:val="1FAC6557"/>
    <w:rsid w:val="1FB22E21"/>
    <w:rsid w:val="1FD50B49"/>
    <w:rsid w:val="20054BE8"/>
    <w:rsid w:val="200B39DB"/>
    <w:rsid w:val="20333587"/>
    <w:rsid w:val="20360C34"/>
    <w:rsid w:val="203A32A5"/>
    <w:rsid w:val="20452479"/>
    <w:rsid w:val="20691672"/>
    <w:rsid w:val="20CB5FE0"/>
    <w:rsid w:val="21115269"/>
    <w:rsid w:val="21385220"/>
    <w:rsid w:val="21B71486"/>
    <w:rsid w:val="221202E6"/>
    <w:rsid w:val="2262068E"/>
    <w:rsid w:val="2266386A"/>
    <w:rsid w:val="227D7351"/>
    <w:rsid w:val="22A1315F"/>
    <w:rsid w:val="22C434B7"/>
    <w:rsid w:val="22E44432"/>
    <w:rsid w:val="22FA0535"/>
    <w:rsid w:val="232F6F7E"/>
    <w:rsid w:val="23441FD2"/>
    <w:rsid w:val="23516B33"/>
    <w:rsid w:val="2370437B"/>
    <w:rsid w:val="23710E5F"/>
    <w:rsid w:val="23775D04"/>
    <w:rsid w:val="23C71C0F"/>
    <w:rsid w:val="23CD4ECF"/>
    <w:rsid w:val="23FE5F6A"/>
    <w:rsid w:val="240E783E"/>
    <w:rsid w:val="24217EB3"/>
    <w:rsid w:val="2431266C"/>
    <w:rsid w:val="2443672C"/>
    <w:rsid w:val="24AF2DCF"/>
    <w:rsid w:val="252653BB"/>
    <w:rsid w:val="257B6B20"/>
    <w:rsid w:val="25B74631"/>
    <w:rsid w:val="25DB4DAE"/>
    <w:rsid w:val="26832064"/>
    <w:rsid w:val="26CB4F6D"/>
    <w:rsid w:val="26CF0755"/>
    <w:rsid w:val="26F23A81"/>
    <w:rsid w:val="270B6B16"/>
    <w:rsid w:val="27354A5D"/>
    <w:rsid w:val="273677D8"/>
    <w:rsid w:val="274F50FB"/>
    <w:rsid w:val="27650CE0"/>
    <w:rsid w:val="280B1A43"/>
    <w:rsid w:val="286C74DE"/>
    <w:rsid w:val="28AC6949"/>
    <w:rsid w:val="28BA58E5"/>
    <w:rsid w:val="28BC4DFC"/>
    <w:rsid w:val="28D02A86"/>
    <w:rsid w:val="29047711"/>
    <w:rsid w:val="29186643"/>
    <w:rsid w:val="29333A26"/>
    <w:rsid w:val="294058B8"/>
    <w:rsid w:val="294F2FF6"/>
    <w:rsid w:val="296570F0"/>
    <w:rsid w:val="296D07FE"/>
    <w:rsid w:val="29AB53D3"/>
    <w:rsid w:val="2A0752FA"/>
    <w:rsid w:val="2A3E3278"/>
    <w:rsid w:val="2A522B7B"/>
    <w:rsid w:val="2A5F69D9"/>
    <w:rsid w:val="2A6260DF"/>
    <w:rsid w:val="2ADA2527"/>
    <w:rsid w:val="2AE333EA"/>
    <w:rsid w:val="2B022A53"/>
    <w:rsid w:val="2B1B37C4"/>
    <w:rsid w:val="2B222920"/>
    <w:rsid w:val="2B2A4B39"/>
    <w:rsid w:val="2B310AE2"/>
    <w:rsid w:val="2B350436"/>
    <w:rsid w:val="2BA82760"/>
    <w:rsid w:val="2BB60670"/>
    <w:rsid w:val="2BD23B0E"/>
    <w:rsid w:val="2BD658A6"/>
    <w:rsid w:val="2BFC0FF0"/>
    <w:rsid w:val="2C1D0DC5"/>
    <w:rsid w:val="2C2853C2"/>
    <w:rsid w:val="2C5F28B7"/>
    <w:rsid w:val="2C8142B0"/>
    <w:rsid w:val="2C8F6843"/>
    <w:rsid w:val="2CD179E6"/>
    <w:rsid w:val="2CD61610"/>
    <w:rsid w:val="2CEC36FF"/>
    <w:rsid w:val="2CFE6F5D"/>
    <w:rsid w:val="2D8E471D"/>
    <w:rsid w:val="2D8E7900"/>
    <w:rsid w:val="2DBE31AF"/>
    <w:rsid w:val="2DD61D14"/>
    <w:rsid w:val="2DE56367"/>
    <w:rsid w:val="2E2D764F"/>
    <w:rsid w:val="2E5E6EA5"/>
    <w:rsid w:val="2E6920AC"/>
    <w:rsid w:val="2EBA102D"/>
    <w:rsid w:val="2EC07B78"/>
    <w:rsid w:val="2EE134D4"/>
    <w:rsid w:val="2EE823F3"/>
    <w:rsid w:val="2F344853"/>
    <w:rsid w:val="2F394E54"/>
    <w:rsid w:val="2F4744A7"/>
    <w:rsid w:val="2F7500D8"/>
    <w:rsid w:val="30517FCB"/>
    <w:rsid w:val="30731925"/>
    <w:rsid w:val="30EE72CC"/>
    <w:rsid w:val="31074185"/>
    <w:rsid w:val="31345867"/>
    <w:rsid w:val="315045B0"/>
    <w:rsid w:val="316E2FA4"/>
    <w:rsid w:val="319B2960"/>
    <w:rsid w:val="31A35A6A"/>
    <w:rsid w:val="31DA07F1"/>
    <w:rsid w:val="31FB5C57"/>
    <w:rsid w:val="31FE2893"/>
    <w:rsid w:val="320962B8"/>
    <w:rsid w:val="32E31826"/>
    <w:rsid w:val="331C4BC2"/>
    <w:rsid w:val="33666D58"/>
    <w:rsid w:val="338B0EAB"/>
    <w:rsid w:val="33A07255"/>
    <w:rsid w:val="33B05ADC"/>
    <w:rsid w:val="33F96DED"/>
    <w:rsid w:val="344F527E"/>
    <w:rsid w:val="34DD03AB"/>
    <w:rsid w:val="34EC205E"/>
    <w:rsid w:val="352C4DF7"/>
    <w:rsid w:val="354F70FE"/>
    <w:rsid w:val="355B4B2C"/>
    <w:rsid w:val="35A72E02"/>
    <w:rsid w:val="365F0E3C"/>
    <w:rsid w:val="36B67354"/>
    <w:rsid w:val="36B67F36"/>
    <w:rsid w:val="373405CE"/>
    <w:rsid w:val="37380937"/>
    <w:rsid w:val="376F7D15"/>
    <w:rsid w:val="377F3DCD"/>
    <w:rsid w:val="379522F8"/>
    <w:rsid w:val="37BB37D7"/>
    <w:rsid w:val="37CE2365"/>
    <w:rsid w:val="38122577"/>
    <w:rsid w:val="38662AA1"/>
    <w:rsid w:val="388A5A92"/>
    <w:rsid w:val="391E6CA0"/>
    <w:rsid w:val="398B5F1D"/>
    <w:rsid w:val="399B3E9D"/>
    <w:rsid w:val="39A058DA"/>
    <w:rsid w:val="39B6763B"/>
    <w:rsid w:val="39D6764D"/>
    <w:rsid w:val="3A3549C4"/>
    <w:rsid w:val="3A40479E"/>
    <w:rsid w:val="3A9548A8"/>
    <w:rsid w:val="3A9D4415"/>
    <w:rsid w:val="3ABC079C"/>
    <w:rsid w:val="3AD01641"/>
    <w:rsid w:val="3AF175FA"/>
    <w:rsid w:val="3AFB2D62"/>
    <w:rsid w:val="3B06194C"/>
    <w:rsid w:val="3B334BED"/>
    <w:rsid w:val="3B342994"/>
    <w:rsid w:val="3B58160E"/>
    <w:rsid w:val="3B6418FA"/>
    <w:rsid w:val="3B7A4186"/>
    <w:rsid w:val="3BD70621"/>
    <w:rsid w:val="3BFC2946"/>
    <w:rsid w:val="3C3C42F6"/>
    <w:rsid w:val="3CA20800"/>
    <w:rsid w:val="3D502077"/>
    <w:rsid w:val="3D8D2422"/>
    <w:rsid w:val="3DFD3B04"/>
    <w:rsid w:val="3E3C470B"/>
    <w:rsid w:val="3E3F7AA3"/>
    <w:rsid w:val="3E5007A1"/>
    <w:rsid w:val="3E9A3641"/>
    <w:rsid w:val="3E9C7C9C"/>
    <w:rsid w:val="3E9D7E49"/>
    <w:rsid w:val="3F116CA0"/>
    <w:rsid w:val="3F216947"/>
    <w:rsid w:val="3F310CF5"/>
    <w:rsid w:val="3F451635"/>
    <w:rsid w:val="3F625608"/>
    <w:rsid w:val="3F683844"/>
    <w:rsid w:val="3F764BF5"/>
    <w:rsid w:val="3F952F17"/>
    <w:rsid w:val="3FB03F5F"/>
    <w:rsid w:val="3FB74432"/>
    <w:rsid w:val="3FBA16E1"/>
    <w:rsid w:val="400B1FA5"/>
    <w:rsid w:val="40137E22"/>
    <w:rsid w:val="402F4727"/>
    <w:rsid w:val="404E69C4"/>
    <w:rsid w:val="40801ED8"/>
    <w:rsid w:val="40804C79"/>
    <w:rsid w:val="40BB54BD"/>
    <w:rsid w:val="40C00A52"/>
    <w:rsid w:val="419B77A1"/>
    <w:rsid w:val="41D93BE5"/>
    <w:rsid w:val="42763D91"/>
    <w:rsid w:val="42F06DEE"/>
    <w:rsid w:val="43763F98"/>
    <w:rsid w:val="4395204D"/>
    <w:rsid w:val="43CC2F20"/>
    <w:rsid w:val="43E92E55"/>
    <w:rsid w:val="4486565A"/>
    <w:rsid w:val="44B02520"/>
    <w:rsid w:val="44DB5385"/>
    <w:rsid w:val="453802F5"/>
    <w:rsid w:val="456E5D95"/>
    <w:rsid w:val="45CD3A13"/>
    <w:rsid w:val="45E3430F"/>
    <w:rsid w:val="464F7F37"/>
    <w:rsid w:val="4685006A"/>
    <w:rsid w:val="468C0D6E"/>
    <w:rsid w:val="46AB56B9"/>
    <w:rsid w:val="46BA6A3B"/>
    <w:rsid w:val="46E932D2"/>
    <w:rsid w:val="46F30655"/>
    <w:rsid w:val="47213FAC"/>
    <w:rsid w:val="474A668F"/>
    <w:rsid w:val="4756454E"/>
    <w:rsid w:val="475D2858"/>
    <w:rsid w:val="477E46F8"/>
    <w:rsid w:val="47E46D98"/>
    <w:rsid w:val="47FD3CA8"/>
    <w:rsid w:val="48192283"/>
    <w:rsid w:val="487A6045"/>
    <w:rsid w:val="49105D6E"/>
    <w:rsid w:val="493115F8"/>
    <w:rsid w:val="49742590"/>
    <w:rsid w:val="497D3F9F"/>
    <w:rsid w:val="49E043CF"/>
    <w:rsid w:val="4A22142F"/>
    <w:rsid w:val="4A312951"/>
    <w:rsid w:val="4A811B33"/>
    <w:rsid w:val="4A863A31"/>
    <w:rsid w:val="4AC00F06"/>
    <w:rsid w:val="4B034E5E"/>
    <w:rsid w:val="4B1419EB"/>
    <w:rsid w:val="4B2A2E10"/>
    <w:rsid w:val="4B3F1188"/>
    <w:rsid w:val="4B487714"/>
    <w:rsid w:val="4BE41090"/>
    <w:rsid w:val="4BF03104"/>
    <w:rsid w:val="4BFA5D9B"/>
    <w:rsid w:val="4BFE7762"/>
    <w:rsid w:val="4C013661"/>
    <w:rsid w:val="4C05042D"/>
    <w:rsid w:val="4CAA3416"/>
    <w:rsid w:val="4CC065F7"/>
    <w:rsid w:val="4CD456D3"/>
    <w:rsid w:val="4CE43FFC"/>
    <w:rsid w:val="4CEB70E9"/>
    <w:rsid w:val="4D062D91"/>
    <w:rsid w:val="4D074F45"/>
    <w:rsid w:val="4D207B91"/>
    <w:rsid w:val="4E2A6E70"/>
    <w:rsid w:val="4E6E45AF"/>
    <w:rsid w:val="4F1638C7"/>
    <w:rsid w:val="4F220944"/>
    <w:rsid w:val="4F232026"/>
    <w:rsid w:val="4F234D65"/>
    <w:rsid w:val="4F886935"/>
    <w:rsid w:val="4FF12CC2"/>
    <w:rsid w:val="50033B53"/>
    <w:rsid w:val="50055358"/>
    <w:rsid w:val="501120D0"/>
    <w:rsid w:val="50DE21C3"/>
    <w:rsid w:val="513828EC"/>
    <w:rsid w:val="51A45270"/>
    <w:rsid w:val="520E3C7E"/>
    <w:rsid w:val="52734874"/>
    <w:rsid w:val="52735D42"/>
    <w:rsid w:val="528560ED"/>
    <w:rsid w:val="52925579"/>
    <w:rsid w:val="52A3406C"/>
    <w:rsid w:val="52B83435"/>
    <w:rsid w:val="52D970E6"/>
    <w:rsid w:val="53376EA3"/>
    <w:rsid w:val="539812BC"/>
    <w:rsid w:val="53A06F71"/>
    <w:rsid w:val="53B12A36"/>
    <w:rsid w:val="53BA09B0"/>
    <w:rsid w:val="53E47046"/>
    <w:rsid w:val="53EC341F"/>
    <w:rsid w:val="54387251"/>
    <w:rsid w:val="54D32208"/>
    <w:rsid w:val="54E7478C"/>
    <w:rsid w:val="54EE6F59"/>
    <w:rsid w:val="54F4202D"/>
    <w:rsid w:val="5520229C"/>
    <w:rsid w:val="558F1AEB"/>
    <w:rsid w:val="55C42125"/>
    <w:rsid w:val="55DB79EC"/>
    <w:rsid w:val="563F6279"/>
    <w:rsid w:val="56522A5E"/>
    <w:rsid w:val="56AD2FF2"/>
    <w:rsid w:val="56CE6357"/>
    <w:rsid w:val="56D1309F"/>
    <w:rsid w:val="56F65BBA"/>
    <w:rsid w:val="57027387"/>
    <w:rsid w:val="57041A43"/>
    <w:rsid w:val="5717239E"/>
    <w:rsid w:val="572A1BE4"/>
    <w:rsid w:val="574421AE"/>
    <w:rsid w:val="57561457"/>
    <w:rsid w:val="577458B3"/>
    <w:rsid w:val="57F06F19"/>
    <w:rsid w:val="57FA4A1E"/>
    <w:rsid w:val="582B32D9"/>
    <w:rsid w:val="58850A86"/>
    <w:rsid w:val="589B7E1A"/>
    <w:rsid w:val="58C61C9D"/>
    <w:rsid w:val="58EE056C"/>
    <w:rsid w:val="58F47F80"/>
    <w:rsid w:val="58FA5CB7"/>
    <w:rsid w:val="59121DAB"/>
    <w:rsid w:val="59122E0A"/>
    <w:rsid w:val="59283585"/>
    <w:rsid w:val="594E294F"/>
    <w:rsid w:val="597E4DD5"/>
    <w:rsid w:val="59C05A98"/>
    <w:rsid w:val="5A0F515A"/>
    <w:rsid w:val="5A1D6967"/>
    <w:rsid w:val="5A69165B"/>
    <w:rsid w:val="5A8416D8"/>
    <w:rsid w:val="5A955E00"/>
    <w:rsid w:val="5B0B44FC"/>
    <w:rsid w:val="5B4142A8"/>
    <w:rsid w:val="5B595872"/>
    <w:rsid w:val="5B9062C9"/>
    <w:rsid w:val="5BFB4047"/>
    <w:rsid w:val="5D4F42C0"/>
    <w:rsid w:val="5DEC3644"/>
    <w:rsid w:val="5E320EBF"/>
    <w:rsid w:val="5E401A3B"/>
    <w:rsid w:val="5E4145F4"/>
    <w:rsid w:val="5E435E16"/>
    <w:rsid w:val="5E6A1902"/>
    <w:rsid w:val="5E967F35"/>
    <w:rsid w:val="5E987DA6"/>
    <w:rsid w:val="5EBB1C78"/>
    <w:rsid w:val="5EE720B8"/>
    <w:rsid w:val="5EEC3D15"/>
    <w:rsid w:val="5F0C332D"/>
    <w:rsid w:val="5F6644BF"/>
    <w:rsid w:val="5F7F3298"/>
    <w:rsid w:val="5FB07420"/>
    <w:rsid w:val="5FEE72CA"/>
    <w:rsid w:val="606D5311"/>
    <w:rsid w:val="608F21FF"/>
    <w:rsid w:val="60971F1E"/>
    <w:rsid w:val="60EC66A9"/>
    <w:rsid w:val="610B5E38"/>
    <w:rsid w:val="617B6983"/>
    <w:rsid w:val="61845D28"/>
    <w:rsid w:val="61926C4E"/>
    <w:rsid w:val="61962B18"/>
    <w:rsid w:val="620D4C41"/>
    <w:rsid w:val="624034C1"/>
    <w:rsid w:val="62674C7D"/>
    <w:rsid w:val="627E2183"/>
    <w:rsid w:val="62E81D53"/>
    <w:rsid w:val="63133F4E"/>
    <w:rsid w:val="63185F9D"/>
    <w:rsid w:val="631D27A2"/>
    <w:rsid w:val="631D7521"/>
    <w:rsid w:val="63AD79E0"/>
    <w:rsid w:val="63BF49A4"/>
    <w:rsid w:val="63C45D90"/>
    <w:rsid w:val="64CE20A6"/>
    <w:rsid w:val="64E82BCF"/>
    <w:rsid w:val="650544BC"/>
    <w:rsid w:val="651C4504"/>
    <w:rsid w:val="6572750B"/>
    <w:rsid w:val="65766A16"/>
    <w:rsid w:val="65B058A3"/>
    <w:rsid w:val="65DC013F"/>
    <w:rsid w:val="66206C21"/>
    <w:rsid w:val="66850898"/>
    <w:rsid w:val="66857FC0"/>
    <w:rsid w:val="669672A0"/>
    <w:rsid w:val="66B1687F"/>
    <w:rsid w:val="673E68E7"/>
    <w:rsid w:val="67827913"/>
    <w:rsid w:val="67BF6794"/>
    <w:rsid w:val="67C06EDB"/>
    <w:rsid w:val="681B70F2"/>
    <w:rsid w:val="68924315"/>
    <w:rsid w:val="68BC7D97"/>
    <w:rsid w:val="69152A52"/>
    <w:rsid w:val="695E63A5"/>
    <w:rsid w:val="69BD1D6A"/>
    <w:rsid w:val="69E9284D"/>
    <w:rsid w:val="69F51A79"/>
    <w:rsid w:val="6A3A04F9"/>
    <w:rsid w:val="6A4F12FC"/>
    <w:rsid w:val="6A5740DA"/>
    <w:rsid w:val="6A6F3F78"/>
    <w:rsid w:val="6ACA1682"/>
    <w:rsid w:val="6AE3048B"/>
    <w:rsid w:val="6BAA11C7"/>
    <w:rsid w:val="6C4F011B"/>
    <w:rsid w:val="6C511909"/>
    <w:rsid w:val="6C570B20"/>
    <w:rsid w:val="6C992D08"/>
    <w:rsid w:val="6CC40DFC"/>
    <w:rsid w:val="6CD14697"/>
    <w:rsid w:val="6D162D88"/>
    <w:rsid w:val="6D1A6692"/>
    <w:rsid w:val="6D6C08DB"/>
    <w:rsid w:val="6DC1541F"/>
    <w:rsid w:val="6DC528EF"/>
    <w:rsid w:val="6E1D5775"/>
    <w:rsid w:val="6E3C7E7D"/>
    <w:rsid w:val="6E702662"/>
    <w:rsid w:val="6E83677B"/>
    <w:rsid w:val="6ED029E4"/>
    <w:rsid w:val="6F1F79F0"/>
    <w:rsid w:val="6F31348A"/>
    <w:rsid w:val="6F956634"/>
    <w:rsid w:val="6FE037DF"/>
    <w:rsid w:val="6FEF1874"/>
    <w:rsid w:val="704476BC"/>
    <w:rsid w:val="70C828DF"/>
    <w:rsid w:val="70D3734B"/>
    <w:rsid w:val="71347EB1"/>
    <w:rsid w:val="716943CF"/>
    <w:rsid w:val="719F5B9E"/>
    <w:rsid w:val="71F078D3"/>
    <w:rsid w:val="720B3F02"/>
    <w:rsid w:val="722500B2"/>
    <w:rsid w:val="72A8565B"/>
    <w:rsid w:val="72AA112F"/>
    <w:rsid w:val="72CE4D6A"/>
    <w:rsid w:val="72FB2E16"/>
    <w:rsid w:val="732B6ACD"/>
    <w:rsid w:val="739526EC"/>
    <w:rsid w:val="73B16AC4"/>
    <w:rsid w:val="73D30B8A"/>
    <w:rsid w:val="73E32748"/>
    <w:rsid w:val="73FA574A"/>
    <w:rsid w:val="74910314"/>
    <w:rsid w:val="74B123BE"/>
    <w:rsid w:val="74BB68B7"/>
    <w:rsid w:val="74C97C68"/>
    <w:rsid w:val="74D753E8"/>
    <w:rsid w:val="74DE7DCA"/>
    <w:rsid w:val="74EF5803"/>
    <w:rsid w:val="75191128"/>
    <w:rsid w:val="753D700E"/>
    <w:rsid w:val="75A137DC"/>
    <w:rsid w:val="75D45B01"/>
    <w:rsid w:val="75D91B4A"/>
    <w:rsid w:val="762E7035"/>
    <w:rsid w:val="76A04CFF"/>
    <w:rsid w:val="76A33C0F"/>
    <w:rsid w:val="76BC2CB7"/>
    <w:rsid w:val="76CE71FE"/>
    <w:rsid w:val="76DC4CCE"/>
    <w:rsid w:val="77166A9C"/>
    <w:rsid w:val="77412989"/>
    <w:rsid w:val="775B3523"/>
    <w:rsid w:val="77937850"/>
    <w:rsid w:val="779E50DA"/>
    <w:rsid w:val="77A70F9C"/>
    <w:rsid w:val="77AF7D81"/>
    <w:rsid w:val="78252301"/>
    <w:rsid w:val="78326955"/>
    <w:rsid w:val="78572D1A"/>
    <w:rsid w:val="785C1A9B"/>
    <w:rsid w:val="78646412"/>
    <w:rsid w:val="78703DAD"/>
    <w:rsid w:val="78B64C68"/>
    <w:rsid w:val="78EB75F0"/>
    <w:rsid w:val="790415FC"/>
    <w:rsid w:val="79533A3E"/>
    <w:rsid w:val="79695CC0"/>
    <w:rsid w:val="79B45531"/>
    <w:rsid w:val="79C627D6"/>
    <w:rsid w:val="79DF7557"/>
    <w:rsid w:val="79EA2C5F"/>
    <w:rsid w:val="7A2B508F"/>
    <w:rsid w:val="7A377612"/>
    <w:rsid w:val="7ADC77A1"/>
    <w:rsid w:val="7AE853E3"/>
    <w:rsid w:val="7B490819"/>
    <w:rsid w:val="7B6926E6"/>
    <w:rsid w:val="7B877C1A"/>
    <w:rsid w:val="7C0A1B55"/>
    <w:rsid w:val="7C0F41BE"/>
    <w:rsid w:val="7C502D4B"/>
    <w:rsid w:val="7D8B1A7A"/>
    <w:rsid w:val="7DB46E72"/>
    <w:rsid w:val="7DD54940"/>
    <w:rsid w:val="7DEA1C21"/>
    <w:rsid w:val="7E103BD7"/>
    <w:rsid w:val="7E2D6A63"/>
    <w:rsid w:val="7EBD40CD"/>
    <w:rsid w:val="7EC03F24"/>
    <w:rsid w:val="7EC206DA"/>
    <w:rsid w:val="7ED60ACF"/>
    <w:rsid w:val="7F3A5E08"/>
    <w:rsid w:val="7F535038"/>
    <w:rsid w:val="7F536173"/>
    <w:rsid w:val="7F645BC9"/>
    <w:rsid w:val="7FB80E10"/>
    <w:rsid w:val="7FDA6ECE"/>
    <w:rsid w:val="7FEB1EEC"/>
    <w:rsid w:val="7FEF28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5">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6">
    <w:name w:val="heading 2"/>
    <w:basedOn w:val="1"/>
    <w:next w:val="1"/>
    <w:qFormat/>
    <w:uiPriority w:val="0"/>
    <w:pPr>
      <w:spacing w:before="200" w:line="271" w:lineRule="auto"/>
      <w:outlineLvl w:val="1"/>
    </w:pPr>
    <w:rPr>
      <w:rFonts w:ascii="Calibri" w:hAnsi="Calibri"/>
      <w:smallCaps/>
      <w:kern w:val="0"/>
      <w:sz w:val="28"/>
      <w:szCs w:val="28"/>
    </w:rPr>
  </w:style>
  <w:style w:type="paragraph" w:styleId="7">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2">
    <w:name w:val="Body Text"/>
    <w:basedOn w:val="1"/>
    <w:next w:val="3"/>
    <w:unhideWhenUsed/>
    <w:qFormat/>
    <w:uiPriority w:val="99"/>
    <w:pPr>
      <w:tabs>
        <w:tab w:val="left" w:pos="562"/>
        <w:tab w:val="left" w:pos="3372"/>
        <w:tab w:val="left" w:pos="3653"/>
      </w:tabs>
    </w:pPr>
    <w:rPr>
      <w:sz w:val="30"/>
    </w:rPr>
  </w:style>
  <w:style w:type="paragraph" w:styleId="3">
    <w:name w:val="footer"/>
    <w:basedOn w:val="1"/>
    <w:next w:val="4"/>
    <w:qFormat/>
    <w:uiPriority w:val="0"/>
    <w:pPr>
      <w:tabs>
        <w:tab w:val="center" w:pos="4153"/>
        <w:tab w:val="right" w:pos="8306"/>
      </w:tabs>
      <w:snapToGrid w:val="0"/>
      <w:jc w:val="left"/>
    </w:pPr>
    <w:rPr>
      <w:sz w:val="18"/>
    </w:rPr>
  </w:style>
  <w:style w:type="paragraph" w:styleId="4">
    <w:name w:val="index 5"/>
    <w:basedOn w:val="1"/>
    <w:next w:val="1"/>
    <w:qFormat/>
    <w:uiPriority w:val="0"/>
    <w:pPr>
      <w:ind w:left="1680"/>
    </w:pPr>
  </w:style>
  <w:style w:type="paragraph" w:styleId="8">
    <w:name w:val="toc 3"/>
    <w:basedOn w:val="1"/>
    <w:next w:val="1"/>
    <w:qFormat/>
    <w:uiPriority w:val="0"/>
    <w:pPr>
      <w:ind w:left="840" w:leftChars="400"/>
    </w:p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toc 1"/>
    <w:basedOn w:val="1"/>
    <w:next w:val="1"/>
    <w:qFormat/>
    <w:uiPriority w:val="0"/>
  </w:style>
  <w:style w:type="paragraph" w:styleId="11">
    <w:name w:val="footnote text"/>
    <w:basedOn w:val="1"/>
    <w:qFormat/>
    <w:uiPriority w:val="0"/>
    <w:pPr>
      <w:snapToGrid w:val="0"/>
      <w:jc w:val="left"/>
    </w:pPr>
    <w:rPr>
      <w:sz w:val="18"/>
    </w:rPr>
  </w:style>
  <w:style w:type="paragraph" w:styleId="12">
    <w:name w:val="toc 2"/>
    <w:basedOn w:val="1"/>
    <w:next w:val="1"/>
    <w:qFormat/>
    <w:uiPriority w:val="0"/>
    <w:pPr>
      <w:ind w:left="420" w:leftChars="200"/>
    </w:pPr>
  </w:style>
  <w:style w:type="paragraph" w:styleId="13">
    <w:name w:val="Normal (Web)"/>
    <w:basedOn w:val="1"/>
    <w:unhideWhenUsed/>
    <w:qFormat/>
    <w:uiPriority w:val="99"/>
    <w:pPr>
      <w:spacing w:before="100" w:beforeAutospacing="1" w:after="100" w:afterAutospacing="1"/>
      <w:ind w:left="0" w:right="0"/>
      <w:jc w:val="left"/>
    </w:pPr>
    <w:rPr>
      <w:kern w:val="0"/>
      <w:sz w:val="24"/>
      <w:lang w:val="en-US" w:eastAsia="zh-CN" w:bidi="ar"/>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footnote reference"/>
    <w:basedOn w:val="16"/>
    <w:qFormat/>
    <w:uiPriority w:val="0"/>
    <w:rPr>
      <w:vertAlign w:val="superscript"/>
    </w:rPr>
  </w:style>
  <w:style w:type="character" w:customStyle="1" w:styleId="18">
    <w:name w:val="font61"/>
    <w:basedOn w:val="16"/>
    <w:qFormat/>
    <w:uiPriority w:val="0"/>
    <w:rPr>
      <w:rFonts w:hint="default" w:ascii="Times New Roman" w:hAnsi="Times New Roman" w:cs="Times New Roman"/>
      <w:color w:val="000000"/>
      <w:sz w:val="22"/>
      <w:szCs w:val="22"/>
      <w:u w:val="none"/>
    </w:rPr>
  </w:style>
  <w:style w:type="character" w:customStyle="1" w:styleId="19">
    <w:name w:val="font01"/>
    <w:basedOn w:val="16"/>
    <w:qFormat/>
    <w:uiPriority w:val="0"/>
    <w:rPr>
      <w:rFonts w:hint="eastAsia" w:ascii="宋体" w:hAnsi="宋体" w:eastAsia="宋体" w:cs="宋体"/>
      <w:color w:val="000000"/>
      <w:sz w:val="22"/>
      <w:szCs w:val="22"/>
      <w:u w:val="none"/>
    </w:rPr>
  </w:style>
  <w:style w:type="character" w:customStyle="1" w:styleId="20">
    <w:name w:val="font21"/>
    <w:basedOn w:val="16"/>
    <w:qFormat/>
    <w:uiPriority w:val="0"/>
    <w:rPr>
      <w:rFonts w:hint="eastAsia" w:ascii="宋体" w:hAnsi="宋体" w:eastAsia="宋体" w:cs="宋体"/>
      <w:color w:val="000000"/>
      <w:sz w:val="20"/>
      <w:szCs w:val="20"/>
      <w:u w:val="none"/>
    </w:rPr>
  </w:style>
  <w:style w:type="character" w:customStyle="1" w:styleId="21">
    <w:name w:val="font51"/>
    <w:basedOn w:val="16"/>
    <w:qFormat/>
    <w:uiPriority w:val="0"/>
    <w:rPr>
      <w:rFonts w:hint="default" w:ascii="Times New Roman" w:hAnsi="Times New Roman" w:cs="Times New Roman"/>
      <w:color w:val="000000"/>
      <w:sz w:val="20"/>
      <w:szCs w:val="20"/>
      <w:u w:val="none"/>
    </w:rPr>
  </w:style>
  <w:style w:type="paragraph" w:customStyle="1" w:styleId="22">
    <w:name w:val="WPSOffice手动目录 1"/>
    <w:qFormat/>
    <w:uiPriority w:val="0"/>
    <w:pPr>
      <w:ind w:leftChars="0"/>
    </w:pPr>
    <w:rPr>
      <w:rFonts w:ascii="Times New Roman" w:hAnsi="Times New Roman" w:eastAsia="宋体" w:cs="Times New Roman"/>
      <w:sz w:val="20"/>
      <w:szCs w:val="20"/>
    </w:rPr>
  </w:style>
  <w:style w:type="paragraph" w:customStyle="1" w:styleId="23">
    <w:name w:val="WPSOffice手动目录 2"/>
    <w:qFormat/>
    <w:uiPriority w:val="0"/>
    <w:pPr>
      <w:ind w:leftChars="200"/>
    </w:pPr>
    <w:rPr>
      <w:rFonts w:ascii="Times New Roman" w:hAnsi="Times New Roman" w:eastAsia="宋体" w:cs="Times New Roman"/>
      <w:sz w:val="20"/>
      <w:szCs w:val="20"/>
    </w:rPr>
  </w:style>
  <w:style w:type="paragraph" w:customStyle="1" w:styleId="24">
    <w:name w:val="WPSOffice手动目录 3"/>
    <w:qFormat/>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市场监督管理局</Company>
  <Pages>4</Pages>
  <Words>1872</Words>
  <Characters>1885</Characters>
  <Lines>0</Lines>
  <Paragraphs>0</Paragraphs>
  <TotalTime>0</TotalTime>
  <ScaleCrop>false</ScaleCrop>
  <LinksUpToDate>false</LinksUpToDate>
  <CharactersWithSpaces>1885</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2026-04-07T01:21:00Z</dcterms:created>
  <dc:creator>何丹琪</dc:creator>
  <cp:lastModifiedBy>何丹琪</cp:lastModifiedBy>
  <cp:lastPrinted>2026-09-01T01:24:00Z</cp:lastPrinted>
  <dcterms:modified xsi:type="dcterms:W3CDTF">2026-09-20T09:33:11Z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69B2977944BA493BB8C8FD2D697FFA57</vt:lpwstr>
  </property>
</Properties>
</file>