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黑体" w:cs="Times New Roman"/>
          <w:color w:val="auto"/>
          <w:sz w:val="32"/>
          <w:szCs w:val="32"/>
          <w:highlight w:val="none"/>
          <w:lang w:val="en-US" w:eastAsia="zh-CN"/>
        </w:rPr>
      </w:pPr>
      <w:bookmarkStart w:id="24" w:name="_GoBack"/>
      <w:bookmarkEnd w:id="24"/>
      <w:r>
        <w:rPr>
          <w:rFonts w:hint="default" w:ascii="Times New Roman" w:hAnsi="Times New Roman" w:eastAsia="黑体" w:cs="Times New Roman"/>
          <w:color w:val="auto"/>
          <w:sz w:val="32"/>
          <w:szCs w:val="32"/>
          <w:highlight w:val="none"/>
          <w:lang w:eastAsia="zh-CN"/>
        </w:rPr>
        <w:t>附件</w:t>
      </w:r>
      <w:r>
        <w:rPr>
          <w:rFonts w:hint="default" w:ascii="Times New Roman" w:hAnsi="Times New Roman" w:eastAsia="黑体" w:cs="Times New Roman"/>
          <w:color w:val="auto"/>
          <w:sz w:val="32"/>
          <w:szCs w:val="32"/>
          <w:highlight w:val="none"/>
          <w:lang w:val="en-US" w:eastAsia="zh-CN"/>
        </w:rPr>
        <w:t>1</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黑体" w:hAnsi="黑体" w:eastAsia="黑体" w:cs="黑体"/>
          <w:color w:val="auto"/>
          <w:sz w:val="32"/>
          <w:szCs w:val="32"/>
          <w:highlight w:val="none"/>
          <w:lang w:eastAsia="zh-CN"/>
        </w:rPr>
      </w:pPr>
    </w:p>
    <w:p>
      <w:pPr>
        <w:keepNext w:val="0"/>
        <w:keepLines w:val="0"/>
        <w:pageBreakBefore w:val="0"/>
        <w:widowControl w:val="0"/>
        <w:kinsoku/>
        <w:wordWrap/>
        <w:overflowPunct/>
        <w:topLinePunct w:val="0"/>
        <w:autoSpaceDE/>
        <w:autoSpaceDN/>
        <w:bidi w:val="0"/>
        <w:adjustRightInd/>
        <w:snapToGrid/>
        <w:spacing w:before="157" w:beforeLines="50" w:after="157" w:afterLines="50" w:line="600" w:lineRule="exact"/>
        <w:jc w:val="center"/>
        <w:textAlignment w:val="auto"/>
        <w:rPr>
          <w:rFonts w:hint="default" w:ascii="Times New Roman" w:hAnsi="Times New Roman" w:eastAsia="仿宋_GB2312" w:cs="Times New Roman"/>
          <w:sz w:val="32"/>
          <w:szCs w:val="32"/>
          <w:lang w:eastAsia="zh-CN"/>
        </w:rPr>
      </w:pPr>
      <w:r>
        <w:rPr>
          <w:rFonts w:hint="default" w:ascii="Times New Roman" w:hAnsi="Times New Roman" w:eastAsia="方正小标宋简体" w:cs="Times New Roman"/>
          <w:sz w:val="44"/>
          <w:szCs w:val="44"/>
          <w:lang w:eastAsia="zh-CN"/>
        </w:rPr>
        <w:t>汕头市市场监管（知识产权）“十五五”规划</w:t>
      </w:r>
    </w:p>
    <w:p>
      <w:pPr>
        <w:keepNext w:val="0"/>
        <w:keepLines w:val="0"/>
        <w:pageBreakBefore w:val="0"/>
        <w:widowControl w:val="0"/>
        <w:kinsoku/>
        <w:wordWrap/>
        <w:overflowPunct/>
        <w:topLinePunct w:val="0"/>
        <w:autoSpaceDE/>
        <w:autoSpaceDN/>
        <w:bidi w:val="0"/>
        <w:adjustRightInd/>
        <w:snapToGrid/>
        <w:spacing w:before="157" w:beforeLines="50" w:line="600" w:lineRule="exact"/>
        <w:jc w:val="center"/>
        <w:textAlignment w:val="auto"/>
        <w:rPr>
          <w:rFonts w:hint="default" w:ascii="Times New Roman" w:hAnsi="Times New Roman" w:eastAsia="楷体_GB2312" w:cs="Times New Roman"/>
          <w:sz w:val="32"/>
          <w:szCs w:val="32"/>
          <w:lang w:eastAsia="zh-CN"/>
        </w:rPr>
      </w:pPr>
      <w:r>
        <w:rPr>
          <w:rFonts w:hint="default" w:ascii="Times New Roman" w:hAnsi="Times New Roman" w:eastAsia="楷体_GB2312" w:cs="Times New Roman"/>
          <w:sz w:val="32"/>
          <w:szCs w:val="32"/>
          <w:lang w:eastAsia="zh-CN"/>
        </w:rPr>
        <w:t>（</w:t>
      </w:r>
      <w:r>
        <w:rPr>
          <w:rFonts w:hint="eastAsia" w:ascii="Times New Roman" w:hAnsi="Times New Roman" w:eastAsia="楷体_GB2312" w:cs="Times New Roman"/>
          <w:sz w:val="32"/>
          <w:szCs w:val="32"/>
          <w:lang w:eastAsia="zh-CN"/>
        </w:rPr>
        <w:t>征求意见稿</w:t>
      </w:r>
      <w:r>
        <w:rPr>
          <w:rFonts w:hint="default" w:ascii="Times New Roman" w:hAnsi="Times New Roman" w:eastAsia="楷体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为加快构建更加完善的现代化市场监管体系，进一步增强知识产权综合实力和竞争力，全面有力</w:t>
      </w:r>
      <w:r>
        <w:rPr>
          <w:rFonts w:hint="default" w:ascii="Times New Roman" w:hAnsi="Times New Roman" w:eastAsia="仿宋_GB2312" w:cs="Times New Roman"/>
          <w:sz w:val="32"/>
          <w:szCs w:val="32"/>
          <w:lang w:val="en-US" w:eastAsia="zh-CN"/>
        </w:rPr>
        <w:t>有效服务汕头增创新优势、实现新突破，助力高质量发展，根据《汕头市国民经济和社会发展第十五个五年规划纲要》，以及国家、省“十五五”时期市场监管和知识产权发展部署，编制本规划（规划期限为</w:t>
      </w:r>
      <w:r>
        <w:rPr>
          <w:rFonts w:hint="default" w:ascii="Times New Roman" w:hAnsi="Times New Roman" w:eastAsia="仿宋_GB2312" w:cs="Times New Roman"/>
          <w:sz w:val="32"/>
          <w:szCs w:val="32"/>
          <w:lang w:eastAsia="zh-CN"/>
        </w:rPr>
        <w:t>2026</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2030年</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一、总体要求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（一）发展基础</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十四五”时期，是汕头市场监管事业不断发展进步、取得显著成效的五年，为“十五五”市场监管高质量发展奠定了坚实基础。准入环境更加优化，全市企业净增4万户、个体工商户净增11.9万户，期末实有经营主体数较“十三五”期末增长37%，总量居全省第8、粤东粤西粤北地区第1；质量水平稳步提升，获批成立国家洗涤护肤用品质量检验检测中心（广东），检验检测机构数量和能力均居粤东西北首位，全市有2403家玩具企业获得CCC有效证书8526张、居全国第1；知识产权加速发展，获批建设国家知识产权强市建设试点城市，举办首届粤东西北知识产权创新创业大赛，挂牌成立汕头市知识产权保护中心，集体商标、有效注册商标累计数分别居全省第2、5；安全保障坚实有力，成立汕头市食品药品安全与高质量发展委员会，整合组建汕头市检验检测中心，食品安全评价性抽检合格率达98%以上、药品抽检合格率保持在99%以上，全市8.49万台特种设备近五年保持无重特大安全事故的运行记录；监管效能实现跃升，推动出台全省第三部知识产权保护地方性法规，建立汕头市商业秘密保护基地（龙湖先行区）并获批成为粤东西北地区首个“广东省商业秘密保护创新试点”；队伍建设提能竞进，获评“全国市场监管系统先进集体”“广东省市场监管（知识产权）系统先进集体”等荣誉称号。同时，在新一轮科技革命和产业变革加速突破的背景下，市场生态迅速演进，监管边界持续拓展、风险治理难度上升、舆情应对压力增大、智慧监管支撑不足、优质知识产权需求迫切等，都对市场监管工作提出了新的更高要求，须臾不可放松。</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（二）指导思想</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坚持以习近平新时代中国特色社会主义思想为指导，深入贯彻党的二十大和二十届历次全会精神，深入贯彻习近平总书记视察广东、视察汕头重要讲话重要指示精神以及关于市场监管和知识产权工作的重要论述，完整准确全面贯彻新发展理念，积极主动服务和融入新发展格局，按照市委总体工作部署，坚持稳中求进工作总基调，以推动高质量发展为主题，以满足人民日益增长的美好生活需要为根本目的，统筹好效率与公平、活力与秩序、发展与安全，在新的起点上持续深化改革创新，全面提升市场综合监管能力和水平，加强知识产权保护和运用，营造公平公正市场环境，更大力度激发经营主体活力，积聚质量竞争优势，防范化解重点领域风险，以“在新时代经济特区建设中迎头赶上”的责任担当，加力赋能、以干促上，为奋力谱写中国式现代化汕头新篇章提供有力支撑。</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（三）发展目标</w:t>
      </w:r>
    </w:p>
    <w:p>
      <w:pPr>
        <w:keepNext w:val="0"/>
        <w:keepLines w:val="0"/>
        <w:pageBreakBefore w:val="0"/>
        <w:widowControl w:val="0"/>
        <w:kinsoku/>
        <w:wordWrap/>
        <w:overflowPunct/>
        <w:topLinePunct w:val="0"/>
        <w:autoSpaceDE/>
        <w:autoSpaceDN/>
        <w:bidi w:val="0"/>
        <w:adjustRightInd/>
        <w:snapToGrid/>
        <w:spacing w:after="157" w:afterLines="50" w:line="58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到2030年，全市市场监管治理体系和治理能力现代化深入推进，服务高质量发展、保障高水平安全的能力显著增强，推动形成更加开放透明、便捷高效的市场准入环境，更加激励创新、稳定优质的市场发展环境，更加保障有力、可靠向好的市场安全环境，更加规范有序、公平公正的市场竞争环境，更加安全放心、满意舒心的市场消费环境。</w:t>
      </w:r>
    </w:p>
    <w:p>
      <w:pPr>
        <w:pStyle w:val="2"/>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lang w:val="en-US" w:eastAsia="zh-CN"/>
        </w:rPr>
        <w:t>汕头市市场监管（知识产权）“十五五”规划主要指标</w: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pict>
          <v:shape id="_x0000_s1039" o:spid="_x0000_s1039" o:spt="75" type="#_x0000_t75" style="position:absolute;left:0pt;margin-left:0.45pt;margin-top:6.65pt;height:285.85pt;width:441.95pt;z-index:251659264;mso-width-relative:page;mso-height-relative:page;" o:ole="t" filled="f" o:preferrelative="t" stroked="f" coordsize="21600,21600">
            <v:path/>
            <v:fill on="f" focussize="0,0"/>
            <v:stroke on="f"/>
            <v:imagedata r:id="rId6" o:title=""/>
            <o:lock v:ext="edit" aspectratio="f"/>
          </v:shape>
          <o:OLEObject Type="Embed" ProgID="Excel.Sheet.12" ShapeID="_x0000_s1039" DrawAspect="Content" ObjectID="_1468075725" r:id="rId5">
            <o:LockedField>false</o:LockedField>
          </o:OLEObject>
        </w:pict>
      </w: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lang w:eastAsia="zh-CN"/>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仿宋_GB2312" w:cs="Times New Roman"/>
          <w:sz w:val="32"/>
          <w:szCs w:val="32"/>
          <w:lang w:eastAsia="zh-CN"/>
        </w:rPr>
      </w:pPr>
    </w:p>
    <w:p>
      <w:pPr>
        <w:pStyle w:val="2"/>
        <w:rPr>
          <w:rFonts w:hint="default" w:ascii="Times New Roman" w:hAnsi="Times New Roman" w:eastAsia="仿宋_GB2312" w:cs="Times New Roman"/>
          <w:sz w:val="32"/>
          <w:szCs w:val="32"/>
          <w:lang w:eastAsia="zh-CN"/>
        </w:rPr>
      </w:pPr>
    </w:p>
    <w:p>
      <w:pPr>
        <w:pStyle w:val="3"/>
        <w:rPr>
          <w:rFonts w:hint="default"/>
          <w:lang w:eastAsia="zh-CN"/>
        </w:rPr>
      </w:pPr>
    </w:p>
    <w:p>
      <w:pPr>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br w:type="page"/>
      </w:r>
    </w:p>
    <w:p>
      <w:pPr>
        <w:keepNext w:val="0"/>
        <w:keepLines w:val="0"/>
        <w:pageBreakBefore w:val="0"/>
        <w:widowControl w:val="0"/>
        <w:kinsoku/>
        <w:wordWrap/>
        <w:overflowPunct/>
        <w:topLinePunct w:val="0"/>
        <w:autoSpaceDE/>
        <w:autoSpaceDN/>
        <w:bidi w:val="0"/>
        <w:adjustRightInd/>
        <w:snapToGrid/>
        <w:spacing w:before="313" w:beforeLines="100"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二、重点任务</w:t>
      </w:r>
    </w:p>
    <w:p>
      <w:pPr>
        <w:pStyle w:val="6"/>
        <w:keepNext w:val="0"/>
        <w:keepLines w:val="0"/>
        <w:pageBreakBefore w:val="0"/>
        <w:widowControl w:val="0"/>
        <w:kinsoku/>
        <w:wordWrap/>
        <w:overflowPunct/>
        <w:topLinePunct w:val="0"/>
        <w:autoSpaceDE/>
        <w:autoSpaceDN/>
        <w:bidi w:val="0"/>
        <w:adjustRightInd/>
        <w:snapToGrid/>
        <w:spacing w:before="0" w:line="580" w:lineRule="exact"/>
        <w:ind w:firstLine="640" w:firstLineChars="200"/>
        <w:jc w:val="both"/>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楷体_GB2312" w:cs="Times New Roman"/>
          <w:sz w:val="32"/>
          <w:szCs w:val="32"/>
          <w:lang w:val="en-US" w:eastAsia="zh-CN"/>
        </w:rPr>
        <w:t>（一）以打造一流营商环境为牵引</w:t>
      </w:r>
      <w:bookmarkStart w:id="0" w:name="_Toc27657"/>
      <w:bookmarkStart w:id="1" w:name="_Toc8309"/>
      <w:r>
        <w:rPr>
          <w:rFonts w:hint="default" w:ascii="Times New Roman" w:hAnsi="Times New Roman" w:eastAsia="楷体_GB2312" w:cs="Times New Roman"/>
          <w:sz w:val="32"/>
          <w:szCs w:val="32"/>
          <w:lang w:val="en-US" w:eastAsia="zh-CN"/>
        </w:rPr>
        <w:t>，多措并举育新培强经营主体</w:t>
      </w:r>
      <w:bookmarkEnd w:id="0"/>
      <w:bookmarkEnd w:id="1"/>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优化市场准入</w:t>
      </w:r>
      <w:r>
        <w:rPr>
          <w:rFonts w:hint="eastAsia" w:ascii="Times New Roman" w:hAnsi="Times New Roman" w:eastAsia="仿宋_GB2312" w:cs="Times New Roman"/>
          <w:b/>
          <w:bCs/>
          <w:sz w:val="32"/>
          <w:szCs w:val="32"/>
          <w:lang w:val="en-US" w:eastAsia="zh-CN"/>
        </w:rPr>
        <w:t>准营</w:t>
      </w:r>
      <w:r>
        <w:rPr>
          <w:rFonts w:hint="default" w:ascii="Times New Roman" w:hAnsi="Times New Roman" w:eastAsia="仿宋_GB2312" w:cs="Times New Roman"/>
          <w:b/>
          <w:bCs/>
          <w:sz w:val="32"/>
          <w:szCs w:val="32"/>
          <w:lang w:val="en-US" w:eastAsia="zh-CN"/>
        </w:rPr>
        <w:t>退出机制。</w:t>
      </w:r>
      <w:r>
        <w:rPr>
          <w:rFonts w:hint="default" w:ascii="Times New Roman" w:hAnsi="Times New Roman" w:eastAsia="仿宋_GB2312" w:cs="Times New Roman"/>
          <w:sz w:val="32"/>
          <w:szCs w:val="32"/>
          <w:lang w:val="en-US" w:eastAsia="zh-CN"/>
        </w:rPr>
        <w:t>开展香港投资者主体资格证明简化版公证文书电子化流转工作。深化“高效办成一件事”改革，将更多市场监管领域高频登记许可事项纳入“一件事”集成办理范畴，提高准入准营效率。推行市场监管低风险领域涉企经营许可告知承诺制，逐步拓展“承诺即准营”范围。深化注册资本认缴登记制度改革，规范公司出资行为。加强企业名称登记管理，防范和整治虚假注册行为。实行市场准入负面清单之外“非禁即入”，支持新业态新领域经营主体依法登记、更快进入市场开展经营。</w:t>
      </w:r>
      <w:r>
        <w:rPr>
          <w:rFonts w:hint="default" w:ascii="Times New Roman" w:hAnsi="Times New Roman" w:eastAsia="仿宋_GB2312" w:cs="Times New Roman"/>
          <w:sz w:val="32"/>
          <w:szCs w:val="32"/>
          <w:highlight w:val="none"/>
          <w:lang w:val="en-US" w:eastAsia="zh-CN"/>
        </w:rPr>
        <w:t>完善经营主体强制退出、简易退出和另册管理制度，稳妥推进长期未经营或停止经营企业和个体工商户退出市场。</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highlight w:val="none"/>
          <w:lang w:val="en-US" w:eastAsia="zh-CN"/>
        </w:rPr>
        <w:t>提升行政审批服务效能。</w:t>
      </w:r>
      <w:r>
        <w:rPr>
          <w:rFonts w:hint="default" w:ascii="Times New Roman" w:hAnsi="Times New Roman" w:eastAsia="仿宋_GB2312" w:cs="Times New Roman"/>
          <w:sz w:val="32"/>
          <w:szCs w:val="32"/>
          <w:lang w:val="en-US" w:eastAsia="zh-CN"/>
        </w:rPr>
        <w:t>规范和加强市场监管领域行政许可事项清单管理，提升登记注册规范化标准化水平。</w:t>
      </w:r>
      <w:r>
        <w:rPr>
          <w:rFonts w:hint="default" w:ascii="Times New Roman" w:hAnsi="Times New Roman" w:eastAsia="仿宋_GB2312" w:cs="Times New Roman"/>
          <w:sz w:val="32"/>
          <w:szCs w:val="32"/>
          <w:highlight w:val="none"/>
          <w:lang w:val="en-US" w:eastAsia="zh-CN"/>
        </w:rPr>
        <w:t>拓展汕潮揭都市圈经营主体登记注册和行政许可“跨市通办”事项，探索推进高频事项“省内通办”“跨省通办”。深化“互联网+登记”服务，建设汕头市经营主体登记档案“e网查”系统。探索开展“人工智能＋”政务服务，优化“智能帮办”辅助应用等。推进电子营业执照在市场监管许可、纳税、金融、招投标等</w:t>
      </w:r>
      <w:r>
        <w:rPr>
          <w:rFonts w:hint="default" w:ascii="Times New Roman" w:hAnsi="Times New Roman" w:eastAsia="仿宋_GB2312" w:cs="Times New Roman"/>
          <w:sz w:val="32"/>
          <w:szCs w:val="32"/>
          <w:lang w:val="en-US" w:eastAsia="zh-CN"/>
        </w:rPr>
        <w:t>涉企高频服务领域的应用。开展市场监管领域经营主体数据监测和综合分析，加强发展规律研究，防范数据安全风险。</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促进个体工商户更好更快发展。</w:t>
      </w:r>
      <w:r>
        <w:rPr>
          <w:rFonts w:hint="default" w:ascii="Times New Roman" w:hAnsi="Times New Roman" w:eastAsia="仿宋_GB2312" w:cs="Times New Roman"/>
          <w:sz w:val="32"/>
          <w:szCs w:val="32"/>
          <w:lang w:val="en-US" w:eastAsia="zh-CN"/>
        </w:rPr>
        <w:t>加大“个转企”力度，深化个体工商户分型分类精准帮扶，支持和培育一批“名特优新”个体工商户，推动个体工商户产业结构向“高精尖”转型。充分发挥扶持个体工商户发展部门间联席会议等工作机制作用，加强准入、财税、金融、社保等方面政策供给和帮扶支持，提升个体工商户活跃度和发展质量。开展个体工商户经营状况和发展诉求跟踪，强化“小个专”和网约配送员群体党建工作。</w:t>
      </w:r>
    </w:p>
    <w:p>
      <w:pPr>
        <w:keepNext w:val="0"/>
        <w:keepLines w:val="0"/>
        <w:pageBreakBefore w:val="0"/>
        <w:widowControl w:val="0"/>
        <w:kinsoku/>
        <w:wordWrap/>
        <w:overflowPunct/>
        <w:topLinePunct w:val="0"/>
        <w:autoSpaceDE/>
        <w:autoSpaceDN/>
        <w:bidi w:val="0"/>
        <w:adjustRightInd/>
        <w:snapToGrid/>
        <w:spacing w:after="313" w:afterLines="100"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完善经营主体发展服务体系。</w:t>
      </w:r>
      <w:r>
        <w:rPr>
          <w:rFonts w:hint="default" w:ascii="Times New Roman" w:hAnsi="Times New Roman" w:eastAsia="仿宋_GB2312" w:cs="Times New Roman"/>
          <w:sz w:val="32"/>
          <w:szCs w:val="32"/>
          <w:lang w:val="en-US" w:eastAsia="zh-CN"/>
        </w:rPr>
        <w:t>建立健全常态化政企沟通交流机制，深化“年报+”服务，加强入企质量技术帮扶，引导中小微企业优化知识产权布局和管理，参与关键领域标准制定，提升企业竞争优势和合规经营水平。深化“星火贷”“粤质贷-汕头质量贷”等普惠金融服务，推进专利及商标质押融资，优化知识产权质押融资风险补偿体系，完善助企融资增信模式。健全涉企收费长效治理机制，加大商业秘密保护力度，严厉打击侵犯知识产权和制售假冒伪劣商品违法犯罪，依法维护各类经营主体合法权益。深入推进服务型执法建设，丰富包容审慎监管手段，全面推行“亮码入企、无码不查”，严格规范涉企行政检查，最大限度实现对企业“无事不扰”。</w:t>
      </w:r>
    </w:p>
    <w:tbl>
      <w:tblPr>
        <w:tblStyle w:val="15"/>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pStyle w:val="7"/>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default" w:ascii="Times New Roman" w:hAnsi="Times New Roman" w:eastAsia="黑体" w:cs="Times New Roman"/>
                <w:szCs w:val="28"/>
                <w:vertAlign w:val="baseline"/>
                <w:lang w:val="en-US" w:eastAsia="zh-CN"/>
              </w:rPr>
            </w:pPr>
            <w:bookmarkStart w:id="2" w:name="_Toc9430"/>
            <w:r>
              <w:rPr>
                <w:rFonts w:hint="default" w:ascii="Times New Roman" w:hAnsi="Times New Roman" w:eastAsia="黑体" w:cs="Times New Roman"/>
                <w:b w:val="0"/>
                <w:bCs/>
                <w:sz w:val="28"/>
                <w:szCs w:val="28"/>
                <w:lang w:val="en-US" w:eastAsia="zh-CN"/>
              </w:rPr>
              <w:t>专栏1：全面推行香港投资者简化版公证文书电子化流转</w:t>
            </w:r>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香港地区非自然人投资者在汕头市范围内办理经营主体登记业务时，可以提供公证文书核查信息，由登记机关工作人员登陆中国委托公证（香港）核查系统下载、使用相应公证文书电子版，不再提供简化版公证文书纸质版原件，通过后台核验的方式实现公证文书电子化流转</w:t>
            </w:r>
            <w:r>
              <w:rPr>
                <w:rFonts w:hint="eastAsia" w:ascii="Times New Roman" w:hAnsi="Times New Roman" w:eastAsia="仿宋_GB2312" w:cs="Times New Roman"/>
                <w:sz w:val="28"/>
                <w:szCs w:val="28"/>
                <w:vertAlign w:val="baseline"/>
                <w:lang w:val="en-US" w:eastAsia="zh-CN"/>
              </w:rPr>
              <w:t>，便利香港投资者来汕投资兴业。</w:t>
            </w:r>
          </w:p>
        </w:tc>
      </w:tr>
    </w:tbl>
    <w:p>
      <w:pPr>
        <w:pStyle w:val="6"/>
        <w:keepNext w:val="0"/>
        <w:keepLines w:val="0"/>
        <w:pageBreakBefore w:val="0"/>
        <w:widowControl w:val="0"/>
        <w:kinsoku/>
        <w:wordWrap/>
        <w:overflowPunct/>
        <w:topLinePunct w:val="0"/>
        <w:autoSpaceDE/>
        <w:autoSpaceDN/>
        <w:bidi w:val="0"/>
        <w:adjustRightInd/>
        <w:snapToGrid/>
        <w:spacing w:before="313" w:beforeLines="100" w:line="560" w:lineRule="exact"/>
        <w:ind w:firstLine="640" w:firstLineChars="200"/>
        <w:jc w:val="left"/>
        <w:textAlignment w:val="auto"/>
        <w:rPr>
          <w:rFonts w:hint="default" w:ascii="Times New Roman" w:hAnsi="Times New Roman" w:eastAsia="楷体_GB2312" w:cs="Times New Roman"/>
          <w:smallCaps w:val="0"/>
          <w:kern w:val="2"/>
          <w:sz w:val="32"/>
          <w:szCs w:val="32"/>
          <w:highlight w:val="none"/>
          <w:lang w:val="en-US" w:eastAsia="zh-CN" w:bidi="ar-SA"/>
        </w:rPr>
      </w:pPr>
      <w:r>
        <w:rPr>
          <w:rFonts w:hint="default" w:ascii="Times New Roman" w:hAnsi="Times New Roman" w:eastAsia="楷体_GB2312" w:cs="Times New Roman"/>
          <w:smallCaps w:val="0"/>
          <w:kern w:val="2"/>
          <w:sz w:val="32"/>
          <w:szCs w:val="32"/>
          <w:highlight w:val="none"/>
          <w:lang w:val="en-US" w:eastAsia="zh-CN" w:bidi="ar-SA"/>
        </w:rPr>
        <w:t>（二）进一步深化质量强市建设，</w:t>
      </w:r>
      <w:bookmarkStart w:id="3" w:name="_Toc15597"/>
      <w:bookmarkStart w:id="4" w:name="_Toc8319"/>
      <w:r>
        <w:rPr>
          <w:rFonts w:hint="default" w:ascii="Times New Roman" w:hAnsi="Times New Roman" w:eastAsia="楷体_GB2312" w:cs="Times New Roman"/>
          <w:smallCaps w:val="0"/>
          <w:kern w:val="2"/>
          <w:sz w:val="32"/>
          <w:szCs w:val="32"/>
          <w:highlight w:val="none"/>
          <w:lang w:val="en-US" w:eastAsia="zh-CN" w:bidi="ar-SA"/>
        </w:rPr>
        <w:t>服务构建工商并举现代化产业体系</w:t>
      </w:r>
      <w:bookmarkEnd w:id="3"/>
      <w:bookmarkEnd w:id="4"/>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增强企业质量发展能力。</w:t>
      </w:r>
      <w:r>
        <w:rPr>
          <w:rFonts w:hint="default" w:ascii="Times New Roman" w:hAnsi="Times New Roman" w:eastAsia="仿宋_GB2312" w:cs="Times New Roman"/>
          <w:sz w:val="32"/>
          <w:szCs w:val="32"/>
          <w:lang w:val="en-US" w:eastAsia="zh-CN"/>
        </w:rPr>
        <w:t>健全质量奖励激励与宣传推广机制，鼓励企业争创各级政府质量奖，大力推广应用获奖组织先进质量管理制度、模式和方法，推动企业产品创新、服务升级和质量改进，引导激励企业加强全面质量管理。健全企业首席质量官制度，力争首席质量官制度在制造业大中型企业全覆盖、小型企业覆盖率不低于60%。弘扬企业家精神和工匠精神，深入开展群众性质量创新活动，营造浓厚质量文化氛围。</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提升质量整体竞争优势。</w:t>
      </w:r>
      <w:r>
        <w:rPr>
          <w:rFonts w:hint="default" w:ascii="Times New Roman" w:hAnsi="Times New Roman" w:eastAsia="仿宋_GB2312" w:cs="Times New Roman"/>
          <w:sz w:val="32"/>
          <w:szCs w:val="32"/>
          <w:lang w:val="en-US" w:eastAsia="zh-CN"/>
        </w:rPr>
        <w:t>健全质量提升支撑体系，拓展产品、工程和服务领域质量创新，强化质量技术攻关，推动质量供给与需求相适配，满足绿色低碳、消费友好等需求。深化重点产业链供应链质量联动提升行动，依托“链主”企业整合上下游质量管理体系，推进产业链供应链质量一致性管控。探索开展跨区域质量联合攻关，培育优质产业集群。鼓励纺织服装、玩具创意等传统优势产业加快关键工序和核心设备更新改造，提高质量标准，推动向高端化、智能化跃升。加强质量品牌建设，鼓励、支持企业参与“湾区认证”申报。探索质量强县（区、镇）特色路径，培育区域质量优势。</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加快构建先进标准体系。</w:t>
      </w:r>
      <w:r>
        <w:rPr>
          <w:rFonts w:hint="default" w:ascii="Times New Roman" w:hAnsi="Times New Roman" w:eastAsia="仿宋_GB2312" w:cs="Times New Roman"/>
          <w:sz w:val="32"/>
          <w:szCs w:val="32"/>
          <w:lang w:val="en-US" w:eastAsia="zh-CN"/>
        </w:rPr>
        <w:t>深化地方标准管理制度改革，持续精简规范地方标准。鼓励企事业单位积极主导或参与制修订国际标准、国家标准和行业标准，推进潮菜等“湾区标准”研制和推广应用。实施标准领航行动，鼓励、支持重点产业链上下游企业、行业协会和科研院所等联合开展产业标准基础研究，推动产业链重点标准协同研制。鼓励企业、行业协会、产业联盟等制定高于国家标准、行业标准和地方标准的团体标准、企业标准。严格落实企业标准自我声明公开和监督制度，加强标准宣贯培训。</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强化计量技术基础支撑。</w:t>
      </w:r>
      <w:r>
        <w:rPr>
          <w:rFonts w:hint="default" w:ascii="Times New Roman" w:hAnsi="Times New Roman" w:eastAsia="仿宋_GB2312" w:cs="Times New Roman"/>
          <w:sz w:val="32"/>
          <w:szCs w:val="32"/>
          <w:lang w:val="en-US" w:eastAsia="zh-CN"/>
        </w:rPr>
        <w:t>加大计量标准建设投入，推进社会公用计量标准建设和改造升级，围绕产业发展和民生计量急需，在贸易结算、环境保护、医疗卫生、安全防护等重点领域新建30项社会公用计量标准，提升量传溯源体系服务与保障能力。加强重点计量器具销售、使用全链条监管，积极推行承诺赔付、红黄牌警示等诚信计量制度，提升民生计量监管效能。加强与粤港澳大湾区高水平计量机构的交流合作，提升计量技术服务能力。</w:t>
      </w:r>
    </w:p>
    <w:p>
      <w:pPr>
        <w:keepNext w:val="0"/>
        <w:keepLines w:val="0"/>
        <w:pageBreakBefore w:val="0"/>
        <w:widowControl w:val="0"/>
        <w:kinsoku/>
        <w:wordWrap/>
        <w:overflowPunct/>
        <w:topLinePunct w:val="0"/>
        <w:autoSpaceDE/>
        <w:autoSpaceDN/>
        <w:bidi w:val="0"/>
        <w:adjustRightInd/>
        <w:snapToGrid/>
        <w:spacing w:after="313" w:afterLines="100"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优化质量基础设施集成服务。</w:t>
      </w:r>
      <w:r>
        <w:rPr>
          <w:rFonts w:hint="default" w:ascii="Times New Roman" w:hAnsi="Times New Roman" w:eastAsia="仿宋_GB2312" w:cs="Times New Roman"/>
          <w:sz w:val="32"/>
          <w:szCs w:val="32"/>
          <w:lang w:val="en-US" w:eastAsia="zh-CN"/>
        </w:rPr>
        <w:t>健全协同发展、开放共享机制，推动计量、标准、认证认可、检验检测等要素资源有机融合，拓展构建覆盖更多产业链和场景应用的质量基础设施“一站式”服务。大力发展检验检测认证服务业，鼓励技术机构联合高校、科研院所和龙头企业开展共性技术攻关与质量解决方案研发，提升服务供给的专业性和适配性。加大检验检测认证机构监管力度，强化对出具虚假报告、超范围检测、无资质认证等违法违规行为的查处。开展内外贸检测认证一体化服务行动，推进“同线同标同质”工程。</w:t>
      </w:r>
    </w:p>
    <w:tbl>
      <w:tblPr>
        <w:tblStyle w:val="15"/>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pStyle w:val="7"/>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default" w:ascii="Times New Roman" w:hAnsi="Times New Roman" w:eastAsia="黑体" w:cs="Times New Roman"/>
                <w:szCs w:val="28"/>
                <w:vertAlign w:val="baseline"/>
                <w:lang w:val="en-US" w:eastAsia="zh-CN"/>
              </w:rPr>
            </w:pPr>
            <w:bookmarkStart w:id="5" w:name="_Toc31171"/>
            <w:r>
              <w:rPr>
                <w:rFonts w:hint="default" w:ascii="Times New Roman" w:hAnsi="Times New Roman" w:eastAsia="黑体" w:cs="Times New Roman"/>
                <w:b w:val="0"/>
                <w:bCs/>
                <w:sz w:val="28"/>
                <w:szCs w:val="28"/>
                <w:lang w:val="en-US" w:eastAsia="zh-CN"/>
              </w:rPr>
              <w:t>专栏2：实施质量基础设施升级增效工程</w:t>
            </w:r>
            <w:bookmarkEnd w:id="5"/>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围绕计量、标准、认证认可、检验检测等核心领域，系统提升质量基础设施的协同服务能力和覆盖范围，培育一批专业化、品牌化服务机构。推动玩具质量基础设施服务从“一站式”向“一体化”升级，促进形成质量管理协同、质量资源共享、技术优势互补的良好玩具创意产业生态。完善广东省轻工机械产业计量测试中心建设，新建校准项目或参数测量项目20项。推进检验检测机构整合升级，提升重点产业质量竞争力与安全保障水平。加强质量、计量、标准、认证等专业人才队伍建设。</w:t>
            </w:r>
          </w:p>
        </w:tc>
      </w:tr>
    </w:tbl>
    <w:p>
      <w:pPr>
        <w:pStyle w:val="6"/>
        <w:keepNext w:val="0"/>
        <w:keepLines w:val="0"/>
        <w:pageBreakBefore w:val="0"/>
        <w:widowControl w:val="0"/>
        <w:kinsoku/>
        <w:wordWrap/>
        <w:overflowPunct/>
        <w:topLinePunct w:val="0"/>
        <w:autoSpaceDE/>
        <w:autoSpaceDN/>
        <w:bidi w:val="0"/>
        <w:adjustRightInd/>
        <w:snapToGrid/>
        <w:spacing w:before="313" w:beforeLines="100" w:line="580" w:lineRule="exact"/>
        <w:ind w:firstLine="640" w:firstLineChars="200"/>
        <w:jc w:val="left"/>
        <w:textAlignment w:val="auto"/>
        <w:rPr>
          <w:rFonts w:hint="default" w:ascii="Times New Roman" w:hAnsi="Times New Roman" w:eastAsia="楷体_GB2312" w:cs="Times New Roman"/>
          <w:sz w:val="32"/>
          <w:szCs w:val="32"/>
          <w:lang w:val="en-US" w:eastAsia="zh-CN"/>
        </w:rPr>
      </w:pPr>
      <w:bookmarkStart w:id="6" w:name="_Toc3005"/>
      <w:r>
        <w:rPr>
          <w:rFonts w:hint="default" w:ascii="Times New Roman" w:hAnsi="Times New Roman" w:eastAsia="楷体_GB2312" w:cs="Times New Roman"/>
          <w:sz w:val="32"/>
          <w:szCs w:val="32"/>
          <w:lang w:val="en-US" w:eastAsia="zh-CN"/>
        </w:rPr>
        <w:t>（三）赋能创新驱动发展，全力构筑知识产权发展新高地</w:t>
      </w:r>
      <w:bookmarkEnd w:id="6"/>
    </w:p>
    <w:p>
      <w:pPr>
        <w:keepNext w:val="0"/>
        <w:keepLines w:val="0"/>
        <w:pageBreakBefore w:val="0"/>
        <w:widowControl w:val="0"/>
        <w:kinsoku/>
        <w:wordWrap/>
        <w:overflowPunct/>
        <w:topLinePunct w:val="0"/>
        <w:autoSpaceDE/>
        <w:autoSpaceDN/>
        <w:bidi w:val="0"/>
        <w:adjustRightInd/>
        <w:snapToGrid/>
        <w:spacing w:after="313" w:afterLines="100"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激励知识产权高价值创造。</w:t>
      </w:r>
      <w:r>
        <w:rPr>
          <w:rFonts w:hint="default" w:ascii="Times New Roman" w:hAnsi="Times New Roman" w:eastAsia="仿宋_GB2312" w:cs="Times New Roman"/>
          <w:sz w:val="32"/>
          <w:szCs w:val="32"/>
          <w:lang w:val="en-US" w:eastAsia="zh-CN"/>
        </w:rPr>
        <w:t>跟踪研究国家、省政策导向，及时修订相关奖励扶持政策举措，发动组织企业参与国家级、省级知识产权奖项评选，培育储备一批高价值专利组合、知名商标品牌和特色地理标志。完善高价值专利培育机制，支持企业、高校、科研院所等建设高价值专利培育布局中心，推进专利预审服务重点产业关键核心技术攻关，探索产业知识产权创新联合体试点，推动专利质量、专利产业化情况、专利对主营业务贡献度等指标增长。构建重点产业专利池，完善专利导航支持全链条创新发展机制。强化新兴产业、未来产业知识产权前瞻布局，推动知识产权与人工智能双向赋能。</w:t>
      </w:r>
    </w:p>
    <w:tbl>
      <w:tblPr>
        <w:tblStyle w:val="15"/>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pStyle w:val="7"/>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default" w:ascii="Times New Roman" w:hAnsi="Times New Roman" w:eastAsia="黑体" w:cs="Times New Roman"/>
                <w:szCs w:val="28"/>
                <w:vertAlign w:val="baseline"/>
                <w:lang w:val="en-US" w:eastAsia="zh-CN"/>
              </w:rPr>
            </w:pPr>
            <w:bookmarkStart w:id="7" w:name="_Toc14349"/>
            <w:r>
              <w:rPr>
                <w:rFonts w:hint="default" w:ascii="Times New Roman" w:hAnsi="Times New Roman" w:eastAsia="黑体" w:cs="Times New Roman"/>
                <w:b w:val="0"/>
                <w:bCs/>
                <w:sz w:val="28"/>
                <w:szCs w:val="28"/>
                <w:lang w:val="en-US" w:eastAsia="zh-CN"/>
              </w:rPr>
              <w:t>专栏3：实施高价值知识产权培育工程</w:t>
            </w:r>
            <w:bookmarkEnd w:id="7"/>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培育推广专利密集型产品。</w:t>
            </w:r>
            <w:r>
              <w:rPr>
                <w:rFonts w:hint="default" w:ascii="Times New Roman" w:hAnsi="Times New Roman" w:eastAsia="仿宋_GB2312" w:cs="Times New Roman"/>
                <w:sz w:val="28"/>
                <w:szCs w:val="28"/>
                <w:vertAlign w:val="baseline"/>
                <w:lang w:val="en-US" w:eastAsia="zh-CN"/>
              </w:rPr>
              <w:t>实施专利密集型产品培育推广工程，构建专利密集型产品“培育</w:t>
            </w:r>
            <w:r>
              <w:rPr>
                <w:rFonts w:hint="eastAsia" w:ascii="Times New Roman" w:hAnsi="Times New Roman" w:eastAsia="仿宋_GB2312" w:cs="Times New Roman"/>
                <w:sz w:val="28"/>
                <w:szCs w:val="28"/>
                <w:vertAlign w:val="baseline"/>
                <w:lang w:val="en-US" w:eastAsia="zh-CN"/>
              </w:rPr>
              <w:t>-</w:t>
            </w:r>
            <w:r>
              <w:rPr>
                <w:rFonts w:hint="default" w:ascii="Times New Roman" w:hAnsi="Times New Roman" w:eastAsia="仿宋_GB2312" w:cs="Times New Roman"/>
                <w:sz w:val="28"/>
                <w:szCs w:val="28"/>
                <w:vertAlign w:val="baseline"/>
                <w:lang w:val="en-US" w:eastAsia="zh-CN"/>
              </w:rPr>
              <w:t>备案</w:t>
            </w:r>
            <w:r>
              <w:rPr>
                <w:rFonts w:hint="eastAsia" w:ascii="Times New Roman" w:hAnsi="Times New Roman" w:eastAsia="仿宋_GB2312" w:cs="Times New Roman"/>
                <w:sz w:val="28"/>
                <w:szCs w:val="28"/>
                <w:vertAlign w:val="baseline"/>
                <w:lang w:val="en-US" w:eastAsia="zh-CN"/>
              </w:rPr>
              <w:t>-</w:t>
            </w:r>
            <w:r>
              <w:rPr>
                <w:rFonts w:hint="default" w:ascii="Times New Roman" w:hAnsi="Times New Roman" w:eastAsia="仿宋_GB2312" w:cs="Times New Roman"/>
                <w:sz w:val="28"/>
                <w:szCs w:val="28"/>
                <w:vertAlign w:val="baseline"/>
                <w:lang w:val="en-US" w:eastAsia="zh-CN"/>
              </w:rPr>
              <w:t>认定</w:t>
            </w:r>
            <w:r>
              <w:rPr>
                <w:rFonts w:hint="eastAsia" w:ascii="Times New Roman" w:hAnsi="Times New Roman" w:eastAsia="仿宋_GB2312" w:cs="Times New Roman"/>
                <w:sz w:val="28"/>
                <w:szCs w:val="28"/>
                <w:vertAlign w:val="baseline"/>
                <w:lang w:val="en-US" w:eastAsia="zh-CN"/>
              </w:rPr>
              <w:t>-</w:t>
            </w:r>
            <w:r>
              <w:rPr>
                <w:rFonts w:hint="default" w:ascii="Times New Roman" w:hAnsi="Times New Roman" w:eastAsia="仿宋_GB2312" w:cs="Times New Roman"/>
                <w:sz w:val="28"/>
                <w:szCs w:val="28"/>
                <w:vertAlign w:val="baseline"/>
                <w:lang w:val="en-US" w:eastAsia="zh-CN"/>
              </w:rPr>
              <w:t>推广”全流程管理体系，鼓励指导企业开展专利密集型产品备案认定，推动企业更多自主可控专利技术参与标准制修，建设专利密集型产品培育推广基地，统筹提升专利密集型产品培育质量。</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培育知名商标品牌。</w:t>
            </w:r>
            <w:r>
              <w:rPr>
                <w:rFonts w:hint="default" w:ascii="Times New Roman" w:hAnsi="Times New Roman" w:eastAsia="仿宋_GB2312" w:cs="Times New Roman"/>
                <w:sz w:val="28"/>
                <w:szCs w:val="28"/>
                <w:vertAlign w:val="baseline"/>
                <w:lang w:val="en-US" w:eastAsia="zh-CN"/>
              </w:rPr>
              <w:t>开展商标预审指导、加速协办等服务，健全商标品牌指导站工作体系，鼓励企业和行业组织提升商标品牌建设能力，培育具有国内外影响力的知名商标品牌。到2030年，做强做优1</w:t>
            </w:r>
            <w:r>
              <w:rPr>
                <w:rFonts w:hint="eastAsia" w:ascii="Times New Roman" w:hAnsi="Times New Roman" w:eastAsia="仿宋_GB2312" w:cs="Times New Roman"/>
                <w:sz w:val="28"/>
                <w:szCs w:val="28"/>
                <w:vertAlign w:val="baseline"/>
                <w:lang w:val="en-US" w:eastAsia="zh-CN"/>
              </w:rPr>
              <w:t>-</w:t>
            </w:r>
            <w:r>
              <w:rPr>
                <w:rFonts w:hint="default" w:ascii="Times New Roman" w:hAnsi="Times New Roman" w:eastAsia="仿宋_GB2312" w:cs="Times New Roman"/>
                <w:sz w:val="28"/>
                <w:szCs w:val="28"/>
                <w:vertAlign w:val="baseline"/>
                <w:lang w:val="en-US" w:eastAsia="zh-CN"/>
              </w:rPr>
              <w:t>2个集体商标和证明商标，助推打造一批竞争力强、市场信誉好的产业集群或区域品牌。</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培育特色地理标志。</w:t>
            </w:r>
            <w:r>
              <w:rPr>
                <w:rFonts w:hint="default" w:ascii="Times New Roman" w:hAnsi="Times New Roman" w:eastAsia="仿宋_GB2312" w:cs="Times New Roman"/>
                <w:sz w:val="28"/>
                <w:szCs w:val="28"/>
                <w:vertAlign w:val="baseline"/>
                <w:lang w:val="en-US" w:eastAsia="zh-CN"/>
              </w:rPr>
              <w:t>加强地理标志资源挖掘和培育，支持条件成熟的产品申请地理标志、注册地理标志商标。推广“地理标志＋”发展模式，支持地理标志与农业、文创、旅游等关联产业有机融合发展，持续提升地理标志品牌价值和影响力。加强地理标志行政保护。</w:t>
            </w:r>
          </w:p>
        </w:tc>
      </w:tr>
    </w:tbl>
    <w:p>
      <w:pPr>
        <w:keepNext w:val="0"/>
        <w:keepLines w:val="0"/>
        <w:pageBreakBefore w:val="0"/>
        <w:widowControl w:val="0"/>
        <w:kinsoku/>
        <w:wordWrap/>
        <w:overflowPunct/>
        <w:topLinePunct w:val="0"/>
        <w:autoSpaceDE/>
        <w:autoSpaceDN/>
        <w:bidi w:val="0"/>
        <w:adjustRightInd/>
        <w:snapToGrid/>
        <w:spacing w:before="313" w:beforeLines="100"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推动知识产权高效益运用。</w:t>
      </w:r>
      <w:r>
        <w:rPr>
          <w:rFonts w:hint="default" w:ascii="Times New Roman" w:hAnsi="Times New Roman" w:eastAsia="仿宋_GB2312" w:cs="Times New Roman"/>
          <w:sz w:val="32"/>
          <w:szCs w:val="32"/>
          <w:lang w:val="en-US" w:eastAsia="zh-CN"/>
        </w:rPr>
        <w:t>深化知识产权权益分配改革，完善专利转化尽职免责和容错机制。盘活高校、科研院所存量专利，推动完善专利分级分类动态管理体系，加强专利市场化评价。构建专利转化运用长效机制，推广“先使用后付费”“开放许可”等转化模式。培育建设重点产业知识产权运营中心，深化产学研合作，高效推进专利转化对接，加速专利产业化。推进数据知识产权转化运用，拓展数据资源应用场景。积极稳妥发展知识产权金融，深化知识产权质押融资“入园惠企”对接机制，探索知识产权证券化业务，鼓励保险机构拓展海外知识产权保险等服务。</w:t>
      </w:r>
    </w:p>
    <w:p>
      <w:pPr>
        <w:keepNext w:val="0"/>
        <w:keepLines w:val="0"/>
        <w:pageBreakBefore w:val="0"/>
        <w:widowControl w:val="0"/>
        <w:kinsoku/>
        <w:wordWrap/>
        <w:overflowPunct/>
        <w:topLinePunct w:val="0"/>
        <w:autoSpaceDE/>
        <w:autoSpaceDN/>
        <w:bidi w:val="0"/>
        <w:adjustRightInd/>
        <w:snapToGrid/>
        <w:spacing w:after="313" w:afterLines="100"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强化知识产权高标准保护。</w:t>
      </w:r>
      <w:r>
        <w:rPr>
          <w:rFonts w:hint="default" w:ascii="Times New Roman" w:hAnsi="Times New Roman" w:eastAsia="仿宋_GB2312" w:cs="Times New Roman"/>
          <w:sz w:val="32"/>
          <w:szCs w:val="32"/>
          <w:lang w:val="en-US" w:eastAsia="zh-CN"/>
        </w:rPr>
        <w:t>全面贯彻落实《汕头经济特区知识产权保护条例》，开展知识产权保护政策实施监测与效果评估。健全知识产权司法保护体系，深化知识产权民事、刑事、行政案件“三合一”审判机制，依法严厉打击知识产权犯罪。加大知识产权行政保护力度，开展各类专项行政执法行动，完善专利侵权纠纷“委托裁决”制度，加强版权、种业知识产权保护，指导展会、电商平台、专业市场建立知识产权保护自律机制。提升知识产权协同保护水平，健全知识产权行政保护与司法保护衔接机制，深化跨部门跨地域知识产权保护合作，完善多元化纠纷解决机制，构建高效协同联动保护格局。</w:t>
      </w:r>
    </w:p>
    <w:tbl>
      <w:tblPr>
        <w:tblStyle w:val="15"/>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pStyle w:val="7"/>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default" w:ascii="Times New Roman" w:hAnsi="Times New Roman" w:eastAsia="黑体" w:cs="Times New Roman"/>
                <w:szCs w:val="28"/>
                <w:vertAlign w:val="baseline"/>
                <w:lang w:val="en-US" w:eastAsia="zh-CN"/>
              </w:rPr>
            </w:pPr>
            <w:bookmarkStart w:id="8" w:name="_Toc6482"/>
            <w:r>
              <w:rPr>
                <w:rFonts w:hint="default" w:ascii="Times New Roman" w:hAnsi="Times New Roman" w:eastAsia="黑体" w:cs="Times New Roman"/>
                <w:b w:val="0"/>
                <w:bCs/>
                <w:sz w:val="28"/>
                <w:szCs w:val="28"/>
                <w:lang w:val="en-US" w:eastAsia="zh-CN"/>
              </w:rPr>
              <w:t>专栏4：健全涉外知识产权保护体系</w:t>
            </w:r>
            <w:bookmarkEnd w:id="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sz w:val="28"/>
                <w:szCs w:val="28"/>
                <w:vertAlign w:val="baseline"/>
                <w:lang w:val="en-US" w:eastAsia="zh-CN"/>
              </w:rPr>
              <w:t>建好用好海外知识产权纠纷应对指导汕头工作平台，加强对涉外知识产权贸易调查、诉讼等纠纷的监测预警，优化拓展美国、德国、马来西亚等海外知识产权保护工作站，加大企业出境参展维权</w:t>
            </w:r>
            <w:r>
              <w:rPr>
                <w:rFonts w:hint="eastAsia" w:ascii="Times New Roman" w:hAnsi="Times New Roman" w:eastAsia="仿宋_GB2312" w:cs="Times New Roman"/>
                <w:sz w:val="28"/>
                <w:szCs w:val="28"/>
                <w:vertAlign w:val="baseline"/>
                <w:lang w:val="en-US" w:eastAsia="zh-CN"/>
              </w:rPr>
              <w:t>指导和</w:t>
            </w:r>
            <w:r>
              <w:rPr>
                <w:rFonts w:hint="default" w:ascii="Times New Roman" w:hAnsi="Times New Roman" w:eastAsia="仿宋_GB2312" w:cs="Times New Roman"/>
                <w:sz w:val="28"/>
                <w:szCs w:val="28"/>
                <w:vertAlign w:val="baseline"/>
                <w:lang w:val="en-US" w:eastAsia="zh-CN"/>
              </w:rPr>
              <w:t>援助力度。鼓励行业商会设立涉外知识产权保护维权互助金，支持企业加强知识产权国际合规建设、参加海外侵权责任险等。加强跨境电商知识产权保护。</w:t>
            </w:r>
          </w:p>
        </w:tc>
      </w:tr>
    </w:tbl>
    <w:p>
      <w:pPr>
        <w:keepNext w:val="0"/>
        <w:keepLines w:val="0"/>
        <w:pageBreakBefore w:val="0"/>
        <w:widowControl w:val="0"/>
        <w:kinsoku/>
        <w:wordWrap/>
        <w:overflowPunct/>
        <w:topLinePunct w:val="0"/>
        <w:autoSpaceDE/>
        <w:autoSpaceDN/>
        <w:bidi w:val="0"/>
        <w:adjustRightInd/>
        <w:snapToGrid/>
        <w:spacing w:before="313" w:beforeLines="100"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深化知识产权高效能管理。</w:t>
      </w:r>
      <w:r>
        <w:rPr>
          <w:rFonts w:hint="default" w:ascii="Times New Roman" w:hAnsi="Times New Roman" w:eastAsia="仿宋_GB2312" w:cs="Times New Roman"/>
          <w:sz w:val="32"/>
          <w:szCs w:val="32"/>
          <w:lang w:val="en-US" w:eastAsia="zh-CN"/>
        </w:rPr>
        <w:t>健全知识产权政策法规体系，探索建立人工智能、大数据等新领域新业态的知识产权保护制度和数据知识产权保护相关规则。支持创新主体依托优质知识产权服务资源开展知识产权贯标工作，提升知识产权综合管理能力。推进知识产权领域诚信体系建设，依法依规对违法失信行为进行惩戒。规范知识产权代理行为，推动行业自律。加强知识产权人才培养，强化知识产权执法司法、行政裁决队伍建设。加强知识产权普法宣传，引导企业自觉履行尊重和保护知识产权的社会责任。</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优化知识产权高水平服务。</w:t>
      </w:r>
      <w:r>
        <w:rPr>
          <w:rFonts w:hint="default" w:ascii="Times New Roman" w:hAnsi="Times New Roman" w:eastAsia="仿宋_GB2312" w:cs="Times New Roman"/>
          <w:sz w:val="32"/>
          <w:szCs w:val="32"/>
          <w:lang w:val="en-US" w:eastAsia="zh-CN"/>
        </w:rPr>
        <w:t>加强知识产权服务资源有效整合，构建覆盖全面、服务高效、供需匹配的知识产权公共服务体系。持续推进知识产权申请注册便利化改革，拓展知识产权公共服务“一窗通办”事项和业务范围。深化国家级专利导航服务基地建设，推动专利导航与产业运行决策深度融合，保障产业链供应链稳定安全。开展知识产权公共服务助企惠企行动，推动知识产权公共服务网点向产业园区、重点企业延伸，提升服务可及性与响应效率。鼓励引导各类知识产权服务机构加强专利、商标品牌竞争态势分析，发展全链条知识产权服务，推动知识产权服务业与制造业融合发展。加力推进汕头市知识产权保护中心、汕头（玩具）知识产权快速维权中心高标准建设、高质量运行。</w:t>
      </w:r>
    </w:p>
    <w:p>
      <w:pPr>
        <w:pStyle w:val="6"/>
        <w:keepNext w:val="0"/>
        <w:keepLines w:val="0"/>
        <w:pageBreakBefore w:val="0"/>
        <w:widowControl w:val="0"/>
        <w:kinsoku/>
        <w:wordWrap/>
        <w:overflowPunct/>
        <w:topLinePunct w:val="0"/>
        <w:autoSpaceDE/>
        <w:autoSpaceDN/>
        <w:bidi w:val="0"/>
        <w:adjustRightInd/>
        <w:snapToGrid/>
        <w:spacing w:before="0" w:line="560" w:lineRule="exact"/>
        <w:ind w:firstLine="640" w:firstLineChars="200"/>
        <w:jc w:val="left"/>
        <w:textAlignment w:val="auto"/>
        <w:rPr>
          <w:rFonts w:hint="default" w:ascii="Times New Roman" w:hAnsi="Times New Roman" w:eastAsia="楷体_GB2312" w:cs="Times New Roman"/>
          <w:caps w:val="0"/>
          <w:smallCaps/>
          <w:w w:val="100"/>
          <w:sz w:val="32"/>
          <w:szCs w:val="32"/>
          <w:lang w:val="en-US" w:eastAsia="zh-CN"/>
        </w:rPr>
      </w:pPr>
      <w:bookmarkStart w:id="9" w:name="_Toc23575"/>
      <w:r>
        <w:rPr>
          <w:rFonts w:hint="eastAsia" w:ascii="Times New Roman" w:hAnsi="Times New Roman" w:eastAsia="楷体_GB2312" w:cs="Times New Roman"/>
          <w:caps w:val="0"/>
          <w:smallCaps/>
          <w:w w:val="100"/>
          <w:sz w:val="32"/>
          <w:szCs w:val="32"/>
          <w:lang w:val="en-US" w:eastAsia="zh-CN"/>
        </w:rPr>
        <w:t>（</w:t>
      </w:r>
      <w:r>
        <w:rPr>
          <w:rFonts w:hint="default" w:ascii="Times New Roman" w:hAnsi="Times New Roman" w:eastAsia="楷体_GB2312" w:cs="Times New Roman"/>
          <w:caps w:val="0"/>
          <w:smallCaps/>
          <w:w w:val="100"/>
          <w:sz w:val="32"/>
          <w:szCs w:val="32"/>
          <w:lang w:val="en-US" w:eastAsia="zh-CN"/>
        </w:rPr>
        <w:t>四</w:t>
      </w:r>
      <w:r>
        <w:rPr>
          <w:rFonts w:hint="eastAsia" w:ascii="Times New Roman" w:hAnsi="Times New Roman" w:eastAsia="楷体_GB2312" w:cs="Times New Roman"/>
          <w:caps w:val="0"/>
          <w:smallCaps/>
          <w:w w:val="100"/>
          <w:sz w:val="32"/>
          <w:szCs w:val="32"/>
          <w:lang w:val="en-US" w:eastAsia="zh-CN"/>
        </w:rPr>
        <w:t>）</w:t>
      </w:r>
      <w:r>
        <w:rPr>
          <w:rFonts w:hint="default" w:ascii="Times New Roman" w:hAnsi="Times New Roman" w:eastAsia="楷体_GB2312" w:cs="Times New Roman"/>
          <w:caps w:val="0"/>
          <w:smallCaps/>
          <w:w w:val="100"/>
          <w:sz w:val="32"/>
          <w:szCs w:val="32"/>
          <w:lang w:val="en-US" w:eastAsia="zh-CN"/>
        </w:rPr>
        <w:t>融入服务全国统一大市场建设</w:t>
      </w:r>
      <w:bookmarkEnd w:id="9"/>
      <w:r>
        <w:rPr>
          <w:rFonts w:hint="eastAsia" w:ascii="Times New Roman" w:hAnsi="Times New Roman" w:eastAsia="楷体_GB2312" w:cs="Times New Roman"/>
          <w:caps w:val="0"/>
          <w:smallCaps/>
          <w:w w:val="100"/>
          <w:sz w:val="32"/>
          <w:szCs w:val="32"/>
          <w:lang w:val="en-US" w:eastAsia="zh-CN"/>
        </w:rPr>
        <w:t>，</w:t>
      </w:r>
      <w:bookmarkStart w:id="10" w:name="_Toc21632"/>
      <w:bookmarkStart w:id="11" w:name="_Toc5838"/>
      <w:r>
        <w:rPr>
          <w:rFonts w:hint="default" w:ascii="Times New Roman" w:hAnsi="Times New Roman" w:eastAsia="楷体_GB2312" w:cs="Times New Roman"/>
          <w:caps w:val="0"/>
          <w:smallCaps/>
          <w:w w:val="100"/>
          <w:sz w:val="32"/>
          <w:szCs w:val="32"/>
          <w:lang w:val="en-US" w:eastAsia="zh-CN"/>
        </w:rPr>
        <w:t>营造公平公正市场环境</w:t>
      </w:r>
      <w:bookmarkEnd w:id="10"/>
      <w:bookmarkEnd w:id="11"/>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加强公平竞争审查刚性约束。</w:t>
      </w:r>
      <w:r>
        <w:rPr>
          <w:rFonts w:hint="default" w:ascii="Times New Roman" w:hAnsi="Times New Roman" w:eastAsia="仿宋_GB2312" w:cs="Times New Roman"/>
          <w:sz w:val="32"/>
          <w:szCs w:val="32"/>
          <w:lang w:val="en-US" w:eastAsia="zh-CN"/>
        </w:rPr>
        <w:t>全面落实公平竞争审查制度，健全重要政策措施公平竞争审查会审、抽查、举报处理等工作机制，统筹存量清理与增量审查，督促</w:t>
      </w:r>
      <w:r>
        <w:rPr>
          <w:rFonts w:hint="eastAsia" w:ascii="Times New Roman" w:hAnsi="Times New Roman" w:eastAsia="仿宋_GB2312" w:cs="Times New Roman"/>
          <w:sz w:val="32"/>
          <w:szCs w:val="32"/>
          <w:lang w:val="en-US" w:eastAsia="zh-CN"/>
        </w:rPr>
        <w:t>各级</w:t>
      </w:r>
      <w:r>
        <w:rPr>
          <w:rFonts w:hint="default" w:ascii="Times New Roman" w:hAnsi="Times New Roman" w:eastAsia="仿宋_GB2312" w:cs="Times New Roman"/>
          <w:sz w:val="32"/>
          <w:szCs w:val="32"/>
          <w:lang w:val="en-US" w:eastAsia="zh-CN"/>
        </w:rPr>
        <w:t>各部门严格落实公平竞争审查主体责任，持续清理和废除妨碍全国统一市场和公平竞争的各种规定和做法。制止滥用行政权力排除、限制竞争</w:t>
      </w:r>
      <w:r>
        <w:rPr>
          <w:rFonts w:hint="eastAsia" w:ascii="Times New Roman" w:hAnsi="Times New Roman" w:eastAsia="仿宋_GB2312" w:cs="Times New Roman"/>
          <w:sz w:val="32"/>
          <w:szCs w:val="32"/>
          <w:lang w:val="en-US" w:eastAsia="zh-CN"/>
        </w:rPr>
        <w:t>行为</w:t>
      </w:r>
      <w:r>
        <w:rPr>
          <w:rFonts w:hint="default" w:ascii="Times New Roman" w:hAnsi="Times New Roman" w:eastAsia="仿宋_GB2312" w:cs="Times New Roman"/>
          <w:sz w:val="32"/>
          <w:szCs w:val="32"/>
          <w:lang w:val="en-US" w:eastAsia="zh-CN"/>
        </w:rPr>
        <w:t>，整治重点领域妨碍市场准入和退出、妨碍商品和要素自由流动、影响生产经营成本和生产经营行为等不当干预市场行为。加强公平竞争宣传倡导，优化市场合规能力建设。</w:t>
      </w:r>
    </w:p>
    <w:p>
      <w:pPr>
        <w:keepNext w:val="0"/>
        <w:keepLines w:val="0"/>
        <w:pageBreakBefore w:val="0"/>
        <w:widowControl w:val="0"/>
        <w:kinsoku/>
        <w:wordWrap/>
        <w:overflowPunct/>
        <w:topLinePunct w:val="0"/>
        <w:autoSpaceDE/>
        <w:autoSpaceDN/>
        <w:bidi w:val="0"/>
        <w:adjustRightInd/>
        <w:snapToGrid/>
        <w:spacing w:after="313" w:afterLines="100"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规范市场竞争秩序</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聚焦重点行业、领域和新兴业态开展专项行动，依法查处虚假宣传、商业贿赂、商业诋毁等不正当竞争行为。强化重点行业“内卷式”竞争治理，重拳整治低价无序竞争乱象。持续推进商业秘密保护基地建设。加强殡葬、医疗、教育、水电气等民生服务领域收费监管，严厉打击价格违法行为。深入开展民生领域案件查办“铁拳”行动，</w:t>
      </w:r>
      <w:r>
        <w:rPr>
          <w:rFonts w:hint="eastAsia" w:ascii="Times New Roman" w:hAnsi="Times New Roman" w:eastAsia="仿宋_GB2312" w:cs="Times New Roman"/>
          <w:sz w:val="32"/>
          <w:szCs w:val="32"/>
          <w:lang w:val="en-US" w:eastAsia="zh-CN"/>
        </w:rPr>
        <w:t>加大</w:t>
      </w:r>
      <w:r>
        <w:rPr>
          <w:rFonts w:hint="default" w:ascii="Times New Roman" w:hAnsi="Times New Roman" w:eastAsia="仿宋_GB2312" w:cs="Times New Roman"/>
          <w:sz w:val="32"/>
          <w:szCs w:val="32"/>
          <w:lang w:val="en-US" w:eastAsia="zh-CN"/>
        </w:rPr>
        <w:t>典型案例曝光</w:t>
      </w:r>
      <w:r>
        <w:rPr>
          <w:rFonts w:hint="eastAsia" w:ascii="Times New Roman" w:hAnsi="Times New Roman" w:eastAsia="仿宋_GB2312" w:cs="Times New Roman"/>
          <w:sz w:val="32"/>
          <w:szCs w:val="32"/>
          <w:lang w:val="en-US" w:eastAsia="zh-CN"/>
        </w:rPr>
        <w:t>力度</w:t>
      </w:r>
      <w:r>
        <w:rPr>
          <w:rFonts w:hint="default" w:ascii="Times New Roman" w:hAnsi="Times New Roman" w:eastAsia="仿宋_GB2312" w:cs="Times New Roman"/>
          <w:sz w:val="32"/>
          <w:szCs w:val="32"/>
          <w:lang w:val="en-US" w:eastAsia="zh-CN"/>
        </w:rPr>
        <w:t>。深化广告市场秩序治理，促进广告产业高质量发展。加大直销监管力度，依法严厉打击网络传销。</w:t>
      </w:r>
    </w:p>
    <w:p>
      <w:pPr>
        <w:rPr>
          <w:rFonts w:hint="default"/>
          <w:lang w:val="en-US" w:eastAsia="zh-CN"/>
        </w:rPr>
      </w:pPr>
      <w:r>
        <w:rPr>
          <w:rFonts w:hint="default" w:ascii="Times New Roman" w:hAnsi="Times New Roman" w:eastAsia="仿宋_GB2312" w:cs="Times New Roman"/>
          <w:sz w:val="32"/>
          <w:szCs w:val="32"/>
          <w:lang w:val="en-US" w:eastAsia="zh-CN"/>
        </w:rPr>
        <w:br w:type="page"/>
      </w:r>
    </w:p>
    <w:tbl>
      <w:tblPr>
        <w:tblStyle w:val="15"/>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pStyle w:val="7"/>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default" w:ascii="Times New Roman" w:hAnsi="Times New Roman" w:eastAsia="黑体" w:cs="Times New Roman"/>
                <w:szCs w:val="28"/>
                <w:vertAlign w:val="baseline"/>
                <w:lang w:val="en-US" w:eastAsia="zh-CN"/>
              </w:rPr>
            </w:pPr>
            <w:bookmarkStart w:id="12" w:name="_Toc3017"/>
            <w:r>
              <w:rPr>
                <w:rFonts w:hint="default" w:ascii="Times New Roman" w:hAnsi="Times New Roman" w:eastAsia="黑体" w:cs="Times New Roman"/>
                <w:b w:val="0"/>
                <w:bCs/>
                <w:sz w:val="28"/>
                <w:szCs w:val="28"/>
                <w:lang w:val="en-US" w:eastAsia="zh-CN"/>
              </w:rPr>
              <w:t>专栏5：优化市场价格监管机制</w:t>
            </w:r>
            <w:bookmarkEnd w:id="1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规范市场价格行为。</w:t>
            </w:r>
            <w:r>
              <w:rPr>
                <w:rFonts w:hint="default" w:ascii="Times New Roman" w:hAnsi="Times New Roman" w:eastAsia="仿宋_GB2312" w:cs="Times New Roman"/>
                <w:sz w:val="28"/>
                <w:szCs w:val="28"/>
                <w:vertAlign w:val="baseline"/>
                <w:lang w:val="en-US" w:eastAsia="zh-CN"/>
              </w:rPr>
              <w:t>加强价格政策解读与宣传，提升经营主体和社会公众对市场规则的认知度和遵守自觉性。强化事前引导预防，综合运用公告、指南、提醒告诫、行政指导等方式，引导经营主体建立健全内部价格管理制度，依法合规开展经营。</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强化价格监督检查。</w:t>
            </w:r>
            <w:r>
              <w:rPr>
                <w:rFonts w:hint="default" w:ascii="Times New Roman" w:hAnsi="Times New Roman" w:eastAsia="仿宋_GB2312" w:cs="Times New Roman"/>
                <w:sz w:val="28"/>
                <w:szCs w:val="28"/>
                <w:vertAlign w:val="baseline"/>
                <w:lang w:val="en-US" w:eastAsia="zh-CN"/>
              </w:rPr>
              <w:t>加大公用事业、民生领域价格监督检查力度，持续抓好节假日等重点时段的市场价格秩序监管，督促落实明码标价，依法查处只收费不服务、重复收费、价格欺诈等违法违规行为，推动形成优质优价、良性竞争的市场秩序。</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仿宋_GB2312" w:cs="Times New Roman"/>
                <w:sz w:val="28"/>
                <w:szCs w:val="28"/>
                <w:vertAlign w:val="baseline"/>
                <w:lang w:val="en-US" w:eastAsia="zh-CN"/>
              </w:rPr>
            </w:pPr>
            <w:r>
              <w:rPr>
                <w:rFonts w:hint="default" w:ascii="Times New Roman" w:hAnsi="Times New Roman" w:eastAsia="仿宋_GB2312" w:cs="Times New Roman"/>
                <w:b/>
                <w:bCs/>
                <w:sz w:val="28"/>
                <w:szCs w:val="28"/>
                <w:vertAlign w:val="baseline"/>
                <w:lang w:val="en-US" w:eastAsia="zh-CN"/>
              </w:rPr>
              <w:t>推进高效协同共治。</w:t>
            </w:r>
            <w:r>
              <w:rPr>
                <w:rFonts w:hint="default" w:ascii="Times New Roman" w:hAnsi="Times New Roman" w:eastAsia="仿宋_GB2312" w:cs="Times New Roman"/>
                <w:sz w:val="28"/>
                <w:szCs w:val="28"/>
                <w:vertAlign w:val="baseline"/>
                <w:lang w:val="en-US" w:eastAsia="zh-CN"/>
              </w:rPr>
              <w:t>强化跨部门联合监管，推动建立协同治理和联合惩戒机制，构建政府主导、企业自律、行业规范、社会监督的多元共治格局，不断提升市场价格监管的整体效能和公信力。</w:t>
            </w:r>
          </w:p>
        </w:tc>
      </w:tr>
    </w:tbl>
    <w:p>
      <w:pPr>
        <w:keepNext w:val="0"/>
        <w:keepLines w:val="0"/>
        <w:pageBreakBefore w:val="0"/>
        <w:widowControl w:val="0"/>
        <w:kinsoku/>
        <w:wordWrap/>
        <w:overflowPunct/>
        <w:topLinePunct w:val="0"/>
        <w:autoSpaceDE/>
        <w:autoSpaceDN/>
        <w:bidi w:val="0"/>
        <w:adjustRightInd/>
        <w:snapToGrid/>
        <w:spacing w:before="313" w:beforeLines="100"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提升平台经济常态化监管水平。</w:t>
      </w:r>
      <w:r>
        <w:rPr>
          <w:rFonts w:hint="default" w:ascii="Times New Roman" w:hAnsi="Times New Roman" w:eastAsia="仿宋_GB2312" w:cs="Times New Roman"/>
          <w:sz w:val="32"/>
          <w:szCs w:val="32"/>
          <w:lang w:val="en-US" w:eastAsia="zh-CN"/>
        </w:rPr>
        <w:t>完善平台合规治理体系，建立分层分级、层级对应的网络交易平台合规监管工作机制，压实平台企业主体责任和属地部门监管责任。建立健全线上线下一体化监管和部门协作机制，强化直播电商综合治理，整治网络市场突出问题。加强电子商务经营行为监测，提升网络交易智慧监管能力。加强行政指导和约谈提醒，督促平台企业依法依规履行信息公示、公平竞争、消费者权益保护等义务。</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优化消费环境建设。</w:t>
      </w:r>
      <w:r>
        <w:rPr>
          <w:rFonts w:hint="default" w:ascii="Times New Roman" w:hAnsi="Times New Roman" w:eastAsia="仿宋_GB2312" w:cs="Times New Roman"/>
          <w:sz w:val="32"/>
          <w:szCs w:val="32"/>
          <w:lang w:val="en-US" w:eastAsia="zh-CN"/>
        </w:rPr>
        <w:t>贯彻落实《广东省消费者权益保护条例》，提升消费维权效能，构建消费纠纷多元高效化解机制，推进消费环境共治。完善12315投诉举报处置体系，加大“诉转案”力度。加强在线消费争议解决（ODR）机制建设，提升消费投诉先行和解率。深入推进放心消费“双承诺”活动，推动更多经营者作出“品质保证”“诚信保证”“维权保证”和线下无理由退货承诺。加强消费维权知识宣传教育。</w:t>
      </w:r>
    </w:p>
    <w:p>
      <w:pPr>
        <w:pStyle w:val="6"/>
        <w:keepNext w:val="0"/>
        <w:keepLines w:val="0"/>
        <w:pageBreakBefore w:val="0"/>
        <w:widowControl w:val="0"/>
        <w:kinsoku/>
        <w:wordWrap/>
        <w:overflowPunct/>
        <w:topLinePunct w:val="0"/>
        <w:autoSpaceDE/>
        <w:autoSpaceDN/>
        <w:bidi w:val="0"/>
        <w:adjustRightInd/>
        <w:snapToGrid/>
        <w:spacing w:before="0" w:line="580" w:lineRule="exact"/>
        <w:ind w:firstLine="640" w:firstLineChars="200"/>
        <w:jc w:val="left"/>
        <w:textAlignment w:val="auto"/>
        <w:rPr>
          <w:rFonts w:hint="default" w:ascii="Times New Roman" w:hAnsi="Times New Roman" w:eastAsia="楷体_GB2312" w:cs="Times New Roman"/>
          <w:sz w:val="32"/>
          <w:szCs w:val="32"/>
          <w:lang w:val="en-US" w:eastAsia="zh-CN"/>
        </w:rPr>
      </w:pPr>
      <w:bookmarkStart w:id="13" w:name="_Toc16331"/>
      <w:r>
        <w:rPr>
          <w:rFonts w:hint="eastAsia" w:ascii="Times New Roman" w:hAnsi="Times New Roman" w:eastAsia="楷体_GB2312" w:cs="Times New Roman"/>
          <w:sz w:val="32"/>
          <w:szCs w:val="32"/>
          <w:lang w:val="en-US" w:eastAsia="zh-CN"/>
        </w:rPr>
        <w:t>（</w:t>
      </w:r>
      <w:r>
        <w:rPr>
          <w:rFonts w:hint="default" w:ascii="Times New Roman" w:hAnsi="Times New Roman" w:eastAsia="楷体_GB2312" w:cs="Times New Roman"/>
          <w:sz w:val="32"/>
          <w:szCs w:val="32"/>
          <w:lang w:val="en-US" w:eastAsia="zh-CN"/>
        </w:rPr>
        <w:t>五</w:t>
      </w:r>
      <w:r>
        <w:rPr>
          <w:rFonts w:hint="eastAsia" w:ascii="Times New Roman" w:hAnsi="Times New Roman" w:eastAsia="楷体_GB2312" w:cs="Times New Roman"/>
          <w:sz w:val="32"/>
          <w:szCs w:val="32"/>
          <w:lang w:val="en-US" w:eastAsia="zh-CN"/>
        </w:rPr>
        <w:t>）</w:t>
      </w:r>
      <w:r>
        <w:rPr>
          <w:rFonts w:hint="default" w:ascii="Times New Roman" w:hAnsi="Times New Roman" w:eastAsia="楷体_GB2312" w:cs="Times New Roman"/>
          <w:sz w:val="32"/>
          <w:szCs w:val="32"/>
          <w:lang w:val="en-US" w:eastAsia="zh-CN"/>
        </w:rPr>
        <w:t>防范化解“三品一特”领域安全风险</w:t>
      </w:r>
      <w:bookmarkEnd w:id="13"/>
      <w:r>
        <w:rPr>
          <w:rFonts w:hint="eastAsia" w:ascii="Times New Roman" w:hAnsi="Times New Roman" w:eastAsia="楷体_GB2312" w:cs="Times New Roman"/>
          <w:sz w:val="32"/>
          <w:szCs w:val="32"/>
          <w:lang w:val="en-US" w:eastAsia="zh-CN"/>
        </w:rPr>
        <w:t>，</w:t>
      </w:r>
      <w:bookmarkStart w:id="14" w:name="_Toc12550"/>
      <w:bookmarkStart w:id="15" w:name="_Toc11674"/>
      <w:r>
        <w:rPr>
          <w:rFonts w:hint="default" w:ascii="Times New Roman" w:hAnsi="Times New Roman" w:eastAsia="楷体_GB2312" w:cs="Times New Roman"/>
          <w:sz w:val="32"/>
          <w:szCs w:val="32"/>
          <w:lang w:val="en-US" w:eastAsia="zh-CN"/>
        </w:rPr>
        <w:t>构建高水平安全治理格局</w:t>
      </w:r>
      <w:bookmarkEnd w:id="14"/>
      <w:bookmarkEnd w:id="15"/>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强化食品安全全链条监管体系。</w:t>
      </w:r>
      <w:r>
        <w:rPr>
          <w:rFonts w:hint="default" w:ascii="Times New Roman" w:hAnsi="Times New Roman" w:eastAsia="仿宋_GB2312" w:cs="Times New Roman"/>
          <w:sz w:val="32"/>
          <w:szCs w:val="32"/>
          <w:lang w:val="en-US" w:eastAsia="zh-CN"/>
        </w:rPr>
        <w:t>进一步健全食品安全责任体系</w:t>
      </w:r>
      <w:r>
        <w:rPr>
          <w:rFonts w:hint="eastAsia" w:ascii="Times New Roman" w:hAnsi="Times New Roman" w:eastAsia="仿宋_GB2312" w:cs="Times New Roman"/>
          <w:sz w:val="32"/>
          <w:szCs w:val="32"/>
          <w:lang w:val="en-US" w:eastAsia="zh-CN"/>
        </w:rPr>
        <w:t>，强化</w:t>
      </w:r>
      <w:r>
        <w:rPr>
          <w:rFonts w:hint="default" w:ascii="Times New Roman" w:hAnsi="Times New Roman" w:eastAsia="仿宋_GB2312" w:cs="Times New Roman"/>
          <w:sz w:val="32"/>
          <w:szCs w:val="32"/>
          <w:lang w:val="en-US" w:eastAsia="zh-CN"/>
        </w:rPr>
        <w:t>部门</w:t>
      </w:r>
      <w:r>
        <w:rPr>
          <w:rFonts w:hint="eastAsia" w:ascii="Times New Roman" w:hAnsi="Times New Roman" w:eastAsia="仿宋_GB2312" w:cs="Times New Roman"/>
          <w:sz w:val="32"/>
          <w:szCs w:val="32"/>
          <w:lang w:val="en-US" w:eastAsia="zh-CN"/>
        </w:rPr>
        <w:t>协同</w:t>
      </w:r>
      <w:r>
        <w:rPr>
          <w:rFonts w:hint="default" w:ascii="Times New Roman" w:hAnsi="Times New Roman" w:eastAsia="仿宋_GB2312" w:cs="Times New Roman"/>
          <w:sz w:val="32"/>
          <w:szCs w:val="32"/>
          <w:lang w:val="en-US" w:eastAsia="zh-CN"/>
        </w:rPr>
        <w:t>监管，</w:t>
      </w:r>
      <w:r>
        <w:rPr>
          <w:rFonts w:hint="eastAsia" w:ascii="Times New Roman" w:hAnsi="Times New Roman" w:eastAsia="仿宋_GB2312" w:cs="Times New Roman"/>
          <w:sz w:val="32"/>
          <w:szCs w:val="32"/>
          <w:lang w:val="en-US" w:eastAsia="zh-CN"/>
        </w:rPr>
        <w:t>加强</w:t>
      </w:r>
      <w:r>
        <w:rPr>
          <w:rFonts w:hint="default" w:ascii="Times New Roman" w:hAnsi="Times New Roman" w:eastAsia="仿宋_GB2312" w:cs="Times New Roman"/>
          <w:sz w:val="32"/>
          <w:szCs w:val="32"/>
          <w:lang w:val="en-US" w:eastAsia="zh-CN"/>
        </w:rPr>
        <w:t>风险会商、重大事故和舆情事件应急处置，</w:t>
      </w:r>
      <w:r>
        <w:rPr>
          <w:rFonts w:hint="eastAsia" w:ascii="Times New Roman" w:hAnsi="Times New Roman" w:eastAsia="仿宋_GB2312" w:cs="Times New Roman"/>
          <w:sz w:val="32"/>
          <w:szCs w:val="32"/>
          <w:lang w:val="en-US" w:eastAsia="zh-CN"/>
        </w:rPr>
        <w:t>推动</w:t>
      </w:r>
      <w:r>
        <w:rPr>
          <w:rFonts w:hint="default" w:ascii="Times New Roman" w:hAnsi="Times New Roman" w:eastAsia="仿宋_GB2312" w:cs="Times New Roman"/>
          <w:sz w:val="32"/>
          <w:szCs w:val="32"/>
          <w:lang w:val="en-US" w:eastAsia="zh-CN"/>
        </w:rPr>
        <w:t>“从农田到餐桌”全链条监管，落细落实食品安全“两个责任”。</w:t>
      </w:r>
      <w:r>
        <w:rPr>
          <w:rFonts w:hint="eastAsia" w:ascii="Times New Roman" w:hAnsi="Times New Roman" w:eastAsia="仿宋_GB2312" w:cs="Times New Roman"/>
          <w:sz w:val="32"/>
          <w:szCs w:val="32"/>
          <w:lang w:val="en-US" w:eastAsia="zh-CN"/>
        </w:rPr>
        <w:t>强化食品安全监督抽检统筹</w:t>
      </w:r>
      <w:r>
        <w:rPr>
          <w:rFonts w:hint="default" w:ascii="Times New Roman" w:hAnsi="Times New Roman" w:eastAsia="仿宋_GB2312" w:cs="Times New Roman"/>
          <w:sz w:val="32"/>
          <w:szCs w:val="32"/>
          <w:lang w:val="en-US" w:eastAsia="zh-CN"/>
        </w:rPr>
        <w:t>，加大核查处置力度，切实防范区域性、规模性食品安全风险。加强重点领域食品安全监管，深入推进肉制品、校园食品、保健食品、网络订餐、农村假冒伪劣食品等综合治理，严厉打击各类食品安全违法犯罪。推进食品小作坊规范化管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强化无堂食外卖治理和餐饮环境监管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做好重大活动食品安全保障工作。加强特殊食品生产企业证后监管。深化食品行业潜规则治理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稳步推进实施食品安全“互联网+AI监管”，探索完善穿透式监管、非现场监管。</w:t>
      </w:r>
    </w:p>
    <w:p>
      <w:pPr>
        <w:keepNext w:val="0"/>
        <w:keepLines w:val="0"/>
        <w:pageBreakBefore w:val="0"/>
        <w:widowControl w:val="0"/>
        <w:kinsoku/>
        <w:wordWrap/>
        <w:overflowPunct/>
        <w:topLinePunct w:val="0"/>
        <w:autoSpaceDE/>
        <w:autoSpaceDN/>
        <w:bidi w:val="0"/>
        <w:adjustRightInd/>
        <w:snapToGrid/>
        <w:spacing w:after="313" w:afterLines="100"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健全“两品一械”安全监管体系。</w:t>
      </w:r>
      <w:r>
        <w:rPr>
          <w:rFonts w:hint="eastAsia" w:ascii="Times New Roman" w:hAnsi="Times New Roman" w:eastAsia="仿宋_GB2312" w:cs="Times New Roman"/>
          <w:sz w:val="32"/>
          <w:szCs w:val="32"/>
          <w:lang w:val="en-US" w:eastAsia="zh-CN"/>
        </w:rPr>
        <w:t>建立以风险评估、风险管理、风险交流为支撑的风险研判制度，加强</w:t>
      </w:r>
      <w:r>
        <w:rPr>
          <w:rFonts w:hint="default" w:ascii="Times New Roman" w:hAnsi="Times New Roman" w:eastAsia="仿宋_GB2312" w:cs="Times New Roman"/>
          <w:sz w:val="32"/>
          <w:szCs w:val="32"/>
          <w:lang w:val="en-US" w:eastAsia="zh-CN"/>
        </w:rPr>
        <w:t>药品、医疗器械、化妆品全生命周期监管，推动落实企业主体责任、部门监管责任和属地管理责任。加大风险隐患排查和处置力度，提升监督抽检、飞行检查和不良反应（事件）监测的协同效能，实现风险早识别、早预警、早处置。</w:t>
      </w:r>
      <w:r>
        <w:rPr>
          <w:rFonts w:hint="eastAsia" w:ascii="Times New Roman" w:hAnsi="Times New Roman" w:eastAsia="仿宋_GB2312" w:cs="Times New Roman"/>
          <w:sz w:val="32"/>
          <w:szCs w:val="32"/>
          <w:lang w:val="en-US" w:eastAsia="zh-CN"/>
        </w:rPr>
        <w:t>持续</w:t>
      </w:r>
      <w:r>
        <w:rPr>
          <w:rFonts w:hint="default" w:ascii="Times New Roman" w:hAnsi="Times New Roman" w:eastAsia="仿宋_GB2312" w:cs="Times New Roman"/>
          <w:sz w:val="32"/>
          <w:szCs w:val="32"/>
          <w:lang w:val="en-US" w:eastAsia="zh-CN"/>
        </w:rPr>
        <w:t>推进全链条药品追溯体系建设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健全医疗器械安全风险闭环管控机制，推动化妆品生产企业有因检查跟踪整改完成率达100%。完善自查报告、质量回顾和问题整改闭环管理，严防系统性、区域性“两品一械”安全风险。</w:t>
      </w:r>
    </w:p>
    <w:tbl>
      <w:tblPr>
        <w:tblStyle w:val="15"/>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pStyle w:val="7"/>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default" w:ascii="Times New Roman" w:hAnsi="Times New Roman" w:eastAsia="黑体" w:cs="Times New Roman"/>
                <w:szCs w:val="28"/>
                <w:vertAlign w:val="baseline"/>
                <w:lang w:val="en-US" w:eastAsia="zh-CN"/>
              </w:rPr>
            </w:pPr>
            <w:bookmarkStart w:id="16" w:name="_Toc5398"/>
            <w:r>
              <w:rPr>
                <w:rFonts w:hint="default" w:ascii="Times New Roman" w:hAnsi="Times New Roman" w:eastAsia="黑体" w:cs="Times New Roman"/>
                <w:b w:val="0"/>
                <w:bCs/>
                <w:sz w:val="28"/>
                <w:szCs w:val="28"/>
                <w:lang w:val="en-US" w:eastAsia="zh-CN"/>
              </w:rPr>
              <w:t>专栏6：实施食品药品检验检测能力提升工程</w:t>
            </w:r>
            <w:bookmarkEnd w:id="16"/>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eastAsia" w:ascii="Times New Roman" w:hAnsi="Times New Roman" w:eastAsia="仿宋_GB2312" w:cs="Times New Roman"/>
                <w:b w:val="0"/>
                <w:bCs w:val="0"/>
                <w:sz w:val="28"/>
                <w:szCs w:val="28"/>
                <w:vertAlign w:val="baseline"/>
                <w:lang w:val="en-US" w:eastAsia="zh-CN"/>
              </w:rPr>
            </w:pPr>
            <w:r>
              <w:rPr>
                <w:rFonts w:hint="eastAsia" w:ascii="Times New Roman" w:hAnsi="Times New Roman" w:eastAsia="仿宋_GB2312" w:cs="Times New Roman"/>
                <w:b/>
                <w:bCs/>
                <w:sz w:val="28"/>
                <w:szCs w:val="28"/>
                <w:vertAlign w:val="baseline"/>
                <w:lang w:val="en-US" w:eastAsia="zh-CN"/>
              </w:rPr>
              <w:t>支持</w:t>
            </w:r>
            <w:r>
              <w:rPr>
                <w:rFonts w:hint="default" w:ascii="Times New Roman" w:hAnsi="Times New Roman" w:eastAsia="仿宋_GB2312" w:cs="Times New Roman"/>
                <w:b/>
                <w:bCs/>
                <w:sz w:val="28"/>
                <w:szCs w:val="28"/>
                <w:vertAlign w:val="baseline"/>
                <w:lang w:val="en-US" w:eastAsia="zh-CN"/>
              </w:rPr>
              <w:t>汕头市检验检测中心</w:t>
            </w:r>
            <w:r>
              <w:rPr>
                <w:rFonts w:hint="eastAsia" w:ascii="Times New Roman" w:hAnsi="Times New Roman" w:eastAsia="仿宋_GB2312" w:cs="Times New Roman"/>
                <w:b/>
                <w:bCs/>
                <w:sz w:val="28"/>
                <w:szCs w:val="28"/>
                <w:vertAlign w:val="baseline"/>
                <w:lang w:val="en-US" w:eastAsia="zh-CN"/>
              </w:rPr>
              <w:t>加强食品检验检测体系</w:t>
            </w:r>
            <w:r>
              <w:rPr>
                <w:rFonts w:hint="default" w:ascii="Times New Roman" w:hAnsi="Times New Roman" w:eastAsia="仿宋_GB2312" w:cs="Times New Roman"/>
                <w:b/>
                <w:bCs/>
                <w:sz w:val="28"/>
                <w:szCs w:val="28"/>
                <w:vertAlign w:val="baseline"/>
                <w:lang w:val="en-US" w:eastAsia="zh-CN"/>
              </w:rPr>
              <w:t>建设</w:t>
            </w:r>
            <w:r>
              <w:rPr>
                <w:rFonts w:hint="eastAsia" w:ascii="Times New Roman" w:hAnsi="Times New Roman" w:eastAsia="仿宋_GB2312" w:cs="Times New Roman"/>
                <w:b/>
                <w:bCs/>
                <w:sz w:val="28"/>
                <w:szCs w:val="28"/>
                <w:vertAlign w:val="baseline"/>
                <w:lang w:val="en-US" w:eastAsia="zh-CN"/>
              </w:rPr>
              <w:t>。</w:t>
            </w:r>
            <w:r>
              <w:rPr>
                <w:rFonts w:hint="eastAsia" w:ascii="Times New Roman" w:hAnsi="Times New Roman" w:eastAsia="仿宋_GB2312" w:cs="Times New Roman"/>
                <w:b w:val="0"/>
                <w:bCs w:val="0"/>
                <w:sz w:val="28"/>
                <w:szCs w:val="28"/>
                <w:vertAlign w:val="baseline"/>
                <w:lang w:val="en-US" w:eastAsia="zh-CN"/>
              </w:rPr>
              <w:t>积极争取国家、省级相关政策和资金支持，</w:t>
            </w:r>
            <w:r>
              <w:rPr>
                <w:rFonts w:hint="default" w:ascii="Times New Roman" w:hAnsi="Times New Roman" w:eastAsia="仿宋_GB2312" w:cs="Times New Roman"/>
                <w:b w:val="0"/>
                <w:bCs w:val="0"/>
                <w:sz w:val="28"/>
                <w:szCs w:val="28"/>
                <w:vertAlign w:val="baseline"/>
                <w:lang w:val="en-US" w:eastAsia="zh-CN"/>
              </w:rPr>
              <w:t>购置更新仪器设备，拓展食品添加剂、非法添加物质、污染物、微生物等检测覆盖范围，补齐</w:t>
            </w:r>
            <w:r>
              <w:rPr>
                <w:rFonts w:hint="eastAsia" w:ascii="Times New Roman" w:hAnsi="Times New Roman" w:eastAsia="仿宋_GB2312" w:cs="Times New Roman"/>
                <w:b w:val="0"/>
                <w:bCs w:val="0"/>
                <w:sz w:val="28"/>
                <w:szCs w:val="28"/>
                <w:vertAlign w:val="baseline"/>
                <w:lang w:val="en-US" w:eastAsia="zh-CN"/>
              </w:rPr>
              <w:t>检验检测</w:t>
            </w:r>
            <w:r>
              <w:rPr>
                <w:rFonts w:hint="default" w:ascii="Times New Roman" w:hAnsi="Times New Roman" w:eastAsia="仿宋_GB2312" w:cs="Times New Roman"/>
                <w:b w:val="0"/>
                <w:bCs w:val="0"/>
                <w:sz w:val="28"/>
                <w:szCs w:val="28"/>
                <w:vertAlign w:val="baseline"/>
                <w:lang w:val="en-US" w:eastAsia="zh-CN"/>
              </w:rPr>
              <w:t>基础设施短板，强化应急检测与快速筛查能力</w:t>
            </w:r>
            <w:r>
              <w:rPr>
                <w:rFonts w:hint="eastAsia" w:ascii="Times New Roman" w:hAnsi="Times New Roman" w:eastAsia="仿宋_GB2312" w:cs="Times New Roman"/>
                <w:b w:val="0"/>
                <w:bCs w:val="0"/>
                <w:sz w:val="28"/>
                <w:szCs w:val="28"/>
                <w:vertAlign w:val="baseline"/>
                <w:lang w:val="en-US" w:eastAsia="zh-CN"/>
              </w:rPr>
              <w:t>。鼓励聚焦食品检测关键技术、新型检测方法开展科研攻关，加强技能培训与实操演练，培育专业化复合型检测人才。推进区域检验检测公用品牌建设。</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仿宋_GB2312" w:cs="Times New Roman"/>
                <w:sz w:val="28"/>
                <w:szCs w:val="28"/>
                <w:vertAlign w:val="baseline"/>
                <w:lang w:val="en-US" w:eastAsia="zh-CN"/>
              </w:rPr>
            </w:pPr>
            <w:r>
              <w:rPr>
                <w:rFonts w:hint="eastAsia" w:ascii="Times New Roman" w:hAnsi="Times New Roman" w:eastAsia="仿宋_GB2312" w:cs="Times New Roman"/>
                <w:b/>
                <w:bCs/>
                <w:sz w:val="28"/>
                <w:szCs w:val="28"/>
                <w:vertAlign w:val="baseline"/>
                <w:lang w:val="en-US" w:eastAsia="zh-CN"/>
              </w:rPr>
              <w:t>支持</w:t>
            </w:r>
            <w:r>
              <w:rPr>
                <w:rFonts w:hint="default" w:ascii="Times New Roman" w:hAnsi="Times New Roman" w:eastAsia="仿宋_GB2312" w:cs="Times New Roman"/>
                <w:b/>
                <w:bCs/>
                <w:sz w:val="28"/>
                <w:szCs w:val="28"/>
                <w:vertAlign w:val="baseline"/>
                <w:lang w:val="en-US" w:eastAsia="zh-CN"/>
              </w:rPr>
              <w:t>汕头市药品检验所</w:t>
            </w:r>
            <w:r>
              <w:rPr>
                <w:rFonts w:hint="eastAsia" w:ascii="Times New Roman" w:hAnsi="Times New Roman" w:eastAsia="仿宋_GB2312" w:cs="Times New Roman"/>
                <w:b/>
                <w:bCs/>
                <w:sz w:val="28"/>
                <w:szCs w:val="28"/>
                <w:vertAlign w:val="baseline"/>
                <w:lang w:val="en-US" w:eastAsia="zh-CN"/>
              </w:rPr>
              <w:t>加强药品、化妆品检验检测体系建设。</w:t>
            </w:r>
            <w:r>
              <w:rPr>
                <w:rFonts w:hint="eastAsia" w:ascii="Times New Roman" w:hAnsi="Times New Roman" w:eastAsia="仿宋_GB2312" w:cs="Times New Roman"/>
                <w:b w:val="0"/>
                <w:bCs w:val="0"/>
                <w:sz w:val="28"/>
                <w:szCs w:val="28"/>
                <w:vertAlign w:val="baseline"/>
                <w:lang w:val="en-US" w:eastAsia="zh-CN"/>
              </w:rPr>
              <w:t>积极争取国家、省级相关政策和资金支持，</w:t>
            </w:r>
            <w:r>
              <w:rPr>
                <w:rFonts w:hint="default" w:ascii="Times New Roman" w:hAnsi="Times New Roman" w:eastAsia="仿宋_GB2312" w:cs="Times New Roman"/>
                <w:b w:val="0"/>
                <w:bCs w:val="0"/>
                <w:sz w:val="28"/>
                <w:szCs w:val="28"/>
                <w:vertAlign w:val="baseline"/>
                <w:lang w:val="en-US" w:eastAsia="zh-CN"/>
              </w:rPr>
              <w:t>改造升级硬件设备，优化实验室功能布局，持续开展能力扩项工作，</w:t>
            </w:r>
            <w:r>
              <w:rPr>
                <w:rFonts w:hint="eastAsia" w:ascii="Times New Roman" w:hAnsi="Times New Roman" w:eastAsia="仿宋_GB2312" w:cs="Times New Roman"/>
                <w:b w:val="0"/>
                <w:bCs w:val="0"/>
                <w:sz w:val="28"/>
                <w:szCs w:val="28"/>
                <w:vertAlign w:val="baseline"/>
                <w:lang w:val="en-US" w:eastAsia="zh-CN"/>
              </w:rPr>
              <w:t>更好满足药品、化妆品批量、快速检验检测和监管技术保障需求。鼓励发挥技术优势，帮扶企业开展标准制修订、复核、验证等工作。鼓励科研创新，加强专业技术人才引进和培养。</w:t>
            </w:r>
          </w:p>
        </w:tc>
      </w:tr>
    </w:tbl>
    <w:p>
      <w:pPr>
        <w:keepNext w:val="0"/>
        <w:keepLines w:val="0"/>
        <w:pageBreakBefore w:val="0"/>
        <w:widowControl w:val="0"/>
        <w:kinsoku/>
        <w:wordWrap/>
        <w:overflowPunct/>
        <w:topLinePunct w:val="0"/>
        <w:autoSpaceDE/>
        <w:autoSpaceDN/>
        <w:bidi w:val="0"/>
        <w:adjustRightInd/>
        <w:snapToGrid/>
        <w:spacing w:before="313" w:beforeLines="100"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完善工业产品质量安全源头治理体系。</w:t>
      </w:r>
      <w:r>
        <w:rPr>
          <w:rFonts w:hint="default" w:ascii="Times New Roman" w:hAnsi="Times New Roman" w:eastAsia="仿宋_GB2312" w:cs="Times New Roman"/>
          <w:sz w:val="32"/>
          <w:szCs w:val="32"/>
          <w:lang w:val="en-US" w:eastAsia="zh-CN"/>
        </w:rPr>
        <w:t>完善产品质量监督抽查制度，推广“快检筛查＋常规抽样”抽查模式，逐步扩大重点高风险产品抽查比重。开展工业产品质量分级管理，实施质量信用分类监管。</w:t>
      </w:r>
      <w:r>
        <w:rPr>
          <w:rFonts w:hint="eastAsia" w:ascii="Times New Roman" w:hAnsi="Times New Roman" w:eastAsia="仿宋_GB2312" w:cs="Times New Roman"/>
          <w:sz w:val="32"/>
          <w:szCs w:val="32"/>
          <w:lang w:val="en-US" w:eastAsia="zh-CN"/>
        </w:rPr>
        <w:t>强化</w:t>
      </w:r>
      <w:r>
        <w:rPr>
          <w:rFonts w:hint="default" w:ascii="Times New Roman" w:hAnsi="Times New Roman" w:eastAsia="仿宋_GB2312" w:cs="Times New Roman"/>
          <w:sz w:val="32"/>
          <w:szCs w:val="32"/>
          <w:lang w:val="en-US" w:eastAsia="zh-CN"/>
        </w:rPr>
        <w:t>电动自行车及配件、燃气用具、消防产品、危险化学品相关产品、建筑保温材料等高风险产品隐患排查治理，严厉查处质量违法违规行为。</w:t>
      </w:r>
      <w:r>
        <w:rPr>
          <w:rFonts w:hint="eastAsia" w:ascii="Times New Roman" w:hAnsi="Times New Roman" w:eastAsia="仿宋_GB2312" w:cs="Times New Roman"/>
          <w:sz w:val="32"/>
          <w:szCs w:val="32"/>
          <w:lang w:val="en-US" w:eastAsia="zh-CN"/>
        </w:rPr>
        <w:t>推动</w:t>
      </w:r>
      <w:r>
        <w:rPr>
          <w:rFonts w:hint="default" w:ascii="Times New Roman" w:hAnsi="Times New Roman" w:eastAsia="仿宋_GB2312" w:cs="Times New Roman"/>
          <w:sz w:val="32"/>
          <w:szCs w:val="32"/>
          <w:lang w:val="en-US" w:eastAsia="zh-CN"/>
        </w:rPr>
        <w:t>建立重点工业产品生产单位“源头赋码”、销售单位“扫码验证”、消费者“识码辨别”的“一码贯通”机制，构建从生产到消费的全链条质量安全追溯体系。实施缺陷产品召回管理。开展“质量提质”</w:t>
      </w:r>
      <w:r>
        <w:rPr>
          <w:rFonts w:hint="eastAsia" w:ascii="Times New Roman" w:hAnsi="Times New Roman" w:eastAsia="仿宋_GB2312" w:cs="Times New Roman"/>
          <w:sz w:val="32"/>
          <w:szCs w:val="32"/>
          <w:lang w:val="en-US" w:eastAsia="zh-CN"/>
        </w:rPr>
        <w:t>帮扶</w:t>
      </w:r>
      <w:r>
        <w:rPr>
          <w:rFonts w:hint="default" w:ascii="Times New Roman" w:hAnsi="Times New Roman" w:eastAsia="仿宋_GB2312" w:cs="Times New Roman"/>
          <w:sz w:val="32"/>
          <w:szCs w:val="32"/>
          <w:lang w:val="en-US" w:eastAsia="zh-CN"/>
        </w:rPr>
        <w:t>行动，助推企业清除根源性产品质量问题。</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深化特种设备安全监察责任体系。</w:t>
      </w:r>
      <w:r>
        <w:rPr>
          <w:rFonts w:hint="default" w:ascii="Times New Roman" w:hAnsi="Times New Roman" w:eastAsia="仿宋_GB2312" w:cs="Times New Roman"/>
          <w:sz w:val="32"/>
          <w:szCs w:val="32"/>
          <w:lang w:val="en-US" w:eastAsia="zh-CN"/>
        </w:rPr>
        <w:t>常态化落实特种设备“两个规定”，完善特种设备全生命周期追溯体系和隐患治理闭环机制，压实特种设备生产、使用单位主体责任和属地监管责任。深入开展涉危化品特种设备、起重机械、电梯、大型游乐设施、叉车等安全隐患专项治理和“回头看”，构建特种设备风险差异化管控排查机制。强化特种设备安全电子监管系统的应用，完善全市特种设备数据底座。加快老旧电梯更新改造，推进电梯维保“反内卷”。做好重大活动和重点时段特种设备安全保障。持续开展大型游乐设施等特种设备应急救援演练、电梯安装维修工职业技能竞赛等，促进特种设备作业人员能力提升。严查无证操作、违章作业</w:t>
      </w:r>
      <w:r>
        <w:rPr>
          <w:rFonts w:hint="eastAsia" w:ascii="Times New Roman" w:hAnsi="Times New Roman" w:eastAsia="仿宋_GB2312" w:cs="Times New Roman"/>
          <w:sz w:val="32"/>
          <w:szCs w:val="32"/>
          <w:lang w:val="en-US" w:eastAsia="zh-CN"/>
        </w:rPr>
        <w:t>。</w:t>
      </w:r>
    </w:p>
    <w:p>
      <w:pPr>
        <w:pStyle w:val="6"/>
        <w:keepNext w:val="0"/>
        <w:keepLines w:val="0"/>
        <w:pageBreakBefore w:val="0"/>
        <w:widowControl w:val="0"/>
        <w:kinsoku/>
        <w:wordWrap/>
        <w:overflowPunct/>
        <w:topLinePunct w:val="0"/>
        <w:autoSpaceDE/>
        <w:autoSpaceDN/>
        <w:bidi w:val="0"/>
        <w:adjustRightInd/>
        <w:snapToGrid/>
        <w:spacing w:before="0" w:line="580" w:lineRule="exact"/>
        <w:ind w:firstLine="640" w:firstLineChars="200"/>
        <w:jc w:val="left"/>
        <w:textAlignment w:val="auto"/>
        <w:rPr>
          <w:rFonts w:hint="default" w:ascii="Times New Roman" w:hAnsi="Times New Roman" w:eastAsia="楷体_GB2312" w:cs="Times New Roman"/>
          <w:sz w:val="32"/>
          <w:szCs w:val="32"/>
          <w:lang w:val="en-US" w:eastAsia="zh-CN"/>
        </w:rPr>
      </w:pPr>
      <w:bookmarkStart w:id="17" w:name="_Toc24283"/>
      <w:r>
        <w:rPr>
          <w:rFonts w:hint="eastAsia" w:ascii="Times New Roman" w:hAnsi="Times New Roman" w:eastAsia="楷体_GB2312" w:cs="Times New Roman"/>
          <w:sz w:val="32"/>
          <w:szCs w:val="32"/>
          <w:lang w:val="en-US" w:eastAsia="zh-CN"/>
        </w:rPr>
        <w:t>（</w:t>
      </w:r>
      <w:r>
        <w:rPr>
          <w:rFonts w:hint="default" w:ascii="Times New Roman" w:hAnsi="Times New Roman" w:eastAsia="楷体_GB2312" w:cs="Times New Roman"/>
          <w:sz w:val="32"/>
          <w:szCs w:val="32"/>
          <w:lang w:val="en-US" w:eastAsia="zh-CN"/>
        </w:rPr>
        <w:t>六</w:t>
      </w:r>
      <w:r>
        <w:rPr>
          <w:rFonts w:hint="eastAsia" w:ascii="Times New Roman" w:hAnsi="Times New Roman" w:eastAsia="楷体_GB2312" w:cs="Times New Roman"/>
          <w:sz w:val="32"/>
          <w:szCs w:val="32"/>
          <w:lang w:val="en-US" w:eastAsia="zh-CN"/>
        </w:rPr>
        <w:t>）</w:t>
      </w:r>
      <w:bookmarkEnd w:id="17"/>
      <w:r>
        <w:rPr>
          <w:rFonts w:hint="eastAsia" w:ascii="Times New Roman" w:hAnsi="Times New Roman" w:eastAsia="楷体_GB2312" w:cs="Times New Roman"/>
          <w:sz w:val="32"/>
          <w:szCs w:val="32"/>
          <w:lang w:val="en-US" w:eastAsia="zh-CN"/>
        </w:rPr>
        <w:t>加强高素质专业化干部队伍建设，</w:t>
      </w:r>
      <w:bookmarkStart w:id="18" w:name="_Toc7247"/>
      <w:bookmarkStart w:id="19" w:name="_Toc2068"/>
      <w:r>
        <w:rPr>
          <w:rFonts w:hint="eastAsia" w:ascii="Times New Roman" w:hAnsi="Times New Roman" w:eastAsia="楷体_GB2312" w:cs="Times New Roman"/>
          <w:sz w:val="32"/>
          <w:szCs w:val="32"/>
          <w:lang w:val="en-US" w:eastAsia="zh-CN"/>
        </w:rPr>
        <w:t>全面</w:t>
      </w:r>
      <w:r>
        <w:rPr>
          <w:rFonts w:hint="default" w:ascii="Times New Roman" w:hAnsi="Times New Roman" w:eastAsia="楷体_GB2312" w:cs="Times New Roman"/>
          <w:sz w:val="32"/>
          <w:szCs w:val="32"/>
          <w:lang w:val="en-US" w:eastAsia="zh-CN"/>
        </w:rPr>
        <w:t>提升</w:t>
      </w:r>
      <w:r>
        <w:rPr>
          <w:rFonts w:hint="eastAsia" w:ascii="Times New Roman" w:hAnsi="Times New Roman" w:eastAsia="楷体_GB2312" w:cs="Times New Roman"/>
          <w:sz w:val="32"/>
          <w:szCs w:val="32"/>
          <w:lang w:val="en-US" w:eastAsia="zh-CN"/>
        </w:rPr>
        <w:t>市场</w:t>
      </w:r>
      <w:r>
        <w:rPr>
          <w:rFonts w:hint="default" w:ascii="Times New Roman" w:hAnsi="Times New Roman" w:eastAsia="楷体_GB2312" w:cs="Times New Roman"/>
          <w:sz w:val="32"/>
          <w:szCs w:val="32"/>
          <w:lang w:val="en-US" w:eastAsia="zh-CN"/>
        </w:rPr>
        <w:t>综合监管</w:t>
      </w:r>
      <w:bookmarkEnd w:id="18"/>
      <w:bookmarkEnd w:id="19"/>
      <w:r>
        <w:rPr>
          <w:rFonts w:hint="eastAsia" w:ascii="Times New Roman" w:hAnsi="Times New Roman" w:eastAsia="楷体_GB2312" w:cs="Times New Roman"/>
          <w:sz w:val="32"/>
          <w:szCs w:val="32"/>
          <w:lang w:val="en-US" w:eastAsia="zh-CN"/>
        </w:rPr>
        <w:t>效能</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提升法治监管效能。</w:t>
      </w:r>
      <w:r>
        <w:rPr>
          <w:rFonts w:hint="default" w:ascii="Times New Roman" w:hAnsi="Times New Roman" w:eastAsia="仿宋_GB2312" w:cs="Times New Roman"/>
          <w:sz w:val="32"/>
          <w:szCs w:val="32"/>
          <w:lang w:val="en-US" w:eastAsia="zh-CN"/>
        </w:rPr>
        <w:t>加快推动与“十五五”时期监管需求相适应的规范性文件制修订，强化新经济、新业态监管制度供给。建立和推行案例指导制度，全面落实行政裁量权基准制度，防止“小过重罚”“一刀切执法”。强化行政执法监督，严格落实行政执法“三项制度”，规范执法办案程序，统一执法标准和文书格式，开展行政执法案卷评查，完善行刑衔接，构建权责清晰、程序严密、运行高效、监督有力的行政执法体系。全面推进严格规范公正文明执法，坚决纠治乱检查、乱查封、乱罚款、乱收费以及违规异地执法、趋利性执法。加强法治宣传教育，落实“谁执法谁普法”责任制。</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kern w:val="0"/>
          <w:sz w:val="32"/>
          <w:szCs w:val="32"/>
          <w:lang w:val="en-US" w:eastAsia="zh-CN"/>
        </w:rPr>
      </w:pPr>
      <w:r>
        <w:rPr>
          <w:rFonts w:hint="default" w:ascii="Times New Roman" w:hAnsi="Times New Roman" w:eastAsia="仿宋_GB2312" w:cs="Times New Roman"/>
          <w:b/>
          <w:bCs/>
          <w:sz w:val="32"/>
          <w:szCs w:val="32"/>
          <w:lang w:val="en-US" w:eastAsia="zh-CN"/>
        </w:rPr>
        <w:t>提升信用监管效能。</w:t>
      </w:r>
      <w:r>
        <w:rPr>
          <w:rFonts w:hint="default" w:ascii="Times New Roman" w:hAnsi="Times New Roman" w:eastAsia="仿宋_GB2312" w:cs="Times New Roman"/>
          <w:kern w:val="0"/>
          <w:sz w:val="32"/>
          <w:szCs w:val="32"/>
          <w:lang w:val="en-US" w:eastAsia="zh-CN"/>
        </w:rPr>
        <w:t>依托国家企业信用信息公示系统等信用信息平台，动态</w:t>
      </w:r>
      <w:r>
        <w:rPr>
          <w:rFonts w:hint="eastAsia" w:ascii="Times New Roman" w:hAnsi="Times New Roman" w:eastAsia="仿宋_GB2312" w:cs="Times New Roman"/>
          <w:kern w:val="0"/>
          <w:sz w:val="32"/>
          <w:szCs w:val="32"/>
          <w:lang w:val="en-US" w:eastAsia="zh-CN"/>
        </w:rPr>
        <w:t>完善</w:t>
      </w:r>
      <w:r>
        <w:rPr>
          <w:rFonts w:hint="default" w:ascii="Times New Roman" w:hAnsi="Times New Roman" w:eastAsia="仿宋_GB2312" w:cs="Times New Roman"/>
          <w:kern w:val="0"/>
          <w:sz w:val="32"/>
          <w:szCs w:val="32"/>
          <w:lang w:val="en-US" w:eastAsia="zh-CN"/>
        </w:rPr>
        <w:t>经营主体信用档案，健全涉企信用信息归集共享机制。</w:t>
      </w:r>
      <w:r>
        <w:rPr>
          <w:rFonts w:hint="eastAsia" w:ascii="Times New Roman" w:hAnsi="Times New Roman" w:eastAsia="仿宋_GB2312" w:cs="Times New Roman"/>
          <w:kern w:val="0"/>
          <w:sz w:val="32"/>
          <w:szCs w:val="32"/>
          <w:lang w:val="en-US" w:eastAsia="zh-CN"/>
        </w:rPr>
        <w:t>规范</w:t>
      </w:r>
      <w:r>
        <w:rPr>
          <w:rFonts w:hint="default" w:ascii="Times New Roman" w:hAnsi="Times New Roman" w:eastAsia="仿宋_GB2312" w:cs="Times New Roman"/>
          <w:kern w:val="0"/>
          <w:sz w:val="32"/>
          <w:szCs w:val="32"/>
          <w:lang w:val="en-US" w:eastAsia="zh-CN"/>
        </w:rPr>
        <w:t>信用联合奖惩，细化失信惩戒措施清单，</w:t>
      </w:r>
      <w:r>
        <w:rPr>
          <w:rFonts w:hint="eastAsia" w:ascii="Times New Roman" w:hAnsi="Times New Roman" w:eastAsia="仿宋_GB2312" w:cs="Times New Roman"/>
          <w:kern w:val="0"/>
          <w:sz w:val="32"/>
          <w:szCs w:val="32"/>
          <w:lang w:val="en-US" w:eastAsia="zh-CN"/>
        </w:rPr>
        <w:t>落实</w:t>
      </w:r>
      <w:r>
        <w:rPr>
          <w:rFonts w:hint="default" w:ascii="Times New Roman" w:hAnsi="Times New Roman" w:eastAsia="仿宋_GB2312" w:cs="Times New Roman"/>
          <w:kern w:val="0"/>
          <w:sz w:val="32"/>
          <w:szCs w:val="32"/>
          <w:lang w:val="en-US" w:eastAsia="zh-CN"/>
        </w:rPr>
        <w:t>“清单之外无惩戒”</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构建“一处失信、处处受限”联合惩戒格局。健全信用修复协同机制，规范经营异常名录和严重违法失信名单管理，依法依规、审慎严谨做好列入、移出工作。深化信用风险分类与双随机监管嵌入式融合</w:t>
      </w:r>
      <w:r>
        <w:rPr>
          <w:rFonts w:hint="eastAsia" w:ascii="Times New Roman" w:hAnsi="Times New Roman" w:eastAsia="仿宋_GB2312" w:cs="Times New Roman"/>
          <w:kern w:val="0"/>
          <w:sz w:val="32"/>
          <w:szCs w:val="32"/>
          <w:lang w:val="en-US" w:eastAsia="zh-CN"/>
        </w:rPr>
        <w:t>，</w:t>
      </w:r>
      <w:r>
        <w:rPr>
          <w:rFonts w:hint="default" w:ascii="Times New Roman" w:hAnsi="Times New Roman" w:eastAsia="仿宋_GB2312" w:cs="Times New Roman"/>
          <w:kern w:val="0"/>
          <w:sz w:val="32"/>
          <w:szCs w:val="32"/>
          <w:lang w:val="en-US" w:eastAsia="zh-CN"/>
        </w:rPr>
        <w:t>探索信用承诺与履诺监管闭环机制，拓展</w:t>
      </w:r>
      <w:r>
        <w:rPr>
          <w:rFonts w:hint="eastAsia" w:ascii="Times New Roman" w:hAnsi="Times New Roman" w:eastAsia="仿宋_GB2312" w:cs="Times New Roman"/>
          <w:kern w:val="0"/>
          <w:sz w:val="32"/>
          <w:szCs w:val="32"/>
          <w:lang w:val="en-US" w:eastAsia="zh-CN"/>
        </w:rPr>
        <w:t>园区、新业态</w:t>
      </w:r>
      <w:r>
        <w:rPr>
          <w:rFonts w:hint="default" w:ascii="Times New Roman" w:hAnsi="Times New Roman" w:eastAsia="仿宋_GB2312" w:cs="Times New Roman"/>
          <w:kern w:val="0"/>
          <w:sz w:val="32"/>
          <w:szCs w:val="32"/>
          <w:lang w:val="en-US" w:eastAsia="zh-CN"/>
        </w:rPr>
        <w:t>“信用+”应用场景。</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提升智慧监管效能。</w:t>
      </w:r>
      <w:r>
        <w:rPr>
          <w:rFonts w:hint="default" w:ascii="Times New Roman" w:hAnsi="Times New Roman" w:eastAsia="仿宋_GB2312" w:cs="Times New Roman"/>
          <w:sz w:val="32"/>
          <w:szCs w:val="32"/>
          <w:lang w:val="en-US" w:eastAsia="zh-CN"/>
        </w:rPr>
        <w:t>探索</w:t>
      </w:r>
      <w:r>
        <w:rPr>
          <w:rFonts w:hint="eastAsia" w:ascii="Times New Roman" w:hAnsi="Times New Roman" w:eastAsia="仿宋_GB2312" w:cs="Times New Roman"/>
          <w:sz w:val="32"/>
          <w:szCs w:val="32"/>
          <w:lang w:val="en-US" w:eastAsia="zh-CN"/>
        </w:rPr>
        <w:t>推进</w:t>
      </w:r>
      <w:r>
        <w:rPr>
          <w:rFonts w:hint="default" w:ascii="Times New Roman" w:hAnsi="Times New Roman" w:eastAsia="仿宋_GB2312" w:cs="Times New Roman"/>
          <w:sz w:val="32"/>
          <w:szCs w:val="32"/>
          <w:lang w:val="en-US" w:eastAsia="zh-CN"/>
        </w:rPr>
        <w:t>人工智能技术在</w:t>
      </w:r>
      <w:r>
        <w:rPr>
          <w:rFonts w:hint="eastAsia" w:ascii="Times New Roman" w:hAnsi="Times New Roman" w:eastAsia="仿宋_GB2312" w:cs="Times New Roman"/>
          <w:sz w:val="32"/>
          <w:szCs w:val="32"/>
          <w:lang w:val="en-US" w:eastAsia="zh-CN"/>
        </w:rPr>
        <w:t>许可服务、网络餐饮、特种设备、质量安全和执法办案等关键</w:t>
      </w:r>
      <w:r>
        <w:rPr>
          <w:rFonts w:hint="default" w:ascii="Times New Roman" w:hAnsi="Times New Roman" w:eastAsia="仿宋_GB2312" w:cs="Times New Roman"/>
          <w:sz w:val="32"/>
          <w:szCs w:val="32"/>
          <w:lang w:val="en-US" w:eastAsia="zh-CN"/>
        </w:rPr>
        <w:t>领域的</w:t>
      </w:r>
      <w:r>
        <w:rPr>
          <w:rFonts w:hint="eastAsia" w:ascii="Times New Roman" w:hAnsi="Times New Roman" w:eastAsia="仿宋_GB2312" w:cs="Times New Roman"/>
          <w:sz w:val="32"/>
          <w:szCs w:val="32"/>
          <w:lang w:val="en-US" w:eastAsia="zh-CN"/>
        </w:rPr>
        <w:t>融合</w:t>
      </w:r>
      <w:r>
        <w:rPr>
          <w:rFonts w:hint="default" w:ascii="Times New Roman" w:hAnsi="Times New Roman" w:eastAsia="仿宋_GB2312" w:cs="Times New Roman"/>
          <w:sz w:val="32"/>
          <w:szCs w:val="32"/>
          <w:lang w:val="en-US" w:eastAsia="zh-CN"/>
        </w:rPr>
        <w:t>应用，打造“AI＋”场景，强化风险自动识别、精准预警和即时响应，提升非现场监管、穿透式监管和闭环监管能力。持续推进“融合监管通”应用，为基层减负增效。加大信息整合力度，强化数据归集共享和分析研判，推动许可、信用、监管、执法等数据互联互通。注重增强网络安全技术防护能力和保障措施。</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加强人才培养和基层基础建设。</w:t>
      </w:r>
      <w:r>
        <w:rPr>
          <w:rFonts w:hint="default" w:ascii="Times New Roman" w:hAnsi="Times New Roman" w:eastAsia="仿宋_GB2312" w:cs="Times New Roman"/>
          <w:sz w:val="32"/>
          <w:szCs w:val="32"/>
          <w:lang w:val="en-US" w:eastAsia="zh-CN"/>
        </w:rPr>
        <w:t>树立实干实绩导向，构建“选育管用”全链条人才培养机制，</w:t>
      </w:r>
      <w:r>
        <w:rPr>
          <w:rFonts w:hint="eastAsia" w:ascii="Times New Roman" w:hAnsi="Times New Roman" w:eastAsia="仿宋_GB2312" w:cs="Times New Roman"/>
          <w:sz w:val="32"/>
          <w:szCs w:val="32"/>
          <w:lang w:val="en-US" w:eastAsia="zh-CN"/>
        </w:rPr>
        <w:t>常态化长效化推进市场监管行风建设，努力打造一支政治过硬、业务精湛、本领高强、作风优良、充满活力的高素质专业化市场监管干部队伍。</w:t>
      </w:r>
      <w:r>
        <w:rPr>
          <w:rFonts w:hint="default" w:ascii="Times New Roman" w:hAnsi="Times New Roman" w:eastAsia="仿宋_GB2312" w:cs="Times New Roman"/>
          <w:sz w:val="32"/>
          <w:szCs w:val="32"/>
          <w:lang w:val="en-US" w:eastAsia="zh-CN"/>
        </w:rPr>
        <w:t>优化市、区（县）、所三级监管事权划分，建立健全履职清单。深化市场监管所标准化规范化建设，持续推进星级评价，</w:t>
      </w:r>
      <w:r>
        <w:rPr>
          <w:rFonts w:hint="eastAsia" w:ascii="Times New Roman" w:hAnsi="Times New Roman" w:eastAsia="仿宋_GB2312" w:cs="Times New Roman"/>
          <w:sz w:val="32"/>
          <w:szCs w:val="32"/>
          <w:lang w:val="en-US" w:eastAsia="zh-CN"/>
        </w:rPr>
        <w:t>加强对基层干部法律法规、执法实务、智慧监管工具应用等方面的系统化、实战化培训，支持</w:t>
      </w:r>
      <w:r>
        <w:rPr>
          <w:rFonts w:hint="default" w:ascii="Times New Roman" w:hAnsi="Times New Roman" w:eastAsia="仿宋_GB2312" w:cs="Times New Roman"/>
          <w:sz w:val="32"/>
          <w:szCs w:val="32"/>
          <w:lang w:val="en-US" w:eastAsia="zh-CN"/>
        </w:rPr>
        <w:t>基础设施装备</w:t>
      </w:r>
      <w:r>
        <w:rPr>
          <w:rFonts w:hint="eastAsia" w:ascii="Times New Roman" w:hAnsi="Times New Roman" w:eastAsia="仿宋_GB2312" w:cs="Times New Roman"/>
          <w:sz w:val="32"/>
          <w:szCs w:val="32"/>
          <w:lang w:val="en-US" w:eastAsia="zh-CN"/>
        </w:rPr>
        <w:t>更新升级，推动更多监管资源配置向基层倾斜。</w:t>
      </w:r>
    </w:p>
    <w:p>
      <w:pPr>
        <w:keepNext w:val="0"/>
        <w:keepLines w:val="0"/>
        <w:pageBreakBefore w:val="0"/>
        <w:widowControl w:val="0"/>
        <w:kinsoku/>
        <w:wordWrap/>
        <w:overflowPunct/>
        <w:topLinePunct w:val="0"/>
        <w:autoSpaceDE/>
        <w:autoSpaceDN/>
        <w:bidi w:val="0"/>
        <w:adjustRightInd/>
        <w:snapToGrid/>
        <w:spacing w:line="580" w:lineRule="exact"/>
        <w:ind w:firstLine="643"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扎实</w:t>
      </w:r>
      <w:r>
        <w:rPr>
          <w:rFonts w:hint="default" w:ascii="Times New Roman" w:hAnsi="Times New Roman" w:eastAsia="仿宋_GB2312" w:cs="Times New Roman"/>
          <w:b/>
          <w:bCs/>
          <w:sz w:val="32"/>
          <w:szCs w:val="32"/>
          <w:lang w:val="en-US" w:eastAsia="zh-CN"/>
        </w:rPr>
        <w:t>推进市场监管文化建设。</w:t>
      </w:r>
      <w:r>
        <w:rPr>
          <w:rFonts w:hint="default" w:ascii="Times New Roman" w:hAnsi="Times New Roman" w:eastAsia="仿宋_GB2312" w:cs="Times New Roman"/>
          <w:sz w:val="32"/>
          <w:szCs w:val="32"/>
          <w:lang w:val="en-US" w:eastAsia="zh-CN"/>
        </w:rPr>
        <w:t>常态化开展文化专题学习研讨，推动文化理念与监管实践深度融合，</w:t>
      </w:r>
      <w:r>
        <w:rPr>
          <w:rFonts w:hint="eastAsia" w:ascii="Times New Roman" w:hAnsi="Times New Roman" w:eastAsia="仿宋_GB2312" w:cs="Times New Roman"/>
          <w:sz w:val="32"/>
          <w:szCs w:val="32"/>
          <w:lang w:val="en-US" w:eastAsia="zh-CN"/>
        </w:rPr>
        <w:t>不断</w:t>
      </w:r>
      <w:r>
        <w:rPr>
          <w:rFonts w:hint="default" w:ascii="Times New Roman" w:hAnsi="Times New Roman" w:eastAsia="仿宋_GB2312" w:cs="Times New Roman"/>
          <w:sz w:val="32"/>
          <w:szCs w:val="32"/>
          <w:lang w:val="en-US" w:eastAsia="zh-CN"/>
        </w:rPr>
        <w:t>增进价值认同、情感认同、职业认同，凝聚干事创业强大共识。加强文化阵地建设，积极组织开展和参加各级各类知识竞赛、主题征文、演讲比赛、比武练兵等文化活动，不断丰富文化实践，选树宣传爱岗敬业、监管为民、纪律严明等先进典型，</w:t>
      </w:r>
      <w:r>
        <w:rPr>
          <w:rFonts w:hint="eastAsia" w:ascii="Times New Roman" w:hAnsi="Times New Roman" w:eastAsia="仿宋_GB2312" w:cs="Times New Roman"/>
          <w:sz w:val="32"/>
          <w:szCs w:val="32"/>
          <w:lang w:val="en-US" w:eastAsia="zh-CN"/>
        </w:rPr>
        <w:t>增强</w:t>
      </w:r>
      <w:r>
        <w:rPr>
          <w:rFonts w:hint="default" w:ascii="Times New Roman" w:hAnsi="Times New Roman" w:eastAsia="仿宋_GB2312" w:cs="Times New Roman"/>
          <w:sz w:val="32"/>
          <w:szCs w:val="32"/>
          <w:lang w:val="en-US" w:eastAsia="zh-CN"/>
        </w:rPr>
        <w:t>干部职工归属感、荣誉感。持续壮大市场监管主流舆论，严格落实网络意识形态工作责任制</w:t>
      </w:r>
      <w:bookmarkStart w:id="20" w:name="_Toc22397"/>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三、实施保障</w:t>
      </w:r>
      <w:bookmarkEnd w:id="20"/>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楷体_GB2312" w:hAnsi="楷体_GB2312" w:eastAsia="楷体_GB2312" w:cs="楷体_GB2312"/>
          <w:sz w:val="32"/>
          <w:szCs w:val="32"/>
          <w:lang w:val="en-US" w:eastAsia="zh-CN"/>
        </w:rPr>
      </w:pPr>
      <w:bookmarkStart w:id="21" w:name="_Toc25700"/>
      <w:r>
        <w:rPr>
          <w:rFonts w:hint="eastAsia" w:ascii="楷体_GB2312" w:hAnsi="楷体_GB2312" w:eastAsia="楷体_GB2312" w:cs="楷体_GB2312"/>
          <w:sz w:val="32"/>
          <w:szCs w:val="32"/>
          <w:lang w:val="en-US" w:eastAsia="zh-CN"/>
        </w:rPr>
        <w:t>（一）强化组织领导</w:t>
      </w:r>
      <w:bookmarkEnd w:id="21"/>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坚持把党的领导贯穿规划组织实施的全过程各方面，加强统筹协调和指导督促，研究细化落实规划的具体举措</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建立健全部门协同、上下联动、执行有力的推进机制</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形成工作合力，确保规划提出的各项目标任务有序推进、落地落实。</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楷体_GB2312" w:hAnsi="楷体_GB2312" w:eastAsia="楷体_GB2312" w:cs="楷体_GB2312"/>
          <w:sz w:val="32"/>
          <w:szCs w:val="32"/>
          <w:lang w:val="en-US" w:eastAsia="zh-CN"/>
        </w:rPr>
      </w:pPr>
      <w:bookmarkStart w:id="22" w:name="_Toc11754"/>
      <w:r>
        <w:rPr>
          <w:rFonts w:hint="eastAsia" w:ascii="楷体_GB2312" w:hAnsi="楷体_GB2312" w:eastAsia="楷体_GB2312" w:cs="楷体_GB2312"/>
          <w:sz w:val="32"/>
          <w:szCs w:val="32"/>
          <w:lang w:val="en-US" w:eastAsia="zh-CN"/>
        </w:rPr>
        <w:t>（</w:t>
      </w:r>
      <w:r>
        <w:rPr>
          <w:rFonts w:hint="default"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val="en-US" w:eastAsia="zh-CN"/>
        </w:rPr>
        <w:t>）</w:t>
      </w:r>
      <w:r>
        <w:rPr>
          <w:rFonts w:hint="default" w:ascii="楷体_GB2312" w:hAnsi="楷体_GB2312" w:eastAsia="楷体_GB2312" w:cs="楷体_GB2312"/>
          <w:sz w:val="32"/>
          <w:szCs w:val="32"/>
          <w:lang w:val="en-US" w:eastAsia="zh-CN"/>
        </w:rPr>
        <w:t>强化要素支撑</w:t>
      </w:r>
      <w:bookmarkEnd w:id="22"/>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聚焦资金、人才、数据、技术等关键要素，建立健全与规划任务相匹配的资源保障机制，合理安排预算内资金投入，优化专项资金分配，推动资金向民生监督抽检、基层基础建设和智慧监管执法支撑等方面倾斜，稳步扎实推进规划任务实施。</w:t>
      </w:r>
    </w:p>
    <w:p>
      <w:pPr>
        <w:pStyle w:val="6"/>
        <w:keepNext w:val="0"/>
        <w:keepLines w:val="0"/>
        <w:pageBreakBefore w:val="0"/>
        <w:widowControl w:val="0"/>
        <w:kinsoku/>
        <w:wordWrap/>
        <w:overflowPunct/>
        <w:topLinePunct w:val="0"/>
        <w:autoSpaceDE/>
        <w:autoSpaceDN/>
        <w:bidi w:val="0"/>
        <w:adjustRightInd/>
        <w:snapToGrid/>
        <w:spacing w:before="0" w:line="580" w:lineRule="exact"/>
        <w:ind w:firstLine="640" w:firstLineChars="200"/>
        <w:jc w:val="both"/>
        <w:textAlignment w:val="auto"/>
        <w:rPr>
          <w:rFonts w:hint="default" w:ascii="Times New Roman" w:hAnsi="Times New Roman" w:eastAsia="楷体_GB2312" w:cs="Times New Roman"/>
          <w:sz w:val="32"/>
          <w:szCs w:val="32"/>
          <w:lang w:val="en-US" w:eastAsia="zh-CN"/>
        </w:rPr>
      </w:pPr>
      <w:bookmarkStart w:id="23" w:name="_Toc30808"/>
      <w:r>
        <w:rPr>
          <w:rFonts w:hint="eastAsia" w:ascii="Times New Roman" w:hAnsi="Times New Roman" w:eastAsia="楷体_GB2312" w:cs="Times New Roman"/>
          <w:sz w:val="32"/>
          <w:szCs w:val="32"/>
          <w:lang w:val="en-US" w:eastAsia="zh-CN"/>
        </w:rPr>
        <w:t>（</w:t>
      </w:r>
      <w:r>
        <w:rPr>
          <w:rFonts w:hint="default" w:ascii="Times New Roman" w:hAnsi="Times New Roman" w:eastAsia="楷体_GB2312" w:cs="Times New Roman"/>
          <w:sz w:val="32"/>
          <w:szCs w:val="32"/>
          <w:lang w:val="en-US" w:eastAsia="zh-CN"/>
        </w:rPr>
        <w:t>三</w:t>
      </w:r>
      <w:r>
        <w:rPr>
          <w:rFonts w:hint="eastAsia" w:ascii="Times New Roman" w:hAnsi="Times New Roman" w:eastAsia="楷体_GB2312" w:cs="Times New Roman"/>
          <w:sz w:val="32"/>
          <w:szCs w:val="32"/>
          <w:lang w:val="en-US" w:eastAsia="zh-CN"/>
        </w:rPr>
        <w:t>）</w:t>
      </w:r>
      <w:r>
        <w:rPr>
          <w:rFonts w:hint="default" w:ascii="Times New Roman" w:hAnsi="Times New Roman" w:eastAsia="楷体_GB2312" w:cs="Times New Roman"/>
          <w:sz w:val="32"/>
          <w:szCs w:val="32"/>
          <w:lang w:val="en-US" w:eastAsia="zh-CN"/>
        </w:rPr>
        <w:t>强化监测评估</w:t>
      </w:r>
      <w:bookmarkEnd w:id="23"/>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加强对规划实施情况的跟踪分析，开展规划实施情况动态监测、中期评估和总结评估，并根据评估结果和形势变化，及时调整优化任务安排与实施路径，推动解决规划实施过程中的实际困难和问题。加强规划宣传和解读，及时总结推广典型经验做法。</w:t>
      </w:r>
    </w:p>
    <w:sectPr>
      <w:footerReference r:id="rId3" w:type="default"/>
      <w:pgSz w:w="11906" w:h="16838"/>
      <w:pgMar w:top="1701" w:right="1474" w:bottom="1440"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3</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dit="forms" w:enforcement="1" w:cryptProviderType="rsaFull" w:cryptAlgorithmClass="hash" w:cryptAlgorithmType="typeAny" w:cryptAlgorithmSid="4" w:cryptSpinCount="0" w:hash="eWmZ+dzu7RzdPXeJuvxXqtOzi58=" w:salt="+mgrrD2BUnEzrI7naVT2PQ=="/>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36C07"/>
    <w:rsid w:val="004E6E8D"/>
    <w:rsid w:val="006E51C3"/>
    <w:rsid w:val="00A90226"/>
    <w:rsid w:val="00C8283F"/>
    <w:rsid w:val="01440965"/>
    <w:rsid w:val="018B50B1"/>
    <w:rsid w:val="0192621F"/>
    <w:rsid w:val="01C012ED"/>
    <w:rsid w:val="020225EC"/>
    <w:rsid w:val="02174D5E"/>
    <w:rsid w:val="02D149AD"/>
    <w:rsid w:val="03553D0B"/>
    <w:rsid w:val="03706547"/>
    <w:rsid w:val="039B7CF2"/>
    <w:rsid w:val="03E7552B"/>
    <w:rsid w:val="04274854"/>
    <w:rsid w:val="04680057"/>
    <w:rsid w:val="04747F4B"/>
    <w:rsid w:val="0488407F"/>
    <w:rsid w:val="049412FF"/>
    <w:rsid w:val="04960C02"/>
    <w:rsid w:val="04A071A7"/>
    <w:rsid w:val="04A41C1F"/>
    <w:rsid w:val="04A80719"/>
    <w:rsid w:val="04E34A5B"/>
    <w:rsid w:val="04F657BA"/>
    <w:rsid w:val="05274EB2"/>
    <w:rsid w:val="05E04021"/>
    <w:rsid w:val="0624128B"/>
    <w:rsid w:val="065B19FB"/>
    <w:rsid w:val="06F87D3D"/>
    <w:rsid w:val="070C28DE"/>
    <w:rsid w:val="070E3C37"/>
    <w:rsid w:val="07210F5B"/>
    <w:rsid w:val="07541035"/>
    <w:rsid w:val="075B2795"/>
    <w:rsid w:val="076E25F4"/>
    <w:rsid w:val="07824CE1"/>
    <w:rsid w:val="07BC62F4"/>
    <w:rsid w:val="07F1543F"/>
    <w:rsid w:val="081542C5"/>
    <w:rsid w:val="08307EB2"/>
    <w:rsid w:val="08841D88"/>
    <w:rsid w:val="088D4641"/>
    <w:rsid w:val="08921652"/>
    <w:rsid w:val="0902500A"/>
    <w:rsid w:val="090B175C"/>
    <w:rsid w:val="09546099"/>
    <w:rsid w:val="09776BE6"/>
    <w:rsid w:val="09AB3C59"/>
    <w:rsid w:val="09AD03A9"/>
    <w:rsid w:val="09FF1E34"/>
    <w:rsid w:val="0A7814BB"/>
    <w:rsid w:val="0A81175F"/>
    <w:rsid w:val="0A960272"/>
    <w:rsid w:val="0A964EF9"/>
    <w:rsid w:val="0AE770C1"/>
    <w:rsid w:val="0AE844ED"/>
    <w:rsid w:val="0B1710BE"/>
    <w:rsid w:val="0B322BCA"/>
    <w:rsid w:val="0B891559"/>
    <w:rsid w:val="0B8F0D09"/>
    <w:rsid w:val="0B9E75CD"/>
    <w:rsid w:val="0BAF06EB"/>
    <w:rsid w:val="0BBC084E"/>
    <w:rsid w:val="0BDC4DCC"/>
    <w:rsid w:val="0BDD0D82"/>
    <w:rsid w:val="0BED1E0E"/>
    <w:rsid w:val="0C4471BE"/>
    <w:rsid w:val="0C8C0CE0"/>
    <w:rsid w:val="0CB66EF5"/>
    <w:rsid w:val="0CE23220"/>
    <w:rsid w:val="0CEF157B"/>
    <w:rsid w:val="0D3F359E"/>
    <w:rsid w:val="0D6A0329"/>
    <w:rsid w:val="0DA83A9D"/>
    <w:rsid w:val="0DBF196A"/>
    <w:rsid w:val="0DDC6430"/>
    <w:rsid w:val="0DE306AE"/>
    <w:rsid w:val="0E681A7D"/>
    <w:rsid w:val="0E75310C"/>
    <w:rsid w:val="0E9B77F2"/>
    <w:rsid w:val="0EA91E84"/>
    <w:rsid w:val="0EAE3580"/>
    <w:rsid w:val="0EB44E7C"/>
    <w:rsid w:val="0EB53C59"/>
    <w:rsid w:val="0ECF4BCA"/>
    <w:rsid w:val="0EDE37C6"/>
    <w:rsid w:val="0F3671CC"/>
    <w:rsid w:val="0F9242C9"/>
    <w:rsid w:val="0FD34206"/>
    <w:rsid w:val="0FE54422"/>
    <w:rsid w:val="0FE732AC"/>
    <w:rsid w:val="10001FA4"/>
    <w:rsid w:val="100C20FA"/>
    <w:rsid w:val="10426A38"/>
    <w:rsid w:val="110241B9"/>
    <w:rsid w:val="110D1F78"/>
    <w:rsid w:val="117D66A2"/>
    <w:rsid w:val="11CA68BF"/>
    <w:rsid w:val="11D413CD"/>
    <w:rsid w:val="11D83CAC"/>
    <w:rsid w:val="11D960F1"/>
    <w:rsid w:val="11F0547A"/>
    <w:rsid w:val="12531355"/>
    <w:rsid w:val="12806D93"/>
    <w:rsid w:val="12CC7F16"/>
    <w:rsid w:val="13594F6C"/>
    <w:rsid w:val="136D27FA"/>
    <w:rsid w:val="137C0DCC"/>
    <w:rsid w:val="13A83F8E"/>
    <w:rsid w:val="13B2235C"/>
    <w:rsid w:val="14681DBB"/>
    <w:rsid w:val="147879F9"/>
    <w:rsid w:val="14DE264A"/>
    <w:rsid w:val="14F742AD"/>
    <w:rsid w:val="15412142"/>
    <w:rsid w:val="155F7720"/>
    <w:rsid w:val="15702410"/>
    <w:rsid w:val="15863D5C"/>
    <w:rsid w:val="15A54611"/>
    <w:rsid w:val="15D667BF"/>
    <w:rsid w:val="1653043C"/>
    <w:rsid w:val="167D5E29"/>
    <w:rsid w:val="16A67A37"/>
    <w:rsid w:val="16F62850"/>
    <w:rsid w:val="17A370E5"/>
    <w:rsid w:val="17BB1B6B"/>
    <w:rsid w:val="17E06729"/>
    <w:rsid w:val="180349B5"/>
    <w:rsid w:val="180624FC"/>
    <w:rsid w:val="186F3AE3"/>
    <w:rsid w:val="187F2B40"/>
    <w:rsid w:val="18B57797"/>
    <w:rsid w:val="1903629F"/>
    <w:rsid w:val="19111633"/>
    <w:rsid w:val="198A4D73"/>
    <w:rsid w:val="19976D77"/>
    <w:rsid w:val="19AB2F1A"/>
    <w:rsid w:val="19AB300C"/>
    <w:rsid w:val="19D570FD"/>
    <w:rsid w:val="1A3F55D3"/>
    <w:rsid w:val="1A7D1D12"/>
    <w:rsid w:val="1A9727B3"/>
    <w:rsid w:val="1A986195"/>
    <w:rsid w:val="1AC75E60"/>
    <w:rsid w:val="1ACF5593"/>
    <w:rsid w:val="1B2E6115"/>
    <w:rsid w:val="1B3801CC"/>
    <w:rsid w:val="1B543563"/>
    <w:rsid w:val="1BCB2DC7"/>
    <w:rsid w:val="1C115635"/>
    <w:rsid w:val="1C5342F0"/>
    <w:rsid w:val="1C572657"/>
    <w:rsid w:val="1C9705C6"/>
    <w:rsid w:val="1C9729AD"/>
    <w:rsid w:val="1CEB48FE"/>
    <w:rsid w:val="1D2D45F5"/>
    <w:rsid w:val="1D487372"/>
    <w:rsid w:val="1D7E18EE"/>
    <w:rsid w:val="1D8F0EE4"/>
    <w:rsid w:val="1E7755F4"/>
    <w:rsid w:val="1E935E0D"/>
    <w:rsid w:val="1E9643EC"/>
    <w:rsid w:val="1EF501D6"/>
    <w:rsid w:val="1F084755"/>
    <w:rsid w:val="1F1868D6"/>
    <w:rsid w:val="1F62028D"/>
    <w:rsid w:val="1F6B0E21"/>
    <w:rsid w:val="1F7E51B7"/>
    <w:rsid w:val="1F9E47D4"/>
    <w:rsid w:val="1FAC6557"/>
    <w:rsid w:val="1FB22E21"/>
    <w:rsid w:val="1FD50B49"/>
    <w:rsid w:val="20054BE8"/>
    <w:rsid w:val="200B39DB"/>
    <w:rsid w:val="20333587"/>
    <w:rsid w:val="20360C34"/>
    <w:rsid w:val="203A32A5"/>
    <w:rsid w:val="20452479"/>
    <w:rsid w:val="20691672"/>
    <w:rsid w:val="20CB5FE0"/>
    <w:rsid w:val="21115269"/>
    <w:rsid w:val="21385220"/>
    <w:rsid w:val="21B71486"/>
    <w:rsid w:val="221202E6"/>
    <w:rsid w:val="2262068E"/>
    <w:rsid w:val="2266386A"/>
    <w:rsid w:val="227D7351"/>
    <w:rsid w:val="22A1315F"/>
    <w:rsid w:val="22C434B7"/>
    <w:rsid w:val="22E44432"/>
    <w:rsid w:val="22FA0535"/>
    <w:rsid w:val="232F6F7E"/>
    <w:rsid w:val="23441FD2"/>
    <w:rsid w:val="23516B33"/>
    <w:rsid w:val="2370437B"/>
    <w:rsid w:val="23710E5F"/>
    <w:rsid w:val="23775D04"/>
    <w:rsid w:val="23C71C0F"/>
    <w:rsid w:val="23CD4ECF"/>
    <w:rsid w:val="23FE5F6A"/>
    <w:rsid w:val="240E783E"/>
    <w:rsid w:val="24217EB3"/>
    <w:rsid w:val="2431266C"/>
    <w:rsid w:val="2443672C"/>
    <w:rsid w:val="24AF2DCF"/>
    <w:rsid w:val="252653BB"/>
    <w:rsid w:val="255F529A"/>
    <w:rsid w:val="257B6B20"/>
    <w:rsid w:val="25B74631"/>
    <w:rsid w:val="25DB4DAE"/>
    <w:rsid w:val="26832064"/>
    <w:rsid w:val="26CF0755"/>
    <w:rsid w:val="26F23A81"/>
    <w:rsid w:val="270B6B16"/>
    <w:rsid w:val="27354A5D"/>
    <w:rsid w:val="273677D8"/>
    <w:rsid w:val="274F50FB"/>
    <w:rsid w:val="27650CE0"/>
    <w:rsid w:val="280B1A43"/>
    <w:rsid w:val="286C74DE"/>
    <w:rsid w:val="28740817"/>
    <w:rsid w:val="28AC6949"/>
    <w:rsid w:val="28BA58E5"/>
    <w:rsid w:val="28BC4DFC"/>
    <w:rsid w:val="28D02A86"/>
    <w:rsid w:val="29047711"/>
    <w:rsid w:val="29186643"/>
    <w:rsid w:val="29333A26"/>
    <w:rsid w:val="294058B8"/>
    <w:rsid w:val="294F2FF6"/>
    <w:rsid w:val="296570F0"/>
    <w:rsid w:val="296D07FE"/>
    <w:rsid w:val="29AB53D3"/>
    <w:rsid w:val="2A3E3278"/>
    <w:rsid w:val="2A522B7B"/>
    <w:rsid w:val="2A5F69D9"/>
    <w:rsid w:val="2A6260DF"/>
    <w:rsid w:val="2ABF3BDC"/>
    <w:rsid w:val="2ADA2527"/>
    <w:rsid w:val="2AE333EA"/>
    <w:rsid w:val="2B022A53"/>
    <w:rsid w:val="2B1B37C4"/>
    <w:rsid w:val="2B222920"/>
    <w:rsid w:val="2B2A4B39"/>
    <w:rsid w:val="2B310AE2"/>
    <w:rsid w:val="2B350436"/>
    <w:rsid w:val="2BA82760"/>
    <w:rsid w:val="2BB60670"/>
    <w:rsid w:val="2BD23B0E"/>
    <w:rsid w:val="2BD658A6"/>
    <w:rsid w:val="2BFC0FF0"/>
    <w:rsid w:val="2C1D0DC5"/>
    <w:rsid w:val="2C2853C2"/>
    <w:rsid w:val="2C5F28B7"/>
    <w:rsid w:val="2C8142B0"/>
    <w:rsid w:val="2C8F6843"/>
    <w:rsid w:val="2CD179E6"/>
    <w:rsid w:val="2CD61610"/>
    <w:rsid w:val="2CEC36FF"/>
    <w:rsid w:val="2CFE6F5D"/>
    <w:rsid w:val="2D8E471D"/>
    <w:rsid w:val="2D8E7900"/>
    <w:rsid w:val="2DBE31AF"/>
    <w:rsid w:val="2DD61D14"/>
    <w:rsid w:val="2DE56367"/>
    <w:rsid w:val="2E2D764F"/>
    <w:rsid w:val="2E5E6EA5"/>
    <w:rsid w:val="2E6920AC"/>
    <w:rsid w:val="2EBA102D"/>
    <w:rsid w:val="2EC07B78"/>
    <w:rsid w:val="2EE134D4"/>
    <w:rsid w:val="2EE823F3"/>
    <w:rsid w:val="2F344853"/>
    <w:rsid w:val="2F394E54"/>
    <w:rsid w:val="2F4744A7"/>
    <w:rsid w:val="2F7500D8"/>
    <w:rsid w:val="30517FCB"/>
    <w:rsid w:val="30731925"/>
    <w:rsid w:val="30EE72CC"/>
    <w:rsid w:val="31074185"/>
    <w:rsid w:val="31345867"/>
    <w:rsid w:val="31374AF5"/>
    <w:rsid w:val="315045B0"/>
    <w:rsid w:val="316E2FA4"/>
    <w:rsid w:val="319B2960"/>
    <w:rsid w:val="31A35A6A"/>
    <w:rsid w:val="31DA07F1"/>
    <w:rsid w:val="31FB5C57"/>
    <w:rsid w:val="31FE2893"/>
    <w:rsid w:val="320962B8"/>
    <w:rsid w:val="32C8290C"/>
    <w:rsid w:val="32E31826"/>
    <w:rsid w:val="331C4BC2"/>
    <w:rsid w:val="33666D58"/>
    <w:rsid w:val="338B0EAB"/>
    <w:rsid w:val="33A07255"/>
    <w:rsid w:val="33B05ADC"/>
    <w:rsid w:val="33F96DED"/>
    <w:rsid w:val="344F527E"/>
    <w:rsid w:val="34DD03AB"/>
    <w:rsid w:val="34EC205E"/>
    <w:rsid w:val="352C4DF7"/>
    <w:rsid w:val="354F70FE"/>
    <w:rsid w:val="355B4B2C"/>
    <w:rsid w:val="35A72E02"/>
    <w:rsid w:val="36B67354"/>
    <w:rsid w:val="36B67F36"/>
    <w:rsid w:val="373405CE"/>
    <w:rsid w:val="37380937"/>
    <w:rsid w:val="376F7D15"/>
    <w:rsid w:val="377F3DCD"/>
    <w:rsid w:val="379522F8"/>
    <w:rsid w:val="37BB37D7"/>
    <w:rsid w:val="37CE2365"/>
    <w:rsid w:val="38122577"/>
    <w:rsid w:val="38662AA1"/>
    <w:rsid w:val="386E76A4"/>
    <w:rsid w:val="388A5A92"/>
    <w:rsid w:val="391E6CA0"/>
    <w:rsid w:val="398B5F1D"/>
    <w:rsid w:val="399B3E9D"/>
    <w:rsid w:val="39A058DA"/>
    <w:rsid w:val="39B6763B"/>
    <w:rsid w:val="39D6764D"/>
    <w:rsid w:val="3A3549C4"/>
    <w:rsid w:val="3A40479E"/>
    <w:rsid w:val="3A9548A8"/>
    <w:rsid w:val="3A9D4415"/>
    <w:rsid w:val="3ABC079C"/>
    <w:rsid w:val="3AD01641"/>
    <w:rsid w:val="3AF175FA"/>
    <w:rsid w:val="3AFB2D62"/>
    <w:rsid w:val="3B06194C"/>
    <w:rsid w:val="3B334BED"/>
    <w:rsid w:val="3B342994"/>
    <w:rsid w:val="3B58160E"/>
    <w:rsid w:val="3B6418FA"/>
    <w:rsid w:val="3B7A4186"/>
    <w:rsid w:val="3BD70621"/>
    <w:rsid w:val="3BFC2946"/>
    <w:rsid w:val="3C3C42F6"/>
    <w:rsid w:val="3CA20800"/>
    <w:rsid w:val="3D463186"/>
    <w:rsid w:val="3D502077"/>
    <w:rsid w:val="3D6848BF"/>
    <w:rsid w:val="3D8D2422"/>
    <w:rsid w:val="3DFD3B04"/>
    <w:rsid w:val="3E3C470B"/>
    <w:rsid w:val="3E3F7AA3"/>
    <w:rsid w:val="3E5007A1"/>
    <w:rsid w:val="3E9A3641"/>
    <w:rsid w:val="3E9C7C9C"/>
    <w:rsid w:val="3E9D7E49"/>
    <w:rsid w:val="3F116CA0"/>
    <w:rsid w:val="3F216947"/>
    <w:rsid w:val="3F310CF5"/>
    <w:rsid w:val="3F451635"/>
    <w:rsid w:val="3F625608"/>
    <w:rsid w:val="3F683844"/>
    <w:rsid w:val="3F764BF5"/>
    <w:rsid w:val="3F952F17"/>
    <w:rsid w:val="3FB03F5F"/>
    <w:rsid w:val="3FB74432"/>
    <w:rsid w:val="3FBA16E1"/>
    <w:rsid w:val="400B1FA5"/>
    <w:rsid w:val="40137E22"/>
    <w:rsid w:val="402F4727"/>
    <w:rsid w:val="404E69C4"/>
    <w:rsid w:val="40801ED8"/>
    <w:rsid w:val="40804C79"/>
    <w:rsid w:val="40BB54BD"/>
    <w:rsid w:val="40C00A52"/>
    <w:rsid w:val="419B77A1"/>
    <w:rsid w:val="41D93BE5"/>
    <w:rsid w:val="42763D91"/>
    <w:rsid w:val="42F06DEE"/>
    <w:rsid w:val="43763F98"/>
    <w:rsid w:val="4395204D"/>
    <w:rsid w:val="43CC2F20"/>
    <w:rsid w:val="43E92E55"/>
    <w:rsid w:val="4486565A"/>
    <w:rsid w:val="44B02520"/>
    <w:rsid w:val="44DB5385"/>
    <w:rsid w:val="453802F5"/>
    <w:rsid w:val="456E5D95"/>
    <w:rsid w:val="45CD3A13"/>
    <w:rsid w:val="45E3430F"/>
    <w:rsid w:val="464F7F37"/>
    <w:rsid w:val="4685006A"/>
    <w:rsid w:val="468C0D6E"/>
    <w:rsid w:val="46AB56B9"/>
    <w:rsid w:val="46BA6A3B"/>
    <w:rsid w:val="46E932D2"/>
    <w:rsid w:val="46F30655"/>
    <w:rsid w:val="47213FAC"/>
    <w:rsid w:val="474A668F"/>
    <w:rsid w:val="4756454E"/>
    <w:rsid w:val="475D2858"/>
    <w:rsid w:val="477E46F8"/>
    <w:rsid w:val="47E46D98"/>
    <w:rsid w:val="47FD3CA8"/>
    <w:rsid w:val="48192283"/>
    <w:rsid w:val="487A6045"/>
    <w:rsid w:val="49105D6E"/>
    <w:rsid w:val="493115F8"/>
    <w:rsid w:val="49742590"/>
    <w:rsid w:val="497C6DD1"/>
    <w:rsid w:val="497D3F9F"/>
    <w:rsid w:val="49E043CF"/>
    <w:rsid w:val="4A22142F"/>
    <w:rsid w:val="4A312951"/>
    <w:rsid w:val="4A811B33"/>
    <w:rsid w:val="4A863A31"/>
    <w:rsid w:val="4AC00F06"/>
    <w:rsid w:val="4B034E5E"/>
    <w:rsid w:val="4B124E2E"/>
    <w:rsid w:val="4B1419EB"/>
    <w:rsid w:val="4B2A2E10"/>
    <w:rsid w:val="4B3F1188"/>
    <w:rsid w:val="4B487714"/>
    <w:rsid w:val="4BE41090"/>
    <w:rsid w:val="4BF03104"/>
    <w:rsid w:val="4BFA5D9B"/>
    <w:rsid w:val="4BFE7762"/>
    <w:rsid w:val="4C013661"/>
    <w:rsid w:val="4C05042D"/>
    <w:rsid w:val="4C591838"/>
    <w:rsid w:val="4CAA3416"/>
    <w:rsid w:val="4CC065F7"/>
    <w:rsid w:val="4CD456D3"/>
    <w:rsid w:val="4CE43FFC"/>
    <w:rsid w:val="4CEB70E9"/>
    <w:rsid w:val="4D062D91"/>
    <w:rsid w:val="4D074F45"/>
    <w:rsid w:val="4D207B91"/>
    <w:rsid w:val="4E2A6E70"/>
    <w:rsid w:val="4E6E45AF"/>
    <w:rsid w:val="4F1638C7"/>
    <w:rsid w:val="4F220944"/>
    <w:rsid w:val="4F232026"/>
    <w:rsid w:val="4F234D65"/>
    <w:rsid w:val="4F886935"/>
    <w:rsid w:val="4FF12CC2"/>
    <w:rsid w:val="50033B53"/>
    <w:rsid w:val="50055358"/>
    <w:rsid w:val="501120D0"/>
    <w:rsid w:val="50DE21C3"/>
    <w:rsid w:val="512841B5"/>
    <w:rsid w:val="513828EC"/>
    <w:rsid w:val="51A45270"/>
    <w:rsid w:val="520E3C7E"/>
    <w:rsid w:val="52734874"/>
    <w:rsid w:val="52735D42"/>
    <w:rsid w:val="528560ED"/>
    <w:rsid w:val="528E6EEE"/>
    <w:rsid w:val="52925579"/>
    <w:rsid w:val="52A3406C"/>
    <w:rsid w:val="52B83435"/>
    <w:rsid w:val="52D970E6"/>
    <w:rsid w:val="53376EA3"/>
    <w:rsid w:val="539812BC"/>
    <w:rsid w:val="53A06F71"/>
    <w:rsid w:val="53B12A36"/>
    <w:rsid w:val="53BA09B0"/>
    <w:rsid w:val="53E47046"/>
    <w:rsid w:val="53EC341F"/>
    <w:rsid w:val="54387251"/>
    <w:rsid w:val="5457731A"/>
    <w:rsid w:val="54D32208"/>
    <w:rsid w:val="54E7478C"/>
    <w:rsid w:val="54EE6F59"/>
    <w:rsid w:val="54F4202D"/>
    <w:rsid w:val="5520229C"/>
    <w:rsid w:val="558F1AEB"/>
    <w:rsid w:val="55C42125"/>
    <w:rsid w:val="55DB79EC"/>
    <w:rsid w:val="563F6279"/>
    <w:rsid w:val="56522A5E"/>
    <w:rsid w:val="56AD2FF2"/>
    <w:rsid w:val="56CE6357"/>
    <w:rsid w:val="56D1309F"/>
    <w:rsid w:val="56F65BBA"/>
    <w:rsid w:val="57041A43"/>
    <w:rsid w:val="5717239E"/>
    <w:rsid w:val="572A1BE4"/>
    <w:rsid w:val="574421AE"/>
    <w:rsid w:val="57561457"/>
    <w:rsid w:val="577458B3"/>
    <w:rsid w:val="57F06F19"/>
    <w:rsid w:val="57FA4A1E"/>
    <w:rsid w:val="582B32D9"/>
    <w:rsid w:val="58850A86"/>
    <w:rsid w:val="589B7E1A"/>
    <w:rsid w:val="58C61C9D"/>
    <w:rsid w:val="58EE056C"/>
    <w:rsid w:val="58F47F80"/>
    <w:rsid w:val="58FA5CB7"/>
    <w:rsid w:val="59121DAB"/>
    <w:rsid w:val="59122E0A"/>
    <w:rsid w:val="59283585"/>
    <w:rsid w:val="594E294F"/>
    <w:rsid w:val="597E4DD5"/>
    <w:rsid w:val="59C05A98"/>
    <w:rsid w:val="5A0F515A"/>
    <w:rsid w:val="5A1D6967"/>
    <w:rsid w:val="5A69165B"/>
    <w:rsid w:val="5A8416D8"/>
    <w:rsid w:val="5A955E00"/>
    <w:rsid w:val="5B0B44FC"/>
    <w:rsid w:val="5B4142A8"/>
    <w:rsid w:val="5B595872"/>
    <w:rsid w:val="5B9062C9"/>
    <w:rsid w:val="5BFB4047"/>
    <w:rsid w:val="5BFE6B2C"/>
    <w:rsid w:val="5D4F42C0"/>
    <w:rsid w:val="5DEC3644"/>
    <w:rsid w:val="5E320EBF"/>
    <w:rsid w:val="5E401A3B"/>
    <w:rsid w:val="5E4145F4"/>
    <w:rsid w:val="5E420403"/>
    <w:rsid w:val="5E435E16"/>
    <w:rsid w:val="5E6A1902"/>
    <w:rsid w:val="5E967F35"/>
    <w:rsid w:val="5E987DA6"/>
    <w:rsid w:val="5EBB1C78"/>
    <w:rsid w:val="5EE720B8"/>
    <w:rsid w:val="5EEC3D15"/>
    <w:rsid w:val="5F0C332D"/>
    <w:rsid w:val="5F6644BF"/>
    <w:rsid w:val="5FB07420"/>
    <w:rsid w:val="5FEE72CA"/>
    <w:rsid w:val="606D5311"/>
    <w:rsid w:val="608F21FF"/>
    <w:rsid w:val="60971F1E"/>
    <w:rsid w:val="60EC66A9"/>
    <w:rsid w:val="610B5E38"/>
    <w:rsid w:val="617B6983"/>
    <w:rsid w:val="61845D28"/>
    <w:rsid w:val="61926C4E"/>
    <w:rsid w:val="61962B18"/>
    <w:rsid w:val="61EF0FC1"/>
    <w:rsid w:val="620D4C41"/>
    <w:rsid w:val="620E5153"/>
    <w:rsid w:val="620E764C"/>
    <w:rsid w:val="624034C1"/>
    <w:rsid w:val="62674C7D"/>
    <w:rsid w:val="627E2183"/>
    <w:rsid w:val="62E81D53"/>
    <w:rsid w:val="63133F4E"/>
    <w:rsid w:val="63185F9D"/>
    <w:rsid w:val="631D27A2"/>
    <w:rsid w:val="631D7521"/>
    <w:rsid w:val="63AD79E0"/>
    <w:rsid w:val="63BF49A4"/>
    <w:rsid w:val="63C45D90"/>
    <w:rsid w:val="64CE20A6"/>
    <w:rsid w:val="64E82BCF"/>
    <w:rsid w:val="650544BC"/>
    <w:rsid w:val="651C4504"/>
    <w:rsid w:val="65455F84"/>
    <w:rsid w:val="6572750B"/>
    <w:rsid w:val="65766A16"/>
    <w:rsid w:val="65B058A3"/>
    <w:rsid w:val="65DC013F"/>
    <w:rsid w:val="66206C21"/>
    <w:rsid w:val="66850898"/>
    <w:rsid w:val="66857FC0"/>
    <w:rsid w:val="669672A0"/>
    <w:rsid w:val="66B1687F"/>
    <w:rsid w:val="673E68E7"/>
    <w:rsid w:val="67827913"/>
    <w:rsid w:val="67BF6794"/>
    <w:rsid w:val="67C06EDB"/>
    <w:rsid w:val="681B70F2"/>
    <w:rsid w:val="68924315"/>
    <w:rsid w:val="68BC7D97"/>
    <w:rsid w:val="69152A52"/>
    <w:rsid w:val="695E63A5"/>
    <w:rsid w:val="69BD1D6A"/>
    <w:rsid w:val="69E9284D"/>
    <w:rsid w:val="69F51A79"/>
    <w:rsid w:val="6A3A04F9"/>
    <w:rsid w:val="6A4F12FC"/>
    <w:rsid w:val="6A5740DA"/>
    <w:rsid w:val="6A6F3F78"/>
    <w:rsid w:val="6ACA1682"/>
    <w:rsid w:val="6AE3048B"/>
    <w:rsid w:val="6BAA11C7"/>
    <w:rsid w:val="6C4F011B"/>
    <w:rsid w:val="6C511909"/>
    <w:rsid w:val="6C570B20"/>
    <w:rsid w:val="6C992D08"/>
    <w:rsid w:val="6CC40DFC"/>
    <w:rsid w:val="6CD14697"/>
    <w:rsid w:val="6D162D88"/>
    <w:rsid w:val="6D1A6692"/>
    <w:rsid w:val="6D6C08DB"/>
    <w:rsid w:val="6DC1541F"/>
    <w:rsid w:val="6DC528EF"/>
    <w:rsid w:val="6E1D5775"/>
    <w:rsid w:val="6E3C7E7D"/>
    <w:rsid w:val="6E6258CE"/>
    <w:rsid w:val="6E702662"/>
    <w:rsid w:val="6E83677B"/>
    <w:rsid w:val="6ED029E4"/>
    <w:rsid w:val="6F1F79F0"/>
    <w:rsid w:val="6F31348A"/>
    <w:rsid w:val="6F956634"/>
    <w:rsid w:val="6FE037DF"/>
    <w:rsid w:val="6FEF1874"/>
    <w:rsid w:val="704476BC"/>
    <w:rsid w:val="70C828DF"/>
    <w:rsid w:val="70D3734B"/>
    <w:rsid w:val="71347EB1"/>
    <w:rsid w:val="716943CF"/>
    <w:rsid w:val="719F5B9E"/>
    <w:rsid w:val="71F078D3"/>
    <w:rsid w:val="720B3F02"/>
    <w:rsid w:val="722500B2"/>
    <w:rsid w:val="72A8565B"/>
    <w:rsid w:val="72AA112F"/>
    <w:rsid w:val="72B945E6"/>
    <w:rsid w:val="72CE4D6A"/>
    <w:rsid w:val="72DF130A"/>
    <w:rsid w:val="72FB2E16"/>
    <w:rsid w:val="732B6ACD"/>
    <w:rsid w:val="739526EC"/>
    <w:rsid w:val="73B16AC4"/>
    <w:rsid w:val="73D30B8A"/>
    <w:rsid w:val="73E32748"/>
    <w:rsid w:val="73FA574A"/>
    <w:rsid w:val="74910314"/>
    <w:rsid w:val="74B123BE"/>
    <w:rsid w:val="74BB68B7"/>
    <w:rsid w:val="74C97C68"/>
    <w:rsid w:val="74D753E8"/>
    <w:rsid w:val="74DE7DCA"/>
    <w:rsid w:val="74EF5803"/>
    <w:rsid w:val="75191128"/>
    <w:rsid w:val="753D700E"/>
    <w:rsid w:val="75A137DC"/>
    <w:rsid w:val="75D45B01"/>
    <w:rsid w:val="75D91B4A"/>
    <w:rsid w:val="762E7035"/>
    <w:rsid w:val="76A04CFF"/>
    <w:rsid w:val="76A33C0F"/>
    <w:rsid w:val="76BC2CB7"/>
    <w:rsid w:val="76CE71FE"/>
    <w:rsid w:val="76DC4CCE"/>
    <w:rsid w:val="77166A9C"/>
    <w:rsid w:val="77412989"/>
    <w:rsid w:val="775B3523"/>
    <w:rsid w:val="77937850"/>
    <w:rsid w:val="779E50DA"/>
    <w:rsid w:val="77A70F9C"/>
    <w:rsid w:val="77AF7D81"/>
    <w:rsid w:val="78252301"/>
    <w:rsid w:val="78326955"/>
    <w:rsid w:val="78572D1A"/>
    <w:rsid w:val="785C1A9B"/>
    <w:rsid w:val="78646412"/>
    <w:rsid w:val="78703DAD"/>
    <w:rsid w:val="78B64C68"/>
    <w:rsid w:val="78EB75F0"/>
    <w:rsid w:val="790415FC"/>
    <w:rsid w:val="79533A3E"/>
    <w:rsid w:val="79695CC0"/>
    <w:rsid w:val="79B45531"/>
    <w:rsid w:val="79C627D6"/>
    <w:rsid w:val="79DF7557"/>
    <w:rsid w:val="79EA2C5F"/>
    <w:rsid w:val="7A2B508F"/>
    <w:rsid w:val="7A377612"/>
    <w:rsid w:val="7ADC77A1"/>
    <w:rsid w:val="7AE853E3"/>
    <w:rsid w:val="7B490819"/>
    <w:rsid w:val="7B6926E6"/>
    <w:rsid w:val="7B877C1A"/>
    <w:rsid w:val="7C0A1B55"/>
    <w:rsid w:val="7C0F41BE"/>
    <w:rsid w:val="7C502D4B"/>
    <w:rsid w:val="7CA81989"/>
    <w:rsid w:val="7D8B1A7A"/>
    <w:rsid w:val="7DB46E72"/>
    <w:rsid w:val="7DD54940"/>
    <w:rsid w:val="7DEA1C21"/>
    <w:rsid w:val="7E103BD7"/>
    <w:rsid w:val="7E2D6A63"/>
    <w:rsid w:val="7EBD40CD"/>
    <w:rsid w:val="7EC03F24"/>
    <w:rsid w:val="7EC206DA"/>
    <w:rsid w:val="7ED60ACF"/>
    <w:rsid w:val="7F3A5E08"/>
    <w:rsid w:val="7F535038"/>
    <w:rsid w:val="7F536173"/>
    <w:rsid w:val="7F645BC9"/>
    <w:rsid w:val="7FB80E10"/>
    <w:rsid w:val="7FDA6ECE"/>
    <w:rsid w:val="7FEB1EEC"/>
    <w:rsid w:val="7FEF28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5">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6">
    <w:name w:val="heading 2"/>
    <w:basedOn w:val="1"/>
    <w:next w:val="1"/>
    <w:qFormat/>
    <w:uiPriority w:val="0"/>
    <w:pPr>
      <w:spacing w:before="200" w:line="271" w:lineRule="auto"/>
      <w:outlineLvl w:val="1"/>
    </w:pPr>
    <w:rPr>
      <w:rFonts w:ascii="Calibri" w:hAnsi="Calibri"/>
      <w:smallCaps/>
      <w:kern w:val="0"/>
      <w:sz w:val="28"/>
      <w:szCs w:val="28"/>
    </w:rPr>
  </w:style>
  <w:style w:type="paragraph" w:styleId="7">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99"/>
    <w:pPr>
      <w:tabs>
        <w:tab w:val="left" w:pos="562"/>
        <w:tab w:val="left" w:pos="3372"/>
        <w:tab w:val="left" w:pos="3653"/>
      </w:tabs>
    </w:pPr>
    <w:rPr>
      <w:sz w:val="30"/>
    </w:rPr>
  </w:style>
  <w:style w:type="paragraph" w:styleId="3">
    <w:name w:val="footer"/>
    <w:basedOn w:val="1"/>
    <w:next w:val="4"/>
    <w:qFormat/>
    <w:uiPriority w:val="0"/>
    <w:pPr>
      <w:tabs>
        <w:tab w:val="center" w:pos="4153"/>
        <w:tab w:val="right" w:pos="8306"/>
      </w:tabs>
      <w:snapToGrid w:val="0"/>
      <w:jc w:val="left"/>
    </w:pPr>
    <w:rPr>
      <w:sz w:val="18"/>
    </w:rPr>
  </w:style>
  <w:style w:type="paragraph" w:styleId="4">
    <w:name w:val="index 5"/>
    <w:basedOn w:val="1"/>
    <w:next w:val="1"/>
    <w:qFormat/>
    <w:uiPriority w:val="0"/>
    <w:pPr>
      <w:ind w:left="1680"/>
    </w:pPr>
  </w:style>
  <w:style w:type="paragraph" w:styleId="8">
    <w:name w:val="toc 3"/>
    <w:basedOn w:val="1"/>
    <w:next w:val="1"/>
    <w:qFormat/>
    <w:uiPriority w:val="0"/>
    <w:pPr>
      <w:ind w:left="840" w:leftChars="400"/>
    </w:p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toc 1"/>
    <w:basedOn w:val="1"/>
    <w:next w:val="1"/>
    <w:qFormat/>
    <w:uiPriority w:val="0"/>
  </w:style>
  <w:style w:type="paragraph" w:styleId="11">
    <w:name w:val="footnote text"/>
    <w:basedOn w:val="1"/>
    <w:qFormat/>
    <w:uiPriority w:val="0"/>
    <w:pPr>
      <w:snapToGrid w:val="0"/>
      <w:jc w:val="left"/>
    </w:pPr>
    <w:rPr>
      <w:sz w:val="18"/>
    </w:rPr>
  </w:style>
  <w:style w:type="paragraph" w:styleId="12">
    <w:name w:val="toc 2"/>
    <w:basedOn w:val="1"/>
    <w:next w:val="1"/>
    <w:qFormat/>
    <w:uiPriority w:val="0"/>
    <w:pPr>
      <w:ind w:left="420" w:leftChars="200"/>
    </w:pPr>
  </w:style>
  <w:style w:type="paragraph" w:styleId="13">
    <w:name w:val="Normal (Web)"/>
    <w:basedOn w:val="1"/>
    <w:unhideWhenUsed/>
    <w:qFormat/>
    <w:uiPriority w:val="99"/>
    <w:pPr>
      <w:spacing w:before="100" w:beforeAutospacing="1" w:after="100" w:afterAutospacing="1"/>
      <w:ind w:left="0" w:right="0"/>
      <w:jc w:val="left"/>
    </w:pPr>
    <w:rPr>
      <w:kern w:val="0"/>
      <w:sz w:val="24"/>
      <w:lang w:val="en-US" w:eastAsia="zh-CN" w:bidi="ar"/>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footnote reference"/>
    <w:basedOn w:val="16"/>
    <w:qFormat/>
    <w:uiPriority w:val="0"/>
    <w:rPr>
      <w:vertAlign w:val="superscript"/>
    </w:rPr>
  </w:style>
  <w:style w:type="character" w:customStyle="1" w:styleId="18">
    <w:name w:val="font61"/>
    <w:basedOn w:val="16"/>
    <w:qFormat/>
    <w:uiPriority w:val="0"/>
    <w:rPr>
      <w:rFonts w:hint="default" w:ascii="Times New Roman" w:hAnsi="Times New Roman" w:cs="Times New Roman"/>
      <w:color w:val="000000"/>
      <w:sz w:val="22"/>
      <w:szCs w:val="22"/>
      <w:u w:val="none"/>
    </w:rPr>
  </w:style>
  <w:style w:type="character" w:customStyle="1" w:styleId="19">
    <w:name w:val="font01"/>
    <w:basedOn w:val="16"/>
    <w:qFormat/>
    <w:uiPriority w:val="0"/>
    <w:rPr>
      <w:rFonts w:hint="eastAsia" w:ascii="宋体" w:hAnsi="宋体" w:eastAsia="宋体" w:cs="宋体"/>
      <w:color w:val="000000"/>
      <w:sz w:val="22"/>
      <w:szCs w:val="22"/>
      <w:u w:val="none"/>
    </w:rPr>
  </w:style>
  <w:style w:type="character" w:customStyle="1" w:styleId="20">
    <w:name w:val="font21"/>
    <w:basedOn w:val="16"/>
    <w:qFormat/>
    <w:uiPriority w:val="0"/>
    <w:rPr>
      <w:rFonts w:hint="eastAsia" w:ascii="宋体" w:hAnsi="宋体" w:eastAsia="宋体" w:cs="宋体"/>
      <w:color w:val="000000"/>
      <w:sz w:val="20"/>
      <w:szCs w:val="20"/>
      <w:u w:val="none"/>
    </w:rPr>
  </w:style>
  <w:style w:type="character" w:customStyle="1" w:styleId="21">
    <w:name w:val="font51"/>
    <w:basedOn w:val="16"/>
    <w:qFormat/>
    <w:uiPriority w:val="0"/>
    <w:rPr>
      <w:rFonts w:hint="default" w:ascii="Times New Roman" w:hAnsi="Times New Roman" w:cs="Times New Roman"/>
      <w:color w:val="000000"/>
      <w:sz w:val="20"/>
      <w:szCs w:val="20"/>
      <w:u w:val="none"/>
    </w:rPr>
  </w:style>
  <w:style w:type="paragraph" w:customStyle="1" w:styleId="22">
    <w:name w:val="WPSOffice手动目录 1"/>
    <w:qFormat/>
    <w:uiPriority w:val="0"/>
    <w:pPr>
      <w:ind w:leftChars="0"/>
    </w:pPr>
    <w:rPr>
      <w:rFonts w:ascii="Times New Roman" w:hAnsi="Times New Roman" w:eastAsia="宋体" w:cs="Times New Roman"/>
      <w:sz w:val="20"/>
      <w:szCs w:val="20"/>
    </w:rPr>
  </w:style>
  <w:style w:type="paragraph" w:customStyle="1" w:styleId="23">
    <w:name w:val="WPSOffice手动目录 2"/>
    <w:qFormat/>
    <w:uiPriority w:val="0"/>
    <w:pPr>
      <w:ind w:leftChars="200"/>
    </w:pPr>
    <w:rPr>
      <w:rFonts w:ascii="Times New Roman" w:hAnsi="Times New Roman" w:eastAsia="宋体" w:cs="Times New Roman"/>
      <w:sz w:val="20"/>
      <w:szCs w:val="20"/>
    </w:rPr>
  </w:style>
  <w:style w:type="paragraph" w:customStyle="1" w:styleId="24">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3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市场监督管理局</Company>
  <Pages>17</Pages>
  <Words>9968</Words>
  <Characters>10031</Characters>
  <Lines>0</Lines>
  <Paragraphs>0</Paragraphs>
  <TotalTime>16</TotalTime>
  <ScaleCrop>false</ScaleCrop>
  <LinksUpToDate>false</LinksUpToDate>
  <CharactersWithSpaces>10031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2026-04-07T01:21:00Z</dcterms:created>
  <dc:creator>何丹琪</dc:creator>
  <cp:lastModifiedBy>何丹琪</cp:lastModifiedBy>
  <cp:lastPrinted>2026-09-11T08:32:00Z</cp:lastPrinted>
  <dcterms:modified xsi:type="dcterms:W3CDTF">2026-09-20T09:32:08Z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69B2977944BA493BB8C8FD2D697FFA57</vt:lpwstr>
  </property>
</Properties>
</file>