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ind w:firstLine="0" w:firstLineChars="0"/>
        <w:jc w:val="center"/>
        <w:rPr>
          <w:rFonts w:hint="eastAsia" w:ascii="Times New Roman" w:hAnsi="Times New Roman" w:eastAsia="黑体" w:cs="黑体"/>
          <w:sz w:val="60"/>
          <w:szCs w:val="60"/>
          <w:lang w:val="en-US" w:eastAsia="zh-CN"/>
        </w:rPr>
      </w:pPr>
      <w:r>
        <w:rPr>
          <w:rFonts w:hint="eastAsia" w:ascii="Times New Roman" w:hAnsi="Times New Roman" w:eastAsia="黑体" w:cs="黑体"/>
          <w:sz w:val="60"/>
          <w:szCs w:val="60"/>
          <w:lang w:val="en-US" w:eastAsia="zh-CN"/>
        </w:rPr>
        <w:t>2026年汕头市中小企业数字化</w:t>
      </w:r>
    </w:p>
    <w:p>
      <w:pPr>
        <w:spacing w:line="800" w:lineRule="exact"/>
        <w:ind w:firstLine="0" w:firstLineChars="0"/>
        <w:jc w:val="center"/>
        <w:rPr>
          <w:rFonts w:hint="eastAsia" w:ascii="Times New Roman" w:hAnsi="Times New Roman" w:eastAsia="黑体" w:cs="黑体"/>
          <w:sz w:val="60"/>
          <w:szCs w:val="60"/>
          <w:lang w:val="en-US" w:eastAsia="zh-CN"/>
        </w:rPr>
      </w:pPr>
      <w:r>
        <w:rPr>
          <w:rFonts w:hint="eastAsia" w:ascii="Times New Roman" w:hAnsi="Times New Roman" w:eastAsia="黑体" w:cs="黑体"/>
          <w:sz w:val="60"/>
          <w:szCs w:val="60"/>
          <w:lang w:val="en-US" w:eastAsia="zh-CN"/>
        </w:rPr>
        <w:t>转型城市试点数字化</w:t>
      </w:r>
    </w:p>
    <w:p>
      <w:pPr>
        <w:spacing w:line="800" w:lineRule="exact"/>
        <w:ind w:firstLine="0" w:firstLineChars="0"/>
        <w:jc w:val="center"/>
        <w:rPr>
          <w:rFonts w:hint="eastAsia" w:ascii="Times New Roman" w:hAnsi="Times New Roman" w:eastAsia="黑体" w:cs="黑体"/>
          <w:sz w:val="60"/>
          <w:szCs w:val="60"/>
          <w:lang w:val="en-US" w:eastAsia="zh-CN"/>
        </w:rPr>
      </w:pPr>
      <w:r>
        <w:rPr>
          <w:rFonts w:hint="eastAsia" w:ascii="Times New Roman" w:hAnsi="Times New Roman" w:eastAsia="黑体" w:cs="黑体"/>
          <w:sz w:val="60"/>
          <w:szCs w:val="60"/>
          <w:lang w:val="en-US" w:eastAsia="zh-CN"/>
        </w:rPr>
        <w:t>人才培训项目</w:t>
      </w:r>
    </w:p>
    <w:p>
      <w:pPr>
        <w:spacing w:line="240" w:lineRule="auto"/>
        <w:ind w:firstLine="0" w:firstLineChars="0"/>
        <w:jc w:val="center"/>
        <w:rPr>
          <w:rFonts w:hint="eastAsia" w:ascii="Times New Roman" w:hAnsi="Times New Roman" w:eastAsia="黑体" w:cs="黑体"/>
          <w:sz w:val="112"/>
          <w:szCs w:val="112"/>
          <w:lang w:val="en-US" w:eastAsia="zh-CN"/>
        </w:rPr>
      </w:pPr>
    </w:p>
    <w:p>
      <w:pPr>
        <w:spacing w:line="240" w:lineRule="auto"/>
        <w:ind w:firstLine="0" w:firstLineChars="0"/>
        <w:jc w:val="center"/>
        <w:rPr>
          <w:rFonts w:hint="eastAsia" w:ascii="Times New Roman" w:hAnsi="Times New Roman" w:eastAsia="黑体" w:cs="黑体"/>
          <w:sz w:val="96"/>
          <w:szCs w:val="96"/>
          <w:lang w:val="en-US" w:eastAsia="zh-CN"/>
        </w:rPr>
      </w:pPr>
      <w:r>
        <w:rPr>
          <w:rFonts w:hint="eastAsia" w:ascii="Times New Roman" w:hAnsi="Times New Roman" w:eastAsia="黑体" w:cs="黑体"/>
          <w:sz w:val="96"/>
          <w:szCs w:val="96"/>
          <w:lang w:val="en-US" w:eastAsia="zh-CN"/>
        </w:rPr>
        <w:t>申</w:t>
      </w:r>
    </w:p>
    <w:p>
      <w:pPr>
        <w:spacing w:line="240" w:lineRule="auto"/>
        <w:ind w:firstLine="0" w:firstLineChars="0"/>
        <w:jc w:val="center"/>
        <w:rPr>
          <w:rFonts w:hint="eastAsia" w:ascii="Times New Roman" w:hAnsi="Times New Roman" w:eastAsia="黑体" w:cs="黑体"/>
          <w:sz w:val="96"/>
          <w:szCs w:val="96"/>
          <w:lang w:val="en-US" w:eastAsia="zh-CN"/>
        </w:rPr>
      </w:pPr>
      <w:r>
        <w:rPr>
          <w:rFonts w:hint="eastAsia" w:ascii="Times New Roman" w:hAnsi="Times New Roman" w:eastAsia="黑体" w:cs="黑体"/>
          <w:sz w:val="96"/>
          <w:szCs w:val="96"/>
          <w:lang w:val="en-US" w:eastAsia="zh-CN"/>
        </w:rPr>
        <w:t>报</w:t>
      </w:r>
    </w:p>
    <w:p>
      <w:pPr>
        <w:spacing w:line="240" w:lineRule="auto"/>
        <w:ind w:firstLine="0" w:firstLineChars="0"/>
        <w:jc w:val="center"/>
        <w:rPr>
          <w:rFonts w:hint="eastAsia" w:ascii="Times New Roman" w:hAnsi="Times New Roman" w:eastAsia="黑体" w:cs="黑体"/>
          <w:sz w:val="40"/>
          <w:szCs w:val="40"/>
          <w:lang w:val="en-US" w:eastAsia="zh-CN"/>
        </w:rPr>
      </w:pPr>
      <w:r>
        <w:rPr>
          <w:rFonts w:hint="eastAsia" w:ascii="Times New Roman" w:hAnsi="Times New Roman" w:eastAsia="黑体" w:cs="黑体"/>
          <w:sz w:val="96"/>
          <w:szCs w:val="96"/>
          <w:lang w:val="en-US" w:eastAsia="zh-CN"/>
        </w:rPr>
        <w:t>书</w:t>
      </w:r>
    </w:p>
    <w:p>
      <w:pPr>
        <w:pStyle w:val="2"/>
        <w:rPr>
          <w:rFonts w:hint="eastAsia" w:ascii="Times New Roman" w:hAnsi="Times New Roman"/>
          <w:lang w:val="en-US" w:eastAsia="zh-CN"/>
        </w:rPr>
      </w:pPr>
    </w:p>
    <w:p>
      <w:pPr>
        <w:pStyle w:val="2"/>
        <w:rPr>
          <w:rFonts w:hint="eastAsia" w:ascii="Times New Roman" w:hAnsi="Times New Roman"/>
          <w:lang w:val="en-US" w:eastAsia="zh-CN"/>
        </w:rPr>
      </w:pPr>
    </w:p>
    <w:p>
      <w:pPr>
        <w:pStyle w:val="2"/>
        <w:rPr>
          <w:rFonts w:hint="eastAsia" w:ascii="Times New Roman" w:hAnsi="Times New Roman"/>
          <w:lang w:val="en-US" w:eastAsia="zh-CN"/>
        </w:rPr>
      </w:pPr>
    </w:p>
    <w:p>
      <w:pPr>
        <w:pStyle w:val="2"/>
        <w:rPr>
          <w:rFonts w:hint="eastAsia" w:ascii="Times New Roman" w:hAnsi="Times New Roman"/>
          <w:lang w:val="en-US" w:eastAsia="zh-CN"/>
        </w:rPr>
      </w:pPr>
    </w:p>
    <w:p>
      <w:pPr>
        <w:pStyle w:val="2"/>
        <w:rPr>
          <w:rFonts w:hint="eastAsia" w:ascii="Times New Roman" w:hAnsi="Times New Roman"/>
          <w:lang w:val="en-US" w:eastAsia="zh-CN"/>
        </w:rPr>
      </w:pPr>
    </w:p>
    <w:p>
      <w:pPr>
        <w:ind w:left="0" w:leftChars="0" w:firstLine="0" w:firstLineChars="0"/>
        <w:rPr>
          <w:rFonts w:ascii="Times New Roman" w:hAnsi="Times New Roman"/>
        </w:rPr>
      </w:pPr>
    </w:p>
    <w:p>
      <w:pPr>
        <w:ind w:firstLine="0" w:firstLineChars="0"/>
        <w:jc w:val="center"/>
        <w:rPr>
          <w:rFonts w:ascii="Times New Roman" w:hAnsi="Times New Roman"/>
        </w:rPr>
      </w:pPr>
      <w:r>
        <w:rPr>
          <w:rFonts w:hint="eastAsia" w:ascii="Times New Roman" w:hAnsi="Times New Roman"/>
        </w:rPr>
        <w:t>二零二</w:t>
      </w:r>
      <w:r>
        <w:rPr>
          <w:rFonts w:hint="eastAsia" w:ascii="Times New Roman" w:hAnsi="Times New Roman"/>
          <w:lang w:eastAsia="zh-CN"/>
        </w:rPr>
        <w:t>六</w:t>
      </w:r>
      <w:r>
        <w:rPr>
          <w:rFonts w:hint="eastAsia" w:ascii="Times New Roman" w:hAnsi="Times New Roman"/>
        </w:rPr>
        <w:t>年</w:t>
      </w:r>
    </w:p>
    <w:p>
      <w:pPr>
        <w:widowControl/>
        <w:adjustRightInd/>
        <w:snapToGrid/>
        <w:spacing w:line="240" w:lineRule="auto"/>
        <w:ind w:firstLine="0" w:firstLineChars="0"/>
        <w:jc w:val="left"/>
        <w:rPr>
          <w:rFonts w:ascii="Times New Roman" w:hAnsi="Times New Roman"/>
        </w:rPr>
      </w:pPr>
      <w:r>
        <w:rPr>
          <w:rFonts w:ascii="Times New Roman" w:hAnsi="Times New Roman"/>
        </w:rPr>
        <w:br w:type="page"/>
      </w:r>
    </w:p>
    <w:p>
      <w:pPr>
        <w:adjustRightInd/>
        <w:snapToGrid/>
        <w:ind w:firstLine="0" w:firstLineChars="0"/>
        <w:jc w:val="center"/>
        <w:rPr>
          <w:rFonts w:ascii="Times New Roman" w:hAnsi="Times New Roman" w:eastAsia="黑体" w:cs="Times New Roman"/>
          <w:color w:val="000000"/>
          <w:sz w:val="44"/>
          <w:szCs w:val="44"/>
        </w:rPr>
      </w:pPr>
      <w:r>
        <w:rPr>
          <w:rFonts w:ascii="Times New Roman" w:hAnsi="Times New Roman" w:eastAsia="黑体" w:cs="Times New Roman"/>
          <w:color w:val="000000"/>
          <w:sz w:val="44"/>
          <w:szCs w:val="44"/>
        </w:rPr>
        <w:t>填 报 须 知</w:t>
      </w:r>
    </w:p>
    <w:p>
      <w:pPr>
        <w:ind w:firstLine="640"/>
        <w:rPr>
          <w:rFonts w:ascii="Times New Roman" w:hAnsi="Times New Roman" w:eastAsia="黑体" w:cs="Times New Roman"/>
          <w:color w:val="000000"/>
        </w:rPr>
      </w:pPr>
    </w:p>
    <w:p>
      <w:pPr>
        <w:ind w:firstLine="640"/>
        <w:rPr>
          <w:rFonts w:ascii="Times New Roman" w:hAnsi="Times New Roman" w:cs="Times New Roman"/>
          <w:color w:val="000000"/>
          <w:szCs w:val="21"/>
        </w:rPr>
      </w:pPr>
      <w:r>
        <w:rPr>
          <w:rFonts w:ascii="Times New Roman" w:hAnsi="Times New Roman" w:cs="Times New Roman"/>
          <w:color w:val="000000"/>
          <w:szCs w:val="21"/>
        </w:rPr>
        <w:t>一、申报单位应仔细阅读遴选通知的有关说明，如实、详细地填写每一部分内容。</w:t>
      </w:r>
    </w:p>
    <w:p>
      <w:pPr>
        <w:adjustRightInd/>
        <w:snapToGrid/>
        <w:ind w:firstLine="640"/>
        <w:rPr>
          <w:rFonts w:ascii="Times New Roman" w:hAnsi="Times New Roman" w:cs="Times New Roman"/>
          <w:color w:val="000000"/>
        </w:rPr>
      </w:pPr>
      <w:r>
        <w:rPr>
          <w:rFonts w:ascii="Times New Roman" w:hAnsi="Times New Roman" w:cs="Times New Roman"/>
          <w:bCs/>
          <w:color w:val="000000"/>
          <w:szCs w:val="21"/>
        </w:rPr>
        <w:t>二、单位名称应填写全称。</w:t>
      </w:r>
    </w:p>
    <w:p>
      <w:pPr>
        <w:adjustRightInd/>
        <w:snapToGrid/>
        <w:ind w:firstLine="640"/>
        <w:rPr>
          <w:rFonts w:ascii="Times New Roman" w:hAnsi="Times New Roman" w:cs="Times New Roman"/>
          <w:color w:val="000000"/>
        </w:rPr>
      </w:pPr>
      <w:r>
        <w:rPr>
          <w:rFonts w:ascii="Times New Roman" w:hAnsi="Times New Roman" w:cs="Times New Roman"/>
          <w:bCs/>
          <w:color w:val="000000"/>
          <w:szCs w:val="21"/>
        </w:rPr>
        <w:t>三、表中选取项目请在“</w:t>
      </w:r>
      <w:r>
        <w:rPr>
          <w:rFonts w:ascii="Times New Roman" w:hAnsi="Times New Roman" w:eastAsia="黑体" w:cs="Times New Roman"/>
          <w:color w:val="000000"/>
        </w:rPr>
        <w:sym w:font="Wingdings" w:char="00A8"/>
      </w:r>
      <w:r>
        <w:rPr>
          <w:rFonts w:ascii="Times New Roman" w:hAnsi="Times New Roman" w:cs="Times New Roman"/>
          <w:bCs/>
          <w:color w:val="000000"/>
          <w:szCs w:val="21"/>
        </w:rPr>
        <w:t>”中划“√”。</w:t>
      </w:r>
    </w:p>
    <w:p>
      <w:pPr>
        <w:adjustRightInd/>
        <w:snapToGrid/>
        <w:ind w:firstLine="640"/>
        <w:rPr>
          <w:rFonts w:ascii="Times New Roman" w:hAnsi="Times New Roman" w:cs="Times New Roman"/>
          <w:color w:val="000000"/>
        </w:rPr>
      </w:pPr>
      <w:r>
        <w:rPr>
          <w:rFonts w:ascii="Times New Roman" w:hAnsi="Times New Roman" w:cs="Times New Roman"/>
          <w:color w:val="000000"/>
        </w:rPr>
        <w:t>四、除另有说明外，申报表中栏目不得空缺，若无相关情况则填“无”。申报书要求提供证明材料处，请提供相关证明佐证材料（包括申报单位基本信息相关证明补充材料，申报项目相关证明材料等）。</w:t>
      </w:r>
    </w:p>
    <w:p>
      <w:pPr>
        <w:ind w:firstLine="640"/>
        <w:rPr>
          <w:rFonts w:ascii="Times New Roman" w:hAnsi="Times New Roman" w:cs="Times New Roman"/>
          <w:color w:val="000000"/>
        </w:rPr>
      </w:pPr>
      <w:r>
        <w:rPr>
          <w:rFonts w:ascii="Times New Roman" w:hAnsi="Times New Roman" w:cs="Times New Roman"/>
          <w:color w:val="000000"/>
        </w:rPr>
        <w:t>五、申报材料编写格式要求：A4幅面编辑；正文字体小四号仿宋，28磅行距；一级标题四号黑体；二级标题四号楷体。</w:t>
      </w:r>
    </w:p>
    <w:p>
      <w:pPr>
        <w:ind w:firstLine="640"/>
        <w:rPr>
          <w:rFonts w:ascii="Times New Roman" w:hAnsi="Times New Roman" w:cs="Times New Roman"/>
          <w:color w:val="000000"/>
          <w:szCs w:val="21"/>
        </w:rPr>
      </w:pPr>
    </w:p>
    <w:p>
      <w:pPr>
        <w:widowControl/>
        <w:adjustRightInd/>
        <w:snapToGrid/>
        <w:spacing w:line="240" w:lineRule="auto"/>
        <w:ind w:firstLine="0" w:firstLineChars="0"/>
        <w:jc w:val="left"/>
        <w:rPr>
          <w:rFonts w:ascii="Times New Roman" w:hAnsi="Times New Roman" w:eastAsia="方正小标宋简体" w:cs="Times New Roman"/>
          <w:color w:val="000000"/>
          <w:sz w:val="36"/>
          <w:szCs w:val="24"/>
        </w:rPr>
      </w:pPr>
    </w:p>
    <w:p>
      <w:pPr>
        <w:spacing w:after="120" w:line="240" w:lineRule="auto"/>
        <w:ind w:firstLine="0" w:firstLineChars="0"/>
        <w:rPr>
          <w:rFonts w:ascii="Times New Roman" w:hAnsi="Times New Roman" w:eastAsia="方正小标宋简体" w:cs="Times New Roman"/>
          <w:color w:val="000000"/>
          <w:sz w:val="36"/>
          <w:szCs w:val="24"/>
        </w:rPr>
      </w:pPr>
    </w:p>
    <w:p>
      <w:pPr>
        <w:ind w:firstLine="640"/>
        <w:rPr>
          <w:rFonts w:ascii="Times New Roman" w:hAnsi="Times New Roman" w:eastAsia="黑体" w:cs="Times New Roman"/>
          <w:bCs/>
          <w:color w:val="000000"/>
          <w:kern w:val="44"/>
          <w:szCs w:val="44"/>
        </w:rPr>
      </w:pPr>
      <w:r>
        <w:rPr>
          <w:rFonts w:ascii="Times New Roman" w:hAnsi="Times New Roman" w:eastAsia="黑体" w:cs="Times New Roman"/>
          <w:bCs/>
          <w:color w:val="000000"/>
          <w:kern w:val="44"/>
          <w:szCs w:val="44"/>
        </w:rPr>
        <w:br w:type="page"/>
      </w:r>
    </w:p>
    <w:p>
      <w:pPr>
        <w:keepNext/>
        <w:keepLines/>
        <w:ind w:firstLine="0" w:firstLineChars="0"/>
        <w:jc w:val="both"/>
        <w:outlineLvl w:val="0"/>
        <w:rPr>
          <w:rFonts w:ascii="Times New Roman" w:hAnsi="Times New Roman" w:eastAsia="黑体" w:cs="Times New Roman"/>
          <w:color w:val="000000"/>
          <w:sz w:val="44"/>
          <w:szCs w:val="44"/>
        </w:rPr>
      </w:pPr>
      <w:r>
        <w:rPr>
          <w:rFonts w:hint="eastAsia" w:ascii="Times New Roman" w:hAnsi="Times New Roman" w:eastAsia="黑体" w:cs="Times New Roman"/>
          <w:bCs/>
          <w:color w:val="000000"/>
          <w:kern w:val="44"/>
          <w:szCs w:val="44"/>
          <w:lang w:eastAsia="zh-CN"/>
        </w:rPr>
        <w:t>一、</w:t>
      </w:r>
      <w:r>
        <w:rPr>
          <w:rFonts w:ascii="Times New Roman" w:hAnsi="Times New Roman" w:eastAsia="黑体" w:cs="Times New Roman"/>
          <w:bCs/>
          <w:color w:val="000000"/>
          <w:kern w:val="44"/>
          <w:szCs w:val="44"/>
        </w:rPr>
        <w:t>基本信息表</w:t>
      </w:r>
    </w:p>
    <w:tbl>
      <w:tblPr>
        <w:tblStyle w:val="21"/>
        <w:tblW w:w="944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607"/>
        <w:gridCol w:w="1893"/>
        <w:gridCol w:w="1515"/>
        <w:gridCol w:w="1378"/>
        <w:gridCol w:w="1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9443" w:type="dxa"/>
            <w:gridSpan w:val="6"/>
            <w:tcBorders>
              <w:top w:val="single" w:color="auto" w:sz="4" w:space="0"/>
              <w:left w:val="single" w:color="auto" w:sz="4" w:space="0"/>
              <w:bottom w:val="single" w:color="auto" w:sz="4" w:space="0"/>
              <w:right w:val="single" w:color="auto" w:sz="4" w:space="0"/>
            </w:tcBorders>
            <w:shd w:val="clear" w:color="auto" w:fill="F1F1F1"/>
            <w:vAlign w:val="center"/>
          </w:tcPr>
          <w:p>
            <w:pPr>
              <w:spacing w:line="240" w:lineRule="auto"/>
              <w:ind w:firstLine="0" w:firstLineChars="0"/>
              <w:jc w:val="center"/>
              <w:rPr>
                <w:rFonts w:hint="eastAsia" w:ascii="Times New Roman" w:hAnsi="Times New Roman" w:eastAsia="楷体_GB2312" w:cs="Times New Roman"/>
                <w:b/>
                <w:bCs/>
                <w:color w:val="000000"/>
                <w:sz w:val="24"/>
                <w:szCs w:val="24"/>
              </w:rPr>
            </w:pPr>
            <w:r>
              <w:rPr>
                <w:rFonts w:hint="eastAsia" w:ascii="Times New Roman" w:hAnsi="Times New Roman" w:eastAsia="楷体_GB2312" w:cs="Times New Roman"/>
                <w:b/>
                <w:bCs/>
                <w:color w:val="000000"/>
                <w:sz w:val="24"/>
                <w:szCs w:val="24"/>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6" w:hRule="atLeast"/>
        </w:trPr>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Times New Roman" w:hAnsi="Times New Roman" w:eastAsia="仿宋_GB2312" w:cs="Times New Roman"/>
                <w:color w:val="000000"/>
                <w:sz w:val="24"/>
                <w:szCs w:val="24"/>
                <w:lang w:eastAsia="zh-CN"/>
              </w:rPr>
            </w:pPr>
            <w:r>
              <w:rPr>
                <w:rFonts w:ascii="Times New Roman" w:hAnsi="Times New Roman" w:cs="Times New Roman"/>
                <w:color w:val="000000"/>
                <w:sz w:val="24"/>
                <w:szCs w:val="24"/>
              </w:rPr>
              <w:t>单位名称</w:t>
            </w:r>
          </w:p>
        </w:tc>
        <w:tc>
          <w:tcPr>
            <w:tcW w:w="3500" w:type="dxa"/>
            <w:gridSpan w:val="2"/>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hint="eastAsia" w:ascii="Times New Roman" w:hAnsi="Times New Roman" w:eastAsia="仿宋_GB2312" w:cs="Times New Roman"/>
                <w:color w:val="000000"/>
                <w:sz w:val="24"/>
                <w:szCs w:val="24"/>
                <w:lang w:eastAsia="zh-CN"/>
              </w:rPr>
            </w:pPr>
            <w:r>
              <w:rPr>
                <w:rFonts w:hint="eastAsia" w:ascii="Times New Roman" w:hAnsi="Times New Roman" w:cs="Times New Roman"/>
                <w:color w:val="000000"/>
                <w:sz w:val="24"/>
                <w:szCs w:val="24"/>
                <w:lang w:val="en-US" w:eastAsia="zh-CN"/>
              </w:rPr>
              <w:t xml:space="preserve">                </w:t>
            </w:r>
            <w:r>
              <w:rPr>
                <w:rFonts w:hint="eastAsia" w:ascii="Times New Roman" w:hAnsi="Times New Roman" w:cs="Times New Roman"/>
                <w:color w:val="000000"/>
                <w:sz w:val="24"/>
                <w:szCs w:val="24"/>
                <w:lang w:eastAsia="zh-CN"/>
              </w:rPr>
              <w:t>（盖章）</w:t>
            </w:r>
          </w:p>
        </w:tc>
        <w:tc>
          <w:tcPr>
            <w:tcW w:w="151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统一社会信用代码</w:t>
            </w:r>
          </w:p>
        </w:tc>
        <w:tc>
          <w:tcPr>
            <w:tcW w:w="3210" w:type="dxa"/>
            <w:gridSpan w:val="2"/>
            <w:tcBorders>
              <w:top w:val="single" w:color="auto" w:sz="4" w:space="0"/>
              <w:left w:val="nil"/>
              <w:bottom w:val="single" w:color="auto" w:sz="4" w:space="0"/>
              <w:right w:val="single" w:color="auto" w:sz="4" w:space="0"/>
            </w:tcBorders>
            <w:vAlign w:val="center"/>
          </w:tcPr>
          <w:p>
            <w:pPr>
              <w:widowControl/>
              <w:ind w:firstLine="0" w:firstLineChars="0"/>
              <w:jc w:val="left"/>
              <w:textAlignment w:val="center"/>
              <w:rPr>
                <w:rFonts w:ascii="Times New Roman" w:hAnsi="Times New Roman"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trPr>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eastAsia="zh-CN"/>
              </w:rPr>
              <w:t>单位</w:t>
            </w:r>
            <w:r>
              <w:rPr>
                <w:rFonts w:ascii="Times New Roman" w:hAnsi="Times New Roman" w:cs="Times New Roman"/>
                <w:color w:val="000000"/>
                <w:sz w:val="24"/>
                <w:szCs w:val="24"/>
              </w:rPr>
              <w:t>地址</w:t>
            </w:r>
          </w:p>
        </w:tc>
        <w:tc>
          <w:tcPr>
            <w:tcW w:w="8225" w:type="dxa"/>
            <w:gridSpan w:val="5"/>
            <w:tcBorders>
              <w:top w:val="single" w:color="auto" w:sz="4" w:space="0"/>
              <w:left w:val="nil"/>
              <w:bottom w:val="single" w:color="auto" w:sz="4" w:space="0"/>
              <w:right w:val="single" w:color="auto" w:sz="4" w:space="0"/>
            </w:tcBorders>
            <w:vAlign w:val="center"/>
          </w:tcPr>
          <w:p>
            <w:pPr>
              <w:widowControl/>
              <w:ind w:firstLine="0" w:firstLineChars="0"/>
              <w:jc w:val="left"/>
              <w:textAlignment w:val="center"/>
              <w:rPr>
                <w:rFonts w:ascii="Times New Roman" w:hAnsi="Times New Roman"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联系人</w:t>
            </w:r>
          </w:p>
        </w:tc>
        <w:tc>
          <w:tcPr>
            <w:tcW w:w="1607" w:type="dxa"/>
            <w:tcBorders>
              <w:top w:val="single" w:color="auto" w:sz="4" w:space="0"/>
              <w:left w:val="nil"/>
              <w:bottom w:val="single" w:color="auto" w:sz="4" w:space="0"/>
              <w:right w:val="single" w:color="auto" w:sz="4" w:space="0"/>
            </w:tcBorders>
            <w:vAlign w:val="center"/>
          </w:tcPr>
          <w:p>
            <w:pPr>
              <w:widowControl/>
              <w:ind w:firstLine="0" w:firstLineChars="0"/>
              <w:jc w:val="left"/>
              <w:textAlignment w:val="center"/>
              <w:rPr>
                <w:rFonts w:ascii="Times New Roman" w:hAnsi="Times New Roman" w:cs="Times New Roman"/>
                <w:color w:val="000000"/>
                <w:kern w:val="0"/>
                <w:sz w:val="24"/>
                <w:szCs w:val="24"/>
              </w:rPr>
            </w:pPr>
          </w:p>
        </w:tc>
        <w:tc>
          <w:tcPr>
            <w:tcW w:w="189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textAlignment w:val="center"/>
              <w:rPr>
                <w:rFonts w:hint="eastAsia" w:ascii="Times New Roman" w:hAnsi="Times New Roman" w:eastAsia="仿宋_GB2312" w:cs="Times New Roman"/>
                <w:color w:val="000000"/>
                <w:kern w:val="0"/>
                <w:sz w:val="24"/>
                <w:szCs w:val="24"/>
                <w:lang w:eastAsia="zh-CN"/>
              </w:rPr>
            </w:pPr>
            <w:r>
              <w:rPr>
                <w:rFonts w:hint="eastAsia" w:ascii="Times New Roman" w:hAnsi="Times New Roman" w:cs="Times New Roman"/>
                <w:color w:val="000000"/>
                <w:kern w:val="0"/>
                <w:sz w:val="24"/>
                <w:szCs w:val="24"/>
                <w:lang w:eastAsia="zh-CN"/>
              </w:rPr>
              <w:t>联系电话</w:t>
            </w:r>
          </w:p>
        </w:tc>
        <w:tc>
          <w:tcPr>
            <w:tcW w:w="1515" w:type="dxa"/>
            <w:tcBorders>
              <w:top w:val="single" w:color="auto" w:sz="4" w:space="0"/>
              <w:left w:val="nil"/>
              <w:bottom w:val="single" w:color="auto" w:sz="4" w:space="0"/>
              <w:right w:val="single" w:color="auto" w:sz="4" w:space="0"/>
            </w:tcBorders>
            <w:vAlign w:val="center"/>
          </w:tcPr>
          <w:p>
            <w:pPr>
              <w:widowControl/>
              <w:ind w:firstLine="0" w:firstLineChars="0"/>
              <w:jc w:val="center"/>
              <w:textAlignment w:val="center"/>
              <w:rPr>
                <w:rFonts w:ascii="Times New Roman" w:hAnsi="Times New Roman" w:cs="Times New Roman"/>
                <w:color w:val="000000"/>
                <w:sz w:val="24"/>
                <w:szCs w:val="24"/>
              </w:rPr>
            </w:pPr>
          </w:p>
        </w:tc>
        <w:tc>
          <w:tcPr>
            <w:tcW w:w="1378" w:type="dxa"/>
            <w:tcBorders>
              <w:top w:val="single" w:color="auto" w:sz="4" w:space="0"/>
              <w:left w:val="nil"/>
              <w:bottom w:val="single" w:color="auto" w:sz="4" w:space="0"/>
              <w:right w:val="single" w:color="auto" w:sz="4" w:space="0"/>
            </w:tcBorders>
            <w:vAlign w:val="center"/>
          </w:tcPr>
          <w:p>
            <w:pPr>
              <w:widowControl/>
              <w:ind w:firstLine="0" w:firstLineChars="0"/>
              <w:jc w:val="left"/>
              <w:textAlignment w:val="center"/>
              <w:rPr>
                <w:rFonts w:ascii="Times New Roman" w:hAnsi="Times New Roman" w:cs="Times New Roman"/>
                <w:color w:val="000000"/>
                <w:kern w:val="0"/>
                <w:sz w:val="24"/>
                <w:szCs w:val="24"/>
              </w:rPr>
            </w:pPr>
            <w:r>
              <w:rPr>
                <w:rFonts w:ascii="Times New Roman" w:hAnsi="Times New Roman" w:cs="Times New Roman"/>
                <w:color w:val="000000"/>
                <w:sz w:val="24"/>
                <w:szCs w:val="24"/>
              </w:rPr>
              <w:t>电子邮箱</w:t>
            </w:r>
          </w:p>
        </w:tc>
        <w:tc>
          <w:tcPr>
            <w:tcW w:w="183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textAlignment w:val="center"/>
              <w:rPr>
                <w:rFonts w:ascii="Times New Roman" w:hAnsi="Times New Roman"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3" w:hRule="atLeast"/>
        </w:trPr>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单位</w:t>
            </w:r>
            <w:r>
              <w:rPr>
                <w:rFonts w:hint="eastAsia" w:ascii="Times New Roman" w:hAnsi="Times New Roman" w:cs="Times New Roman"/>
                <w:color w:val="000000"/>
                <w:sz w:val="24"/>
                <w:szCs w:val="24"/>
              </w:rPr>
              <w:t>简介</w:t>
            </w:r>
          </w:p>
          <w:p>
            <w:pPr>
              <w:spacing w:line="240" w:lineRule="auto"/>
              <w:ind w:firstLine="0" w:firstLine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（不超过</w:t>
            </w:r>
            <w:r>
              <w:rPr>
                <w:rFonts w:ascii="Times New Roman" w:hAnsi="Times New Roman" w:cs="Times New Roman"/>
                <w:color w:val="000000"/>
                <w:sz w:val="24"/>
                <w:szCs w:val="24"/>
              </w:rPr>
              <w:t>500</w:t>
            </w:r>
            <w:r>
              <w:rPr>
                <w:rFonts w:hint="eastAsia" w:ascii="Times New Roman" w:hAnsi="Times New Roman" w:cs="Times New Roman"/>
                <w:color w:val="000000"/>
                <w:sz w:val="24"/>
                <w:szCs w:val="24"/>
              </w:rPr>
              <w:t>字）</w:t>
            </w:r>
          </w:p>
        </w:tc>
        <w:tc>
          <w:tcPr>
            <w:tcW w:w="8225" w:type="dxa"/>
            <w:gridSpan w:val="5"/>
            <w:tcBorders>
              <w:top w:val="single" w:color="auto" w:sz="4" w:space="0"/>
              <w:left w:val="nil"/>
              <w:bottom w:val="single" w:color="auto" w:sz="4" w:space="0"/>
              <w:right w:val="single" w:color="auto" w:sz="4" w:space="0"/>
            </w:tcBorders>
            <w:vAlign w:val="center"/>
          </w:tcPr>
          <w:p>
            <w:pPr>
              <w:widowControl/>
              <w:ind w:firstLine="0" w:firstLineChars="0"/>
              <w:jc w:val="left"/>
              <w:textAlignment w:val="center"/>
              <w:rPr>
                <w:rFonts w:ascii="Times New Roman" w:hAnsi="Times New Roman" w:cs="Times New Roman"/>
                <w:color w:val="000000"/>
                <w:kern w:val="0"/>
                <w:sz w:val="24"/>
                <w:szCs w:val="24"/>
              </w:rPr>
            </w:pPr>
          </w:p>
        </w:tc>
      </w:tr>
    </w:tbl>
    <w:p>
      <w:pPr>
        <w:ind w:left="0" w:leftChars="0" w:firstLine="0" w:firstLineChars="0"/>
        <w:rPr>
          <w:rFonts w:hint="eastAsia" w:ascii="Times New Roman" w:hAnsi="Times New Roman" w:eastAsia="黑体" w:cs="Times New Roman"/>
          <w:bCs/>
          <w:color w:val="000000"/>
          <w:kern w:val="44"/>
          <w:szCs w:val="44"/>
          <w:lang w:eastAsia="zh-CN"/>
        </w:rPr>
      </w:pPr>
    </w:p>
    <w:p>
      <w:pPr>
        <w:ind w:left="0" w:leftChars="0" w:firstLine="0" w:firstLineChars="0"/>
        <w:rPr>
          <w:rFonts w:hint="eastAsia" w:ascii="Times New Roman" w:hAnsi="Times New Roman" w:eastAsia="黑体" w:cs="Times New Roman"/>
          <w:color w:val="000000"/>
          <w:sz w:val="44"/>
          <w:szCs w:val="44"/>
          <w:lang w:eastAsia="zh-CN"/>
        </w:rPr>
      </w:pPr>
      <w:r>
        <w:rPr>
          <w:rFonts w:hint="eastAsia" w:ascii="Times New Roman" w:hAnsi="Times New Roman" w:eastAsia="黑体" w:cs="Times New Roman"/>
          <w:bCs/>
          <w:color w:val="000000"/>
          <w:kern w:val="44"/>
          <w:szCs w:val="44"/>
          <w:lang w:eastAsia="zh-CN"/>
        </w:rPr>
        <w:t>二、中</w:t>
      </w:r>
      <w:r>
        <w:rPr>
          <w:rFonts w:hint="eastAsia" w:ascii="Times New Roman" w:hAnsi="Times New Roman" w:eastAsia="黑体" w:cs="Times New Roman"/>
          <w:bCs/>
          <w:color w:val="000000"/>
          <w:kern w:val="44"/>
          <w:szCs w:val="44"/>
        </w:rPr>
        <w:t>小企业数字化人才培训</w:t>
      </w:r>
      <w:r>
        <w:rPr>
          <w:rFonts w:hint="eastAsia" w:ascii="Times New Roman" w:hAnsi="Times New Roman" w:eastAsia="黑体" w:cs="Times New Roman"/>
          <w:bCs/>
          <w:color w:val="000000"/>
          <w:kern w:val="44"/>
          <w:szCs w:val="44"/>
          <w:lang w:eastAsia="zh-CN"/>
        </w:rPr>
        <w:t>实施方案</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b/>
          <w:bCs/>
          <w:color w:val="auto"/>
          <w:sz w:val="28"/>
          <w:szCs w:val="28"/>
          <w:lang w:val="en-US" w:eastAsia="zh-CN"/>
        </w:rPr>
      </w:pPr>
      <w:r>
        <w:rPr>
          <w:rFonts w:hint="eastAsia" w:ascii="Times New Roman" w:hAnsi="Times New Roman"/>
          <w:b/>
          <w:bCs/>
          <w:color w:val="auto"/>
          <w:sz w:val="28"/>
          <w:szCs w:val="28"/>
          <w:lang w:val="en-US" w:eastAsia="zh-CN"/>
        </w:rPr>
        <w:t>（一）申报单位情况介绍</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（1）项目服务方案。申报单位需提供对数字化人才培训内容的服务方案，不限于培训内容、课程设置、培训目标及学员获得的证书等。</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（2）培训管理。申报单位提供培训管理制度（不限于：教学组织管理、考勤考核管理、安全管理、服务跟踪反馈等附件）。</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（3）进度安排及质量保障措施。申报单位提供质量保障措施（不限于：服务保障承诺、质控体系、进度安排与保障等）。</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（4）培训教资保障。申报单位提供数字化人才培训</w:t>
      </w:r>
      <w:r>
        <w:rPr>
          <w:rFonts w:hint="eastAsia" w:ascii="Times New Roman" w:hAnsi="Times New Roman"/>
          <w:color w:val="auto"/>
          <w:sz w:val="28"/>
          <w:szCs w:val="28"/>
          <w:lang w:val="en-US" w:eastAsia="zh-Hans"/>
        </w:rPr>
        <w:t>工作的</w:t>
      </w:r>
      <w:r>
        <w:rPr>
          <w:rFonts w:hint="eastAsia" w:ascii="Times New Roman" w:hAnsi="Times New Roman"/>
          <w:color w:val="auto"/>
          <w:sz w:val="28"/>
          <w:szCs w:val="28"/>
          <w:lang w:val="en-US" w:eastAsia="zh-CN"/>
        </w:rPr>
        <w:t>教师</w:t>
      </w:r>
      <w:r>
        <w:rPr>
          <w:rFonts w:hint="eastAsia" w:ascii="Times New Roman" w:hAnsi="Times New Roman"/>
          <w:color w:val="auto"/>
          <w:sz w:val="28"/>
          <w:szCs w:val="28"/>
          <w:lang w:val="en-US" w:eastAsia="zh-Hans"/>
        </w:rPr>
        <w:t>资源保障情况</w:t>
      </w:r>
      <w:r>
        <w:rPr>
          <w:rFonts w:hint="eastAsia" w:ascii="Times New Roman" w:hAnsi="Times New Roman"/>
          <w:color w:val="auto"/>
          <w:sz w:val="28"/>
          <w:szCs w:val="28"/>
          <w:lang w:val="en-US" w:eastAsia="zh-CN"/>
        </w:rPr>
        <w:t>。通过表格提供师资姓名、职级、简介等并加盖公章。</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（5）同类业绩。2023年至今组织数字化转型、工业互联网、人工智能等领域的人才培训经验。提供合同、协议、照片等复印件并加盖公章。</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（6）培训实力。申报单位具有政府部门发布的与数字化转型、工业互联网、人工智能等领域相关的培训类国家、省、市级奖项、荣誉、称号、实训基地等材料并加盖公章。</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（7）项目服务团队。提供团队成员学历、职级等证明材料。提供团队成员姓名、学历、职级、简介等，并提供申报当月及前任意1个月在申报单位缴纳社保资金的有效的证明材料扫描件。</w:t>
      </w:r>
    </w:p>
    <w:p>
      <w:pPr>
        <w:keepNext w:val="0"/>
        <w:keepLines w:val="0"/>
        <w:pageBreakBefore w:val="0"/>
        <w:widowControl w:val="0"/>
        <w:kinsoku/>
        <w:wordWrap/>
        <w:overflowPunct/>
        <w:topLinePunct w:val="0"/>
        <w:autoSpaceDE/>
        <w:autoSpaceDN/>
        <w:bidi w:val="0"/>
        <w:adjustRightInd w:val="0"/>
        <w:snapToGrid w:val="0"/>
        <w:spacing w:line="560" w:lineRule="exact"/>
        <w:ind w:firstLine="552" w:firstLineChars="200"/>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注：以上材料为评审主要参考依据，请详细认真填写。</w:t>
      </w:r>
    </w:p>
    <w:p>
      <w:pPr>
        <w:ind w:left="0" w:leftChars="0" w:firstLine="0" w:firstLineChars="0"/>
        <w:rPr>
          <w:rFonts w:hint="eastAsia" w:ascii="Times New Roman" w:hAnsi="Times New Roman" w:eastAsia="方正小标宋简体" w:cs="Times New Roman"/>
          <w:color w:val="000000"/>
          <w:sz w:val="36"/>
          <w:szCs w:val="24"/>
          <w:lang w:eastAsia="zh-CN"/>
        </w:rPr>
      </w:pPr>
      <w:r>
        <w:rPr>
          <w:rFonts w:hint="eastAsia" w:ascii="Times New Roman" w:hAnsi="Times New Roman"/>
          <w:color w:val="auto"/>
          <w:sz w:val="28"/>
          <w:szCs w:val="28"/>
          <w:lang w:val="en-US" w:eastAsia="zh-CN"/>
        </w:rPr>
        <w:br w:type="page"/>
      </w:r>
    </w:p>
    <w:p>
      <w:pPr>
        <w:keepNext w:val="0"/>
        <w:keepLines w:val="0"/>
        <w:pageBreakBefore w:val="0"/>
        <w:widowControl w:val="0"/>
        <w:tabs>
          <w:tab w:val="left" w:pos="1440"/>
        </w:tabs>
        <w:kinsoku/>
        <w:wordWrap/>
        <w:overflowPunct/>
        <w:topLinePunct w:val="0"/>
        <w:autoSpaceDE/>
        <w:autoSpaceDN/>
        <w:bidi w:val="0"/>
        <w:adjustRightInd/>
        <w:snapToGrid/>
        <w:spacing w:beforeLines="0" w:after="0" w:afterLines="0" w:line="560" w:lineRule="exact"/>
        <w:ind w:firstLine="0" w:firstLineChars="0"/>
        <w:jc w:val="left"/>
        <w:textAlignment w:val="auto"/>
        <w:rPr>
          <w:rFonts w:hint="eastAsia" w:ascii="Times New Roman" w:hAnsi="Times New Roman" w:eastAsia="黑体" w:cs="黑体"/>
          <w:sz w:val="32"/>
          <w:szCs w:val="24"/>
          <w:lang w:eastAsia="zh-CN"/>
          <w14:ligatures w14:val="none"/>
        </w:rPr>
      </w:pPr>
      <w:r>
        <w:rPr>
          <w:rFonts w:hint="eastAsia" w:ascii="Times New Roman" w:hAnsi="Times New Roman" w:eastAsia="黑体" w:cs="黑体"/>
          <w:sz w:val="32"/>
          <w:szCs w:val="24"/>
          <w:lang w:eastAsia="zh-CN"/>
          <w14:ligatures w14:val="none"/>
        </w:rPr>
        <w:t>三、申报单位承诺书</w:t>
      </w:r>
    </w:p>
    <w:p>
      <w:pPr>
        <w:ind w:firstLine="0" w:firstLineChars="0"/>
        <w:jc w:val="center"/>
        <w:rPr>
          <w:rFonts w:ascii="Times New Roman" w:hAnsi="Times New Roman" w:eastAsia="方正小标宋简体" w:cs="Times New Roman"/>
          <w:bCs/>
          <w:color w:val="000000"/>
          <w:sz w:val="44"/>
        </w:rPr>
      </w:pPr>
    </w:p>
    <w:p>
      <w:pPr>
        <w:ind w:firstLine="0" w:firstLineChars="0"/>
        <w:jc w:val="center"/>
        <w:rPr>
          <w:rFonts w:ascii="Times New Roman" w:hAnsi="Times New Roman" w:eastAsia="黑体" w:cs="Times New Roman"/>
          <w:color w:val="000000"/>
          <w:szCs w:val="21"/>
        </w:rPr>
      </w:pPr>
      <w:r>
        <w:rPr>
          <w:rFonts w:ascii="Times New Roman" w:hAnsi="Times New Roman" w:eastAsia="方正小标宋简体" w:cs="Times New Roman"/>
          <w:bCs/>
          <w:color w:val="000000"/>
          <w:sz w:val="44"/>
        </w:rPr>
        <w:t>申报单位承诺函</w:t>
      </w:r>
    </w:p>
    <w:p>
      <w:pPr>
        <w:spacing w:line="400" w:lineRule="exact"/>
        <w:ind w:firstLine="0" w:firstLineChars="0"/>
        <w:rPr>
          <w:rFonts w:ascii="Times New Roman" w:hAnsi="Times New Roman" w:cs="Times New Roman"/>
          <w:color w:val="000000"/>
          <w:szCs w:val="21"/>
        </w:rPr>
      </w:pP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ascii="Times New Roman" w:hAnsi="Times New Roman" w:cs="Times New Roman"/>
          <w:color w:val="000000"/>
          <w:szCs w:val="21"/>
        </w:rPr>
        <w:t>本单位已认真阅读项目申报要求，了解产业扶持专项资金使用的相关规定及国家、省、市发布的关于开展中小企业数字化转型城市试点的工作部署要求及相关政策，并承诺如下：</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一、对本项目及申报资料的真实性、合法性、完整性负责，保证不虚假申报。</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二、本单位不存在违反专项资金管理规定被限制或取消申请资格的情况。</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三、本单位未被纳入信用（中国）网</w:t>
      </w:r>
      <w:r>
        <w:rPr>
          <w:rFonts w:hint="eastAsia" w:ascii="Times New Roman" w:hAnsi="Times New Roman" w:cs="Times New Roman"/>
          <w:color w:val="000000"/>
          <w:szCs w:val="21"/>
          <w:lang w:eastAsia="zh"/>
        </w:rPr>
        <w:t>、信用（广东）</w:t>
      </w:r>
      <w:r>
        <w:rPr>
          <w:rFonts w:hint="eastAsia" w:ascii="Times New Roman" w:hAnsi="Times New Roman" w:cs="Times New Roman"/>
          <w:color w:val="000000"/>
          <w:szCs w:val="21"/>
        </w:rPr>
        <w:t>中的失信惩戒主体名单。</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四、本单位近两年内不存在因虚开发票、偷税漏税等违规违法行为被税务部门处罚。</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五、本单位近三年来未发生较大以上生产安全事故。</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六、本单位近三年内在专项审计、绩效评价、监督检查等方面未出现重大违法违纪行为。</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七、同一项目不存在向</w:t>
      </w:r>
      <w:r>
        <w:rPr>
          <w:rFonts w:hint="eastAsia" w:ascii="Times New Roman" w:hAnsi="Times New Roman" w:cs="Times New Roman"/>
          <w:color w:val="000000"/>
          <w:szCs w:val="21"/>
          <w:lang w:eastAsia="zh-CN"/>
        </w:rPr>
        <w:t>汕头</w:t>
      </w:r>
      <w:r>
        <w:rPr>
          <w:rFonts w:hint="eastAsia" w:ascii="Times New Roman" w:hAnsi="Times New Roman" w:cs="Times New Roman"/>
          <w:color w:val="000000"/>
          <w:szCs w:val="21"/>
        </w:rPr>
        <w:t>市多个资金主管部门申报资助的情况。</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lang w:eastAsia="zh-CN"/>
        </w:rPr>
        <w:t>八</w:t>
      </w:r>
      <w:r>
        <w:rPr>
          <w:rFonts w:hint="eastAsia" w:ascii="Times New Roman" w:hAnsi="Times New Roman" w:cs="Times New Roman"/>
          <w:color w:val="000000"/>
          <w:szCs w:val="21"/>
        </w:rPr>
        <w:t>、收到专项资金后，按照《企业会计准则》《企业财务通则》等规定进行财务处理，并按规定用途使用。专项资金的使用、管理情况自觉接受相关部门的绩效评价、监督检查。</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lang w:eastAsia="zh-CN"/>
        </w:rPr>
        <w:t>九</w:t>
      </w:r>
      <w:r>
        <w:rPr>
          <w:rFonts w:hint="eastAsia" w:ascii="Times New Roman" w:hAnsi="Times New Roman" w:cs="Times New Roman"/>
          <w:color w:val="000000"/>
          <w:szCs w:val="21"/>
        </w:rPr>
        <w:t>、在试点期间配合</w:t>
      </w:r>
      <w:r>
        <w:rPr>
          <w:rFonts w:hint="eastAsia" w:ascii="Times New Roman" w:hAnsi="Times New Roman" w:cs="Times New Roman"/>
          <w:color w:val="000000"/>
          <w:szCs w:val="21"/>
          <w:lang w:eastAsia="zh-CN"/>
        </w:rPr>
        <w:t>汕头</w:t>
      </w:r>
      <w:r>
        <w:rPr>
          <w:rFonts w:hint="eastAsia" w:ascii="Times New Roman" w:hAnsi="Times New Roman" w:cs="Times New Roman"/>
          <w:color w:val="000000"/>
          <w:szCs w:val="21"/>
        </w:rPr>
        <w:t>市工业和信息化局或其委托的第三方机构开展项目过程监管等工作。</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r>
        <w:rPr>
          <w:rFonts w:hint="eastAsia" w:ascii="Times New Roman" w:hAnsi="Times New Roman" w:cs="Times New Roman"/>
          <w:color w:val="000000"/>
          <w:szCs w:val="21"/>
        </w:rPr>
        <w:t>若违反上述承诺或相关规定，本单位同意有关部门将失信违规情况录入信用网，并按相关规定处理，依法追究相应法律责任。</w:t>
      </w:r>
    </w:p>
    <w:p>
      <w:pPr>
        <w:keepNext w:val="0"/>
        <w:keepLines w:val="0"/>
        <w:pageBreakBefore w:val="0"/>
        <w:widowControl w:val="0"/>
        <w:kinsoku/>
        <w:wordWrap/>
        <w:overflowPunct/>
        <w:topLinePunct w:val="0"/>
        <w:autoSpaceDE/>
        <w:autoSpaceDN/>
        <w:bidi w:val="0"/>
        <w:spacing w:line="340" w:lineRule="exact"/>
        <w:ind w:firstLine="632"/>
        <w:textAlignment w:val="auto"/>
        <w:rPr>
          <w:rFonts w:ascii="Times New Roman" w:hAnsi="Times New Roman" w:cs="Times New Roman"/>
          <w:color w:val="000000"/>
          <w:szCs w:val="21"/>
        </w:rPr>
      </w:pPr>
    </w:p>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Times New Roman" w:hAnsi="Times New Roman"/>
          <w:color w:val="000000"/>
          <w:kern w:val="0"/>
        </w:rPr>
      </w:pPr>
      <w:r>
        <w:rPr>
          <w:rFonts w:hint="eastAsia" w:ascii="Times New Roman" w:hAnsi="Times New Roman"/>
          <w:color w:val="000000"/>
          <w:kern w:val="0"/>
        </w:rPr>
        <w:t xml:space="preserve">      本项目负责人（签字）：</w:t>
      </w:r>
    </w:p>
    <w:p>
      <w:pPr>
        <w:keepNext w:val="0"/>
        <w:keepLines w:val="0"/>
        <w:pageBreakBefore w:val="0"/>
        <w:widowControl w:val="0"/>
        <w:kinsoku/>
        <w:wordWrap/>
        <w:overflowPunct/>
        <w:topLinePunct w:val="0"/>
        <w:autoSpaceDE/>
        <w:autoSpaceDN/>
        <w:bidi w:val="0"/>
        <w:adjustRightInd/>
        <w:snapToGrid/>
        <w:spacing w:line="340" w:lineRule="exact"/>
        <w:ind w:firstLine="2844" w:firstLineChars="900"/>
        <w:textAlignment w:val="auto"/>
        <w:rPr>
          <w:rFonts w:hint="eastAsia" w:ascii="Times New Roman" w:hAnsi="Times New Roman"/>
          <w:color w:val="000000"/>
          <w:kern w:val="0"/>
        </w:rPr>
      </w:pPr>
      <w:r>
        <w:rPr>
          <w:rFonts w:hint="eastAsia" w:ascii="Times New Roman" w:hAnsi="Times New Roman"/>
          <w:color w:val="000000"/>
          <w:kern w:val="0"/>
        </w:rPr>
        <w:t>单位法定代表人（签字或盖章）：</w:t>
      </w:r>
    </w:p>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Times New Roman" w:hAnsi="Times New Roman"/>
          <w:color w:val="000000"/>
          <w:kern w:val="0"/>
        </w:rPr>
      </w:pPr>
      <w:r>
        <w:rPr>
          <w:rFonts w:hint="eastAsia" w:ascii="Times New Roman" w:hAnsi="Times New Roman"/>
          <w:color w:val="000000"/>
          <w:kern w:val="0"/>
        </w:rPr>
        <w:t xml:space="preserve">          申报单位（盖章）：</w:t>
      </w:r>
    </w:p>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Times New Roman" w:hAnsi="Times New Roman"/>
          <w:color w:val="000000"/>
          <w:kern w:val="0"/>
        </w:rPr>
      </w:pPr>
      <w:r>
        <w:rPr>
          <w:rFonts w:hint="eastAsia" w:ascii="Times New Roman" w:hAnsi="Times New Roman"/>
          <w:color w:val="000000"/>
          <w:kern w:val="0"/>
        </w:rPr>
        <w:t xml:space="preserve">                               </w:t>
      </w:r>
    </w:p>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Times New Roman" w:hAnsi="Times New Roman"/>
          <w:color w:val="000000"/>
          <w:kern w:val="0"/>
        </w:rPr>
      </w:pPr>
      <w:r>
        <w:rPr>
          <w:rFonts w:hint="eastAsia" w:ascii="Times New Roman" w:hAnsi="Times New Roman"/>
          <w:color w:val="000000"/>
          <w:kern w:val="0"/>
        </w:rPr>
        <w:t xml:space="preserve">                            年    月    日 </w:t>
      </w:r>
    </w:p>
    <w:p>
      <w:pPr>
        <w:rPr>
          <w:rFonts w:ascii="Times New Roman" w:hAnsi="Times New Roman" w:eastAsia="方正小标宋简体" w:cs="Times New Roman"/>
          <w:bCs/>
          <w:color w:val="000000"/>
          <w:sz w:val="44"/>
        </w:rPr>
      </w:pPr>
      <w:r>
        <w:rPr>
          <w:rFonts w:ascii="Times New Roman" w:hAnsi="Times New Roman" w:eastAsia="方正小标宋简体" w:cs="Times New Roman"/>
          <w:bCs/>
          <w:color w:val="000000"/>
          <w:sz w:val="44"/>
        </w:rPr>
        <w:br w:type="page"/>
      </w:r>
    </w:p>
    <w:p>
      <w:pPr>
        <w:keepNext w:val="0"/>
        <w:keepLines w:val="0"/>
        <w:pageBreakBefore w:val="0"/>
        <w:widowControl w:val="0"/>
        <w:tabs>
          <w:tab w:val="left" w:pos="1440"/>
        </w:tabs>
        <w:kinsoku/>
        <w:wordWrap/>
        <w:overflowPunct/>
        <w:topLinePunct w:val="0"/>
        <w:autoSpaceDE/>
        <w:autoSpaceDN/>
        <w:bidi w:val="0"/>
        <w:adjustRightInd/>
        <w:snapToGrid/>
        <w:spacing w:beforeLines="0" w:after="0" w:afterLines="0" w:line="560" w:lineRule="exact"/>
        <w:ind w:firstLine="0" w:firstLineChars="0"/>
        <w:jc w:val="left"/>
        <w:textAlignment w:val="auto"/>
        <w:rPr>
          <w:rFonts w:hint="eastAsia" w:ascii="Times New Roman" w:hAnsi="Times New Roman" w:eastAsia="黑体" w:cs="黑体"/>
          <w:sz w:val="32"/>
          <w:szCs w:val="24"/>
          <w:lang w:eastAsia="zh-CN"/>
          <w14:ligatures w14:val="none"/>
        </w:rPr>
      </w:pPr>
      <w:r>
        <w:rPr>
          <w:rFonts w:hint="eastAsia" w:ascii="Times New Roman" w:hAnsi="Times New Roman" w:eastAsia="黑体" w:cs="黑体"/>
          <w:sz w:val="32"/>
          <w:szCs w:val="24"/>
          <w:lang w:eastAsia="zh-CN"/>
          <w14:ligatures w14:val="none"/>
        </w:rPr>
        <w:t>四、自评分表</w:t>
      </w:r>
    </w:p>
    <w:tbl>
      <w:tblPr>
        <w:tblStyle w:val="22"/>
        <w:tblW w:w="9555" w:type="dxa"/>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270"/>
        <w:gridCol w:w="5750"/>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885" w:type="dxa"/>
            <w:vAlign w:val="center"/>
          </w:tcPr>
          <w:p>
            <w:pPr>
              <w:pStyle w:val="2"/>
              <w:keepNext w:val="0"/>
              <w:keepLines w:val="0"/>
              <w:pageBreakBefore w:val="0"/>
              <w:widowControl w:val="0"/>
              <w:kinsoku/>
              <w:wordWrap/>
              <w:overflowPunct/>
              <w:topLinePunct w:val="0"/>
              <w:autoSpaceDE/>
              <w:autoSpaceDN/>
              <w:bidi w:val="0"/>
              <w:adjustRightInd/>
              <w:snapToGrid/>
              <w:spacing w:after="0" w:line="300" w:lineRule="exact"/>
              <w:ind w:firstLine="0" w:firstLineChars="0"/>
              <w:jc w:val="center"/>
              <w:textAlignment w:val="auto"/>
              <w:rPr>
                <w:rFonts w:hint="eastAsia" w:ascii="Times New Roman" w:hAnsi="Times New Roman" w:eastAsia="楷体" w:cs="楷体"/>
                <w:color w:val="auto"/>
                <w:sz w:val="28"/>
                <w:szCs w:val="28"/>
                <w:vertAlign w:val="baseline"/>
                <w:lang w:val="en-US" w:eastAsia="zh-CN"/>
              </w:rPr>
            </w:pPr>
            <w:r>
              <w:rPr>
                <w:rFonts w:hint="eastAsia" w:ascii="Times New Roman" w:hAnsi="Times New Roman" w:eastAsia="楷体" w:cs="楷体"/>
                <w:color w:val="auto"/>
                <w:sz w:val="28"/>
                <w:szCs w:val="28"/>
                <w:vertAlign w:val="baseline"/>
                <w:lang w:val="en-US" w:eastAsia="zh-CN"/>
              </w:rPr>
              <w:t>分数构成</w:t>
            </w:r>
          </w:p>
        </w:tc>
        <w:tc>
          <w:tcPr>
            <w:tcW w:w="1270" w:type="dxa"/>
            <w:vAlign w:val="center"/>
          </w:tcPr>
          <w:p>
            <w:pPr>
              <w:pStyle w:val="2"/>
              <w:keepNext w:val="0"/>
              <w:keepLines w:val="0"/>
              <w:pageBreakBefore w:val="0"/>
              <w:widowControl w:val="0"/>
              <w:kinsoku/>
              <w:wordWrap/>
              <w:overflowPunct/>
              <w:topLinePunct w:val="0"/>
              <w:autoSpaceDE/>
              <w:autoSpaceDN/>
              <w:bidi w:val="0"/>
              <w:adjustRightInd/>
              <w:snapToGrid/>
              <w:spacing w:after="0" w:line="300" w:lineRule="exact"/>
              <w:ind w:firstLine="0" w:firstLineChars="0"/>
              <w:jc w:val="center"/>
              <w:textAlignment w:val="auto"/>
              <w:rPr>
                <w:rFonts w:hint="eastAsia" w:ascii="Times New Roman" w:hAnsi="Times New Roman" w:eastAsia="楷体" w:cs="楷体"/>
                <w:color w:val="auto"/>
                <w:sz w:val="28"/>
                <w:szCs w:val="28"/>
                <w:vertAlign w:val="baseline"/>
                <w:lang w:val="en-US" w:eastAsia="zh-CN"/>
              </w:rPr>
            </w:pPr>
            <w:r>
              <w:rPr>
                <w:rFonts w:hint="eastAsia" w:ascii="Times New Roman" w:hAnsi="Times New Roman" w:eastAsia="楷体" w:cs="楷体"/>
                <w:color w:val="auto"/>
                <w:sz w:val="28"/>
                <w:szCs w:val="28"/>
                <w:vertAlign w:val="baseline"/>
                <w:lang w:val="en-US" w:eastAsia="zh-CN"/>
              </w:rPr>
              <w:t>自评分数</w:t>
            </w:r>
          </w:p>
        </w:tc>
        <w:tc>
          <w:tcPr>
            <w:tcW w:w="5750" w:type="dxa"/>
            <w:vAlign w:val="center"/>
          </w:tcPr>
          <w:p>
            <w:pPr>
              <w:pStyle w:val="2"/>
              <w:keepNext w:val="0"/>
              <w:keepLines w:val="0"/>
              <w:pageBreakBefore w:val="0"/>
              <w:widowControl w:val="0"/>
              <w:kinsoku/>
              <w:wordWrap/>
              <w:overflowPunct/>
              <w:topLinePunct w:val="0"/>
              <w:autoSpaceDE/>
              <w:autoSpaceDN/>
              <w:bidi w:val="0"/>
              <w:adjustRightInd/>
              <w:snapToGrid/>
              <w:spacing w:after="0" w:line="300" w:lineRule="exact"/>
              <w:ind w:firstLine="0" w:firstLineChars="0"/>
              <w:jc w:val="center"/>
              <w:textAlignment w:val="auto"/>
              <w:rPr>
                <w:rFonts w:hint="eastAsia" w:ascii="Times New Roman" w:hAnsi="Times New Roman" w:eastAsia="楷体" w:cs="楷体"/>
                <w:color w:val="auto"/>
                <w:sz w:val="28"/>
                <w:szCs w:val="28"/>
                <w:vertAlign w:val="baseline"/>
                <w:lang w:val="en-US" w:eastAsia="zh-CN"/>
              </w:rPr>
            </w:pPr>
            <w:r>
              <w:rPr>
                <w:rFonts w:hint="eastAsia" w:ascii="Times New Roman" w:hAnsi="Times New Roman" w:eastAsia="楷体" w:cs="楷体"/>
                <w:color w:val="auto"/>
                <w:sz w:val="28"/>
                <w:szCs w:val="28"/>
                <w:vertAlign w:val="baseline"/>
                <w:lang w:val="en-US" w:eastAsia="zh-CN"/>
              </w:rPr>
              <w:t>评审标准</w:t>
            </w:r>
          </w:p>
        </w:tc>
        <w:tc>
          <w:tcPr>
            <w:tcW w:w="1650" w:type="dxa"/>
            <w:vAlign w:val="center"/>
          </w:tcPr>
          <w:p>
            <w:pPr>
              <w:pStyle w:val="2"/>
              <w:keepNext w:val="0"/>
              <w:keepLines w:val="0"/>
              <w:pageBreakBefore w:val="0"/>
              <w:widowControl w:val="0"/>
              <w:kinsoku/>
              <w:wordWrap/>
              <w:overflowPunct/>
              <w:topLinePunct w:val="0"/>
              <w:autoSpaceDE/>
              <w:autoSpaceDN/>
              <w:bidi w:val="0"/>
              <w:adjustRightInd/>
              <w:snapToGrid/>
              <w:spacing w:after="0" w:line="300" w:lineRule="exact"/>
              <w:ind w:firstLine="0" w:firstLineChars="0"/>
              <w:jc w:val="center"/>
              <w:textAlignment w:val="auto"/>
              <w:rPr>
                <w:rFonts w:hint="eastAsia" w:ascii="Times New Roman" w:hAnsi="Times New Roman" w:eastAsia="楷体" w:cs="楷体"/>
                <w:color w:val="auto"/>
                <w:sz w:val="28"/>
                <w:szCs w:val="28"/>
                <w:vertAlign w:val="baseline"/>
                <w:lang w:val="en-US" w:eastAsia="zh-CN"/>
              </w:rPr>
            </w:pPr>
            <w:r>
              <w:rPr>
                <w:rFonts w:hint="eastAsia" w:ascii="Times New Roman" w:hAnsi="Times New Roman" w:eastAsia="楷体" w:cs="楷体"/>
                <w:color w:val="auto"/>
                <w:sz w:val="28"/>
                <w:szCs w:val="28"/>
                <w:vertAlign w:val="baseline"/>
                <w:lang w:val="en-US" w:eastAsia="zh-CN"/>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6" w:hRule="atLeast"/>
        </w:trPr>
        <w:tc>
          <w:tcPr>
            <w:tcW w:w="885"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技术部分</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项目服务方案（10分）</w:t>
            </w:r>
          </w:p>
        </w:tc>
        <w:tc>
          <w:tcPr>
            <w:tcW w:w="5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申报单位对数字化人才培训内容提供对本项目的服务方案，包括但不限于项目背景、培训内容、课程设置、培训目标的理解、把握情况进行综合评审。</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 xml:space="preserve">1.服务方案完全满足且优于本项目需求，得7-10分； </w:t>
            </w:r>
            <w:r>
              <w:rPr>
                <w:rFonts w:hint="eastAsia" w:ascii="Times New Roman" w:hAnsi="Times New Roman"/>
                <w:color w:val="auto"/>
                <w:sz w:val="28"/>
                <w:szCs w:val="28"/>
                <w:lang w:val="en-US" w:eastAsia="zh-CN"/>
              </w:rPr>
              <w:br w:type="textWrapping"/>
            </w:r>
            <w:r>
              <w:rPr>
                <w:rFonts w:hint="eastAsia" w:ascii="Times New Roman" w:hAnsi="Times New Roman"/>
                <w:color w:val="auto"/>
                <w:sz w:val="28"/>
                <w:szCs w:val="28"/>
                <w:lang w:val="en-US" w:eastAsia="zh-CN"/>
              </w:rPr>
              <w:t xml:space="preserve">2.服务方案完全满足本项目采购需求，得3-6分； </w:t>
            </w:r>
            <w:r>
              <w:rPr>
                <w:rFonts w:hint="eastAsia" w:ascii="Times New Roman" w:hAnsi="Times New Roman"/>
                <w:color w:val="auto"/>
                <w:sz w:val="28"/>
                <w:szCs w:val="28"/>
                <w:lang w:val="en-US" w:eastAsia="zh-CN"/>
              </w:rPr>
              <w:br w:type="textWrapping"/>
            </w:r>
            <w:r>
              <w:rPr>
                <w:rFonts w:hint="eastAsia" w:ascii="Times New Roman" w:hAnsi="Times New Roman"/>
                <w:color w:val="auto"/>
                <w:sz w:val="28"/>
                <w:szCs w:val="28"/>
                <w:lang w:val="en-US" w:eastAsia="zh-CN"/>
              </w:rPr>
              <w:t>3.服务方案基本满足项目采购需求，得1-2分；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4.其他或无相关内容的，得0分。</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0" w:hRule="atLeast"/>
        </w:trPr>
        <w:tc>
          <w:tcPr>
            <w:tcW w:w="88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培训管理制度（10分）</w:t>
            </w:r>
          </w:p>
        </w:tc>
        <w:tc>
          <w:tcPr>
            <w:tcW w:w="5750" w:type="dxa"/>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申报单位服务团队所制定的培训管理制度（包含但不限于：教学组织管理、团队考勤考核管理、安全管理、服务跟踪反馈等）进行评审：</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1</w:t>
            </w:r>
            <w:r>
              <w:rPr>
                <w:rFonts w:hint="eastAsia" w:ascii="Times New Roman"/>
                <w:color w:val="auto"/>
                <w:sz w:val="28"/>
                <w:szCs w:val="28"/>
                <w:lang w:val="en-US" w:eastAsia="zh-CN"/>
              </w:rPr>
              <w:t>.</w:t>
            </w:r>
            <w:r>
              <w:rPr>
                <w:rFonts w:hint="eastAsia" w:ascii="Times New Roman" w:hAnsi="Times New Roman"/>
                <w:color w:val="auto"/>
                <w:sz w:val="28"/>
                <w:szCs w:val="28"/>
                <w:lang w:val="en-US" w:eastAsia="zh-CN"/>
              </w:rPr>
              <w:t>管理制度完全优于采购需求的，得7-10分；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2</w:t>
            </w:r>
            <w:r>
              <w:rPr>
                <w:rFonts w:hint="eastAsia" w:ascii="Times New Roman"/>
                <w:color w:val="auto"/>
                <w:sz w:val="28"/>
                <w:szCs w:val="28"/>
                <w:lang w:val="en-US" w:eastAsia="zh-CN"/>
              </w:rPr>
              <w:t>.</w:t>
            </w:r>
            <w:r>
              <w:rPr>
                <w:rFonts w:hint="eastAsia" w:ascii="Times New Roman" w:hAnsi="Times New Roman"/>
                <w:color w:val="auto"/>
                <w:sz w:val="28"/>
                <w:szCs w:val="28"/>
                <w:lang w:val="en-US" w:eastAsia="zh-CN"/>
              </w:rPr>
              <w:t>管理制度完全满足采购需求的，得4-6分；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3</w:t>
            </w:r>
            <w:r>
              <w:rPr>
                <w:rFonts w:hint="eastAsia" w:ascii="Times New Roman"/>
                <w:color w:val="auto"/>
                <w:sz w:val="28"/>
                <w:szCs w:val="28"/>
                <w:lang w:val="en-US" w:eastAsia="zh-CN"/>
              </w:rPr>
              <w:t>.</w:t>
            </w:r>
            <w:r>
              <w:rPr>
                <w:rFonts w:hint="eastAsia" w:ascii="Times New Roman" w:hAnsi="Times New Roman"/>
                <w:color w:val="auto"/>
                <w:sz w:val="28"/>
                <w:szCs w:val="28"/>
                <w:lang w:val="en-US" w:eastAsia="zh-CN"/>
              </w:rPr>
              <w:t>管理制度基本完全满足采购需求的，得1-3分；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4</w:t>
            </w:r>
            <w:r>
              <w:rPr>
                <w:rFonts w:hint="eastAsia" w:ascii="Times New Roman"/>
                <w:color w:val="auto"/>
                <w:sz w:val="28"/>
                <w:szCs w:val="28"/>
                <w:lang w:val="en-US" w:eastAsia="zh-CN"/>
              </w:rPr>
              <w:t>.</w:t>
            </w:r>
            <w:r>
              <w:rPr>
                <w:rFonts w:hint="eastAsia" w:ascii="Times New Roman" w:hAnsi="Times New Roman"/>
                <w:color w:val="auto"/>
                <w:sz w:val="28"/>
                <w:szCs w:val="28"/>
                <w:lang w:val="en-US" w:eastAsia="zh-CN"/>
              </w:rPr>
              <w:t>其他或无相关内容的，得0分。</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4" w:hRule="atLeast"/>
        </w:trPr>
        <w:tc>
          <w:tcPr>
            <w:tcW w:w="88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进度安排及保障（10分）</w:t>
            </w:r>
          </w:p>
        </w:tc>
        <w:tc>
          <w:tcPr>
            <w:tcW w:w="5750" w:type="dxa"/>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申报单位对培训计划及进度安排的合理性，包括但不限于项目工作计划、各环节进度安排以及与项目实际开展需求的情况进行综合评审：</w:t>
            </w:r>
            <w:r>
              <w:rPr>
                <w:rFonts w:hint="eastAsia" w:ascii="Times New Roman" w:hAnsi="Times New Roman"/>
                <w:color w:val="auto"/>
                <w:sz w:val="28"/>
                <w:szCs w:val="28"/>
                <w:lang w:val="en-US" w:eastAsia="zh-CN"/>
              </w:rPr>
              <w:br w:type="textWrapping"/>
            </w:r>
            <w:r>
              <w:rPr>
                <w:rFonts w:hint="eastAsia" w:ascii="Times New Roman" w:hAnsi="Times New Roman"/>
                <w:color w:val="auto"/>
                <w:sz w:val="28"/>
                <w:szCs w:val="28"/>
                <w:lang w:val="en-US" w:eastAsia="zh-CN"/>
              </w:rPr>
              <w:t xml:space="preserve">1.培训计划及进度安排保障完全满足且优于本项目采购需求，得7-10分； </w:t>
            </w:r>
            <w:r>
              <w:rPr>
                <w:rFonts w:hint="eastAsia" w:ascii="Times New Roman" w:hAnsi="Times New Roman"/>
                <w:color w:val="auto"/>
                <w:sz w:val="28"/>
                <w:szCs w:val="28"/>
                <w:lang w:val="en-US" w:eastAsia="zh-CN"/>
              </w:rPr>
              <w:br w:type="textWrapping"/>
            </w:r>
            <w:r>
              <w:rPr>
                <w:rFonts w:hint="eastAsia" w:ascii="Times New Roman" w:hAnsi="Times New Roman"/>
                <w:color w:val="auto"/>
                <w:sz w:val="28"/>
                <w:szCs w:val="28"/>
                <w:lang w:val="en-US" w:eastAsia="zh-CN"/>
              </w:rPr>
              <w:t xml:space="preserve">2.培训计划及进度安排保障完全满足本项目采购需求，得4-6分； </w:t>
            </w:r>
            <w:r>
              <w:rPr>
                <w:rFonts w:hint="eastAsia" w:ascii="Times New Roman" w:hAnsi="Times New Roman"/>
                <w:color w:val="auto"/>
                <w:sz w:val="28"/>
                <w:szCs w:val="28"/>
                <w:lang w:val="en-US" w:eastAsia="zh-CN"/>
              </w:rPr>
              <w:br w:type="textWrapping"/>
            </w:r>
            <w:r>
              <w:rPr>
                <w:rFonts w:hint="eastAsia" w:ascii="Times New Roman" w:hAnsi="Times New Roman"/>
                <w:color w:val="auto"/>
                <w:sz w:val="28"/>
                <w:szCs w:val="28"/>
                <w:lang w:val="en-US" w:eastAsia="zh-CN"/>
              </w:rPr>
              <w:t xml:space="preserve">3.培训计划及进度安排保障基本满足项目采购需求，得1-3分； </w:t>
            </w:r>
            <w:r>
              <w:rPr>
                <w:rFonts w:hint="eastAsia" w:ascii="Times New Roman" w:hAnsi="Times New Roman"/>
                <w:color w:val="auto"/>
                <w:sz w:val="28"/>
                <w:szCs w:val="28"/>
                <w:lang w:val="en-US" w:eastAsia="zh-CN"/>
              </w:rPr>
              <w:br w:type="textWrapping"/>
            </w:r>
            <w:r>
              <w:rPr>
                <w:rFonts w:hint="eastAsia" w:ascii="Times New Roman" w:hAnsi="Times New Roman"/>
                <w:color w:val="auto"/>
                <w:sz w:val="28"/>
                <w:szCs w:val="28"/>
                <w:lang w:val="en-US" w:eastAsia="zh-CN"/>
              </w:rPr>
              <w:t>4.其他或无相关内容的，得0分。</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0" w:hRule="atLeast"/>
        </w:trPr>
        <w:tc>
          <w:tcPr>
            <w:tcW w:w="88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质量保障措施 （10分）</w:t>
            </w:r>
          </w:p>
        </w:tc>
        <w:tc>
          <w:tcPr>
            <w:tcW w:w="5750" w:type="dxa"/>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根据申报单位针对本项目提交的质量保障措施（包含但不限于：服务保障承诺、质控体系等）进行评审：</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1</w:t>
            </w:r>
            <w:r>
              <w:rPr>
                <w:rFonts w:hint="eastAsia" w:ascii="Times New Roman"/>
                <w:color w:val="auto"/>
                <w:sz w:val="28"/>
                <w:szCs w:val="28"/>
                <w:lang w:val="en-US" w:eastAsia="zh-CN"/>
              </w:rPr>
              <w:t>.</w:t>
            </w:r>
            <w:r>
              <w:rPr>
                <w:rFonts w:hint="eastAsia" w:ascii="Times New Roman" w:hAnsi="Times New Roman"/>
                <w:color w:val="auto"/>
                <w:sz w:val="28"/>
                <w:szCs w:val="28"/>
                <w:lang w:val="en-US" w:eastAsia="zh-CN"/>
              </w:rPr>
              <w:t>质量保障措施优于采购需求的，得7-10分；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2</w:t>
            </w:r>
            <w:r>
              <w:rPr>
                <w:rFonts w:hint="eastAsia" w:ascii="Times New Roman"/>
                <w:color w:val="auto"/>
                <w:sz w:val="28"/>
                <w:szCs w:val="28"/>
                <w:lang w:val="en-US" w:eastAsia="zh-CN"/>
              </w:rPr>
              <w:t>.</w:t>
            </w:r>
            <w:r>
              <w:rPr>
                <w:rFonts w:hint="eastAsia" w:ascii="Times New Roman" w:hAnsi="Times New Roman"/>
                <w:color w:val="auto"/>
                <w:sz w:val="28"/>
                <w:szCs w:val="28"/>
                <w:lang w:val="en-US" w:eastAsia="zh-CN"/>
              </w:rPr>
              <w:t>质量保障措施完全满足采购需求的，得4-6分；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3</w:t>
            </w:r>
            <w:r>
              <w:rPr>
                <w:rFonts w:hint="eastAsia" w:ascii="Times New Roman"/>
                <w:color w:val="auto"/>
                <w:sz w:val="28"/>
                <w:szCs w:val="28"/>
                <w:lang w:val="en-US" w:eastAsia="zh-CN"/>
              </w:rPr>
              <w:t>.</w:t>
            </w:r>
            <w:r>
              <w:rPr>
                <w:rFonts w:hint="eastAsia" w:ascii="Times New Roman" w:hAnsi="Times New Roman"/>
                <w:color w:val="auto"/>
                <w:sz w:val="28"/>
                <w:szCs w:val="28"/>
                <w:lang w:val="en-US" w:eastAsia="zh-CN"/>
              </w:rPr>
              <w:t>质量保障措施基本满足采购需求的，得1-3分；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4</w:t>
            </w:r>
            <w:r>
              <w:rPr>
                <w:rFonts w:hint="eastAsia" w:ascii="Times New Roman"/>
                <w:color w:val="auto"/>
                <w:sz w:val="28"/>
                <w:szCs w:val="28"/>
                <w:lang w:val="en-US" w:eastAsia="zh-CN"/>
              </w:rPr>
              <w:t>.</w:t>
            </w:r>
            <w:bookmarkStart w:id="0" w:name="_GoBack"/>
            <w:bookmarkEnd w:id="0"/>
            <w:r>
              <w:rPr>
                <w:rFonts w:hint="eastAsia" w:ascii="Times New Roman" w:hAnsi="Times New Roman"/>
                <w:color w:val="auto"/>
                <w:sz w:val="28"/>
                <w:szCs w:val="28"/>
                <w:lang w:val="en-US" w:eastAsia="zh-CN"/>
              </w:rPr>
              <w:t>其他或无相关内容的，得0分。</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3" w:hRule="atLeast"/>
        </w:trPr>
        <w:tc>
          <w:tcPr>
            <w:tcW w:w="885"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商务部分</w:t>
            </w: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培训教资保障（10分）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c>
          <w:tcPr>
            <w:tcW w:w="5750" w:type="dxa"/>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申报单位对数字化人才培训</w:t>
            </w:r>
            <w:r>
              <w:rPr>
                <w:rFonts w:hint="eastAsia" w:ascii="Times New Roman" w:hAnsi="Times New Roman"/>
                <w:color w:val="auto"/>
                <w:sz w:val="28"/>
                <w:szCs w:val="28"/>
                <w:lang w:val="en-US" w:eastAsia="zh-Hans"/>
              </w:rPr>
              <w:t>工作的</w:t>
            </w:r>
            <w:r>
              <w:rPr>
                <w:rFonts w:hint="eastAsia" w:ascii="Times New Roman" w:hAnsi="Times New Roman"/>
                <w:color w:val="auto"/>
                <w:sz w:val="28"/>
                <w:szCs w:val="28"/>
                <w:lang w:val="en-US" w:eastAsia="zh-CN"/>
              </w:rPr>
              <w:t>教师</w:t>
            </w:r>
            <w:r>
              <w:rPr>
                <w:rFonts w:hint="eastAsia" w:ascii="Times New Roman" w:hAnsi="Times New Roman"/>
                <w:color w:val="auto"/>
                <w:sz w:val="28"/>
                <w:szCs w:val="28"/>
                <w:lang w:val="en-US" w:eastAsia="zh-Hans"/>
              </w:rPr>
              <w:t>资源保障情况，</w:t>
            </w:r>
            <w:r>
              <w:rPr>
                <w:rFonts w:hint="eastAsia" w:ascii="Times New Roman" w:hAnsi="Times New Roman"/>
                <w:color w:val="auto"/>
                <w:sz w:val="28"/>
                <w:szCs w:val="28"/>
                <w:lang w:val="en-US" w:eastAsia="zh-CN"/>
              </w:rPr>
              <w:t>申报单位</w:t>
            </w:r>
            <w:r>
              <w:rPr>
                <w:rFonts w:hint="eastAsia" w:ascii="Times New Roman" w:hAnsi="Times New Roman"/>
                <w:color w:val="auto"/>
                <w:sz w:val="28"/>
                <w:szCs w:val="28"/>
                <w:lang w:val="en-US" w:eastAsia="zh-Hans"/>
              </w:rPr>
              <w:t>拥有</w:t>
            </w:r>
            <w:r>
              <w:rPr>
                <w:rFonts w:hint="eastAsia" w:ascii="Times New Roman" w:hAnsi="Times New Roman"/>
                <w:color w:val="auto"/>
                <w:sz w:val="28"/>
                <w:szCs w:val="28"/>
                <w:lang w:val="en-US" w:eastAsia="zh-CN"/>
              </w:rPr>
              <w:t>10</w:t>
            </w:r>
            <w:r>
              <w:rPr>
                <w:rFonts w:hint="eastAsia" w:ascii="Times New Roman" w:hAnsi="Times New Roman"/>
                <w:color w:val="auto"/>
                <w:sz w:val="28"/>
                <w:szCs w:val="28"/>
                <w:lang w:val="en-US" w:eastAsia="zh-Hans"/>
              </w:rPr>
              <w:t>人</w:t>
            </w:r>
            <w:r>
              <w:rPr>
                <w:rFonts w:hint="eastAsia" w:ascii="Times New Roman" w:hAnsi="Times New Roman"/>
                <w:color w:val="auto"/>
                <w:sz w:val="28"/>
                <w:szCs w:val="28"/>
                <w:lang w:val="en-US" w:eastAsia="zh-CN"/>
              </w:rPr>
              <w:t>以下</w:t>
            </w:r>
            <w:r>
              <w:rPr>
                <w:rFonts w:hint="eastAsia" w:ascii="Times New Roman" w:hAnsi="Times New Roman"/>
                <w:color w:val="auto"/>
                <w:sz w:val="28"/>
                <w:szCs w:val="28"/>
                <w:lang w:val="en-US" w:eastAsia="zh-Hans"/>
              </w:rPr>
              <w:t>的</w:t>
            </w:r>
            <w:r>
              <w:rPr>
                <w:rFonts w:hint="eastAsia" w:ascii="Times New Roman" w:hAnsi="Times New Roman"/>
                <w:color w:val="auto"/>
                <w:sz w:val="28"/>
                <w:szCs w:val="28"/>
                <w:lang w:val="en-US" w:eastAsia="zh-CN"/>
              </w:rPr>
              <w:t>教资</w:t>
            </w:r>
            <w:r>
              <w:rPr>
                <w:rFonts w:hint="eastAsia" w:ascii="Times New Roman" w:hAnsi="Times New Roman"/>
                <w:color w:val="auto"/>
                <w:sz w:val="28"/>
                <w:szCs w:val="28"/>
                <w:lang w:val="en-US" w:eastAsia="zh-Hans"/>
              </w:rPr>
              <w:t>库</w:t>
            </w:r>
            <w:r>
              <w:rPr>
                <w:rFonts w:hint="eastAsia" w:ascii="Times New Roman" w:hAnsi="Times New Roman"/>
                <w:color w:val="auto"/>
                <w:sz w:val="28"/>
                <w:szCs w:val="28"/>
                <w:lang w:val="en-US" w:eastAsia="zh-CN"/>
              </w:rPr>
              <w:t>（副高或以上不少于4人）</w:t>
            </w:r>
            <w:r>
              <w:rPr>
                <w:rFonts w:hint="eastAsia" w:ascii="Times New Roman" w:hAnsi="Times New Roman"/>
                <w:color w:val="auto"/>
                <w:sz w:val="28"/>
                <w:szCs w:val="28"/>
                <w:lang w:val="en-US" w:eastAsia="zh-Hans"/>
              </w:rPr>
              <w:t>，得</w:t>
            </w:r>
            <w:r>
              <w:rPr>
                <w:rFonts w:hint="eastAsia" w:ascii="Times New Roman" w:hAnsi="Times New Roman"/>
                <w:color w:val="auto"/>
                <w:sz w:val="28"/>
                <w:szCs w:val="28"/>
                <w:lang w:val="en-US" w:eastAsia="zh-CN"/>
              </w:rPr>
              <w:t>4</w:t>
            </w:r>
            <w:r>
              <w:rPr>
                <w:rFonts w:hint="eastAsia" w:ascii="Times New Roman" w:hAnsi="Times New Roman"/>
                <w:color w:val="auto"/>
                <w:sz w:val="28"/>
                <w:szCs w:val="28"/>
                <w:lang w:val="en-US" w:eastAsia="zh-Hans"/>
              </w:rPr>
              <w:t>分，</w:t>
            </w:r>
            <w:r>
              <w:rPr>
                <w:rFonts w:hint="eastAsia" w:ascii="Times New Roman" w:hAnsi="Times New Roman"/>
                <w:color w:val="auto"/>
                <w:sz w:val="28"/>
                <w:szCs w:val="28"/>
                <w:lang w:val="en-US" w:eastAsia="zh-CN"/>
              </w:rPr>
              <w:t>申报单位</w:t>
            </w:r>
            <w:r>
              <w:rPr>
                <w:rFonts w:hint="eastAsia" w:ascii="Times New Roman" w:hAnsi="Times New Roman"/>
                <w:color w:val="auto"/>
                <w:sz w:val="28"/>
                <w:szCs w:val="28"/>
                <w:lang w:val="en-US" w:eastAsia="zh-Hans"/>
              </w:rPr>
              <w:t>拥有</w:t>
            </w:r>
            <w:r>
              <w:rPr>
                <w:rFonts w:hint="eastAsia" w:ascii="Times New Roman" w:hAnsi="Times New Roman"/>
                <w:color w:val="auto"/>
                <w:sz w:val="28"/>
                <w:szCs w:val="28"/>
                <w:lang w:val="en-US" w:eastAsia="zh-CN"/>
              </w:rPr>
              <w:t>10</w:t>
            </w:r>
            <w:r>
              <w:rPr>
                <w:rFonts w:hint="eastAsia" w:ascii="Times New Roman" w:hAnsi="Times New Roman"/>
                <w:color w:val="auto"/>
                <w:sz w:val="28"/>
                <w:szCs w:val="28"/>
                <w:lang w:val="en-US" w:eastAsia="zh-Hans"/>
              </w:rPr>
              <w:t>人</w:t>
            </w:r>
            <w:r>
              <w:rPr>
                <w:rFonts w:hint="eastAsia" w:ascii="Times New Roman" w:hAnsi="Times New Roman"/>
                <w:color w:val="auto"/>
                <w:sz w:val="28"/>
                <w:szCs w:val="28"/>
                <w:lang w:val="en-US" w:eastAsia="zh-CN"/>
              </w:rPr>
              <w:t>以上（含）</w:t>
            </w:r>
            <w:r>
              <w:rPr>
                <w:rFonts w:hint="eastAsia" w:ascii="Times New Roman" w:hAnsi="Times New Roman"/>
                <w:color w:val="auto"/>
                <w:sz w:val="28"/>
                <w:szCs w:val="28"/>
                <w:lang w:val="en-US" w:eastAsia="zh-Hans"/>
              </w:rPr>
              <w:t>的</w:t>
            </w:r>
            <w:r>
              <w:rPr>
                <w:rFonts w:hint="eastAsia" w:ascii="Times New Roman" w:hAnsi="Times New Roman"/>
                <w:color w:val="auto"/>
                <w:sz w:val="28"/>
                <w:szCs w:val="28"/>
                <w:lang w:val="en-US" w:eastAsia="zh-CN"/>
              </w:rPr>
              <w:t>教资</w:t>
            </w:r>
            <w:r>
              <w:rPr>
                <w:rFonts w:hint="eastAsia" w:ascii="Times New Roman" w:hAnsi="Times New Roman"/>
                <w:color w:val="auto"/>
                <w:sz w:val="28"/>
                <w:szCs w:val="28"/>
                <w:lang w:val="en-US" w:eastAsia="zh-Hans"/>
              </w:rPr>
              <w:t>库</w:t>
            </w:r>
            <w:r>
              <w:rPr>
                <w:rFonts w:hint="eastAsia" w:ascii="Times New Roman" w:hAnsi="Times New Roman"/>
                <w:color w:val="auto"/>
                <w:sz w:val="28"/>
                <w:szCs w:val="28"/>
                <w:lang w:val="en-US" w:eastAsia="zh-CN"/>
              </w:rPr>
              <w:t>（副高或以上不少于8人）</w:t>
            </w:r>
            <w:r>
              <w:rPr>
                <w:rFonts w:hint="eastAsia" w:ascii="Times New Roman" w:hAnsi="Times New Roman"/>
                <w:color w:val="auto"/>
                <w:sz w:val="28"/>
                <w:szCs w:val="28"/>
                <w:lang w:val="en-US" w:eastAsia="zh-Hans"/>
              </w:rPr>
              <w:t>，得</w:t>
            </w:r>
            <w:r>
              <w:rPr>
                <w:rFonts w:hint="eastAsia" w:ascii="Times New Roman" w:hAnsi="Times New Roman"/>
                <w:color w:val="auto"/>
                <w:sz w:val="28"/>
                <w:szCs w:val="28"/>
                <w:lang w:val="en-US" w:eastAsia="zh-CN"/>
              </w:rPr>
              <w:t>8</w:t>
            </w:r>
            <w:r>
              <w:rPr>
                <w:rFonts w:hint="eastAsia" w:ascii="Times New Roman" w:hAnsi="Times New Roman"/>
                <w:color w:val="auto"/>
                <w:sz w:val="28"/>
                <w:szCs w:val="28"/>
                <w:lang w:val="en-US" w:eastAsia="zh-Hans"/>
              </w:rPr>
              <w:t>分，</w:t>
            </w:r>
            <w:r>
              <w:rPr>
                <w:rFonts w:hint="eastAsia" w:ascii="Times New Roman" w:hAnsi="Times New Roman"/>
                <w:color w:val="auto"/>
                <w:sz w:val="28"/>
                <w:szCs w:val="28"/>
                <w:lang w:val="en-US" w:eastAsia="zh-CN"/>
              </w:rPr>
              <w:t>申报单位</w:t>
            </w:r>
            <w:r>
              <w:rPr>
                <w:rFonts w:hint="eastAsia" w:ascii="Times New Roman" w:hAnsi="Times New Roman"/>
                <w:color w:val="auto"/>
                <w:sz w:val="28"/>
                <w:szCs w:val="28"/>
                <w:lang w:val="en-US" w:eastAsia="zh-Hans"/>
              </w:rPr>
              <w:t>拥有</w:t>
            </w:r>
            <w:r>
              <w:rPr>
                <w:rFonts w:hint="eastAsia" w:ascii="Times New Roman" w:hAnsi="Times New Roman"/>
                <w:color w:val="auto"/>
                <w:sz w:val="28"/>
                <w:szCs w:val="28"/>
                <w:lang w:val="en-US" w:eastAsia="zh-CN"/>
              </w:rPr>
              <w:t>20</w:t>
            </w:r>
            <w:r>
              <w:rPr>
                <w:rFonts w:hint="eastAsia" w:ascii="Times New Roman" w:hAnsi="Times New Roman"/>
                <w:color w:val="auto"/>
                <w:sz w:val="28"/>
                <w:szCs w:val="28"/>
                <w:lang w:val="en-US" w:eastAsia="zh-Hans"/>
              </w:rPr>
              <w:t>人</w:t>
            </w:r>
            <w:r>
              <w:rPr>
                <w:rFonts w:hint="eastAsia" w:ascii="Times New Roman" w:hAnsi="Times New Roman"/>
                <w:color w:val="auto"/>
                <w:sz w:val="28"/>
                <w:szCs w:val="28"/>
                <w:lang w:val="en-US" w:eastAsia="zh-CN"/>
              </w:rPr>
              <w:t>（含）以上</w:t>
            </w:r>
            <w:r>
              <w:rPr>
                <w:rFonts w:hint="eastAsia" w:ascii="Times New Roman" w:hAnsi="Times New Roman"/>
                <w:color w:val="auto"/>
                <w:sz w:val="28"/>
                <w:szCs w:val="28"/>
                <w:lang w:val="en-US" w:eastAsia="zh-Hans"/>
              </w:rPr>
              <w:t>的</w:t>
            </w:r>
            <w:r>
              <w:rPr>
                <w:rFonts w:hint="eastAsia" w:ascii="Times New Roman" w:hAnsi="Times New Roman"/>
                <w:color w:val="auto"/>
                <w:sz w:val="28"/>
                <w:szCs w:val="28"/>
                <w:lang w:val="en-US" w:eastAsia="zh-CN"/>
              </w:rPr>
              <w:t>教资</w:t>
            </w:r>
            <w:r>
              <w:rPr>
                <w:rFonts w:hint="eastAsia" w:ascii="Times New Roman" w:hAnsi="Times New Roman"/>
                <w:color w:val="auto"/>
                <w:sz w:val="28"/>
                <w:szCs w:val="28"/>
                <w:lang w:val="en-US" w:eastAsia="zh-Hans"/>
              </w:rPr>
              <w:t>库</w:t>
            </w:r>
            <w:r>
              <w:rPr>
                <w:rFonts w:hint="eastAsia" w:ascii="Times New Roman" w:hAnsi="Times New Roman"/>
                <w:color w:val="auto"/>
                <w:sz w:val="28"/>
                <w:szCs w:val="28"/>
                <w:lang w:val="en-US" w:eastAsia="zh-CN"/>
              </w:rPr>
              <w:t>（副高或以上不少于15人）</w:t>
            </w:r>
            <w:r>
              <w:rPr>
                <w:rFonts w:hint="eastAsia" w:ascii="Times New Roman" w:hAnsi="Times New Roman"/>
                <w:color w:val="auto"/>
                <w:sz w:val="28"/>
                <w:szCs w:val="28"/>
                <w:lang w:val="en-US" w:eastAsia="zh-Hans"/>
              </w:rPr>
              <w:t>，得</w:t>
            </w:r>
            <w:r>
              <w:rPr>
                <w:rFonts w:hint="eastAsia" w:ascii="Times New Roman" w:hAnsi="Times New Roman"/>
                <w:color w:val="auto"/>
                <w:sz w:val="28"/>
                <w:szCs w:val="28"/>
                <w:lang w:val="en-US" w:eastAsia="zh-CN"/>
              </w:rPr>
              <w:t>10</w:t>
            </w:r>
            <w:r>
              <w:rPr>
                <w:rFonts w:hint="eastAsia" w:ascii="Times New Roman" w:hAnsi="Times New Roman"/>
                <w:color w:val="auto"/>
                <w:sz w:val="28"/>
                <w:szCs w:val="28"/>
                <w:lang w:val="en-US" w:eastAsia="zh-Hans"/>
              </w:rPr>
              <w:t>分。没有</w:t>
            </w:r>
            <w:r>
              <w:rPr>
                <w:rFonts w:hint="eastAsia" w:ascii="Times New Roman" w:hAnsi="Times New Roman"/>
                <w:color w:val="auto"/>
                <w:sz w:val="28"/>
                <w:szCs w:val="28"/>
                <w:lang w:val="en-US" w:eastAsia="zh-CN"/>
              </w:rPr>
              <w:t>教资</w:t>
            </w:r>
            <w:r>
              <w:rPr>
                <w:rFonts w:hint="eastAsia" w:ascii="Times New Roman" w:hAnsi="Times New Roman"/>
                <w:color w:val="auto"/>
                <w:sz w:val="28"/>
                <w:szCs w:val="28"/>
                <w:lang w:val="en-US" w:eastAsia="zh-Hans"/>
              </w:rPr>
              <w:t>库的，得0分</w:t>
            </w:r>
            <w:r>
              <w:rPr>
                <w:rFonts w:hint="eastAsia" w:ascii="Times New Roman" w:hAnsi="Times New Roman"/>
                <w:color w:val="auto"/>
                <w:sz w:val="28"/>
                <w:szCs w:val="28"/>
                <w:lang w:val="en-US" w:eastAsia="zh-CN"/>
              </w:rPr>
              <w:t>，取消申报资格。</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88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同类业绩（10分）</w:t>
            </w:r>
          </w:p>
        </w:tc>
        <w:tc>
          <w:tcPr>
            <w:tcW w:w="5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2023年至今申报单位组织数字化转型、工业互联网、人工智能等领域的人才培训经验。每提供1个得3分，本项最高得10分。</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5" w:hRule="atLeast"/>
        </w:trPr>
        <w:tc>
          <w:tcPr>
            <w:tcW w:w="88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培训实力（10分）</w:t>
            </w:r>
          </w:p>
        </w:tc>
        <w:tc>
          <w:tcPr>
            <w:tcW w:w="5750" w:type="dxa"/>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申报单位具有政府部门发布的与数字化转型、工业互联网、人工智能等领域相关的培训类国家、省、市级奖项、荣誉、称号、实训基地等，每提供1个国家级的得3分、1个省级的得2分、1个市级的得1分，最高得10分。</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2" w:hRule="atLeast"/>
        </w:trPr>
        <w:tc>
          <w:tcPr>
            <w:tcW w:w="88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c>
          <w:tcPr>
            <w:tcW w:w="12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项目服务团队（10分）</w:t>
            </w:r>
          </w:p>
        </w:tc>
        <w:tc>
          <w:tcPr>
            <w:tcW w:w="57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申报单位项目团队成员（含项目负责人）中具备博士或副高以上职称的，每名得4分；具备硕士或中级职称的，每名得3分。具备本科或初级职称的，每名得2分。本项最高得10分。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注：须提供上述人员成员学历、职级等证明材料（同一人拥有多项职称证书的，仅计算一次）及截止时间当月）前任意1个月在响应申报单位缴纳社保资金的有效的证明材料扫描件。</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Times New Roman" w:hAnsi="Times New Roman"/>
                <w:color w:val="auto"/>
                <w:sz w:val="28"/>
                <w:szCs w:val="28"/>
                <w:lang w:val="en-US" w:eastAsia="zh-CN"/>
              </w:rPr>
            </w:pPr>
          </w:p>
        </w:tc>
      </w:tr>
    </w:tbl>
    <w:p>
      <w:pPr>
        <w:rPr>
          <w:rFonts w:hint="eastAsia" w:ascii="Times New Roman" w:hAnsi="Times New Roman"/>
          <w:lang w:eastAsia="zh-CN"/>
        </w:rPr>
      </w:pPr>
    </w:p>
    <w:sectPr>
      <w:headerReference r:id="rId3" w:type="default"/>
      <w:footerReference r:id="rId4" w:type="default"/>
      <w:pgSz w:w="11906" w:h="16838"/>
      <w:pgMar w:top="2098" w:right="1474" w:bottom="1871" w:left="1474" w:header="851" w:footer="992" w:gutter="0"/>
      <w:cols w:space="425" w:num="1"/>
      <w:docGrid w:type="linesAndChars" w:linePitch="58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pacing w:line="240" w:lineRule="atLeast"/>
      <w:ind w:firstLine="480"/>
      <w:jc w:val="center"/>
      <w:rPr>
        <w:rFonts w:cs="Times New Roman"/>
        <w:sz w:val="24"/>
        <w:szCs w:val="24"/>
      </w:rPr>
    </w:pPr>
    <w:r>
      <w:rPr>
        <w:rFonts w:cs="Times New Roman"/>
        <w:sz w:val="24"/>
        <w:szCs w:val="24"/>
      </w:rPr>
      <w:fldChar w:fldCharType="begin"/>
    </w:r>
    <w:r>
      <w:rPr>
        <w:rFonts w:cs="Times New Roman"/>
        <w:sz w:val="24"/>
        <w:szCs w:val="24"/>
      </w:rPr>
      <w:instrText xml:space="preserve">PAGE   \* MERGEFORMAT</w:instrText>
    </w:r>
    <w:r>
      <w:rPr>
        <w:rFonts w:cs="Times New Roman"/>
        <w:sz w:val="24"/>
        <w:szCs w:val="24"/>
      </w:rPr>
      <w:fldChar w:fldCharType="separate"/>
    </w:r>
    <w:r>
      <w:rPr>
        <w:rFonts w:cs="Times New Roman"/>
        <w:sz w:val="24"/>
        <w:szCs w:val="24"/>
        <w:lang w:val="zh-CN"/>
      </w:rPr>
      <w:t>2</w:t>
    </w:r>
    <w:r>
      <w:rPr>
        <w:rFonts w:cs="Times New Roman"/>
        <w:sz w:val="24"/>
        <w:szCs w:val="24"/>
      </w:rPr>
      <w:fldChar w:fldCharType="end"/>
    </w:r>
  </w:p>
  <w:p>
    <w:pPr>
      <w:tabs>
        <w:tab w:val="center" w:pos="4153"/>
        <w:tab w:val="right" w:pos="8306"/>
      </w:tabs>
      <w:spacing w:line="240" w:lineRule="atLeast"/>
      <w:ind w:firstLine="360"/>
      <w:jc w:val="left"/>
      <w:rPr>
        <w:rFonts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E67C9"/>
    <w:multiLevelType w:val="multilevel"/>
    <w:tmpl w:val="2ABE67C9"/>
    <w:lvl w:ilvl="0" w:tentative="0">
      <w:start w:val="1"/>
      <w:numFmt w:val="decimal"/>
      <w:pStyle w:val="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58"/>
  <w:drawingGridVerticalSpacing w:val="29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9F"/>
    <w:rsid w:val="0001116E"/>
    <w:rsid w:val="000130EF"/>
    <w:rsid w:val="0001416E"/>
    <w:rsid w:val="0001559E"/>
    <w:rsid w:val="0001770C"/>
    <w:rsid w:val="000333FD"/>
    <w:rsid w:val="0004553B"/>
    <w:rsid w:val="00052ADE"/>
    <w:rsid w:val="00053E6C"/>
    <w:rsid w:val="000579C3"/>
    <w:rsid w:val="00057C92"/>
    <w:rsid w:val="0006436B"/>
    <w:rsid w:val="000758C7"/>
    <w:rsid w:val="00094697"/>
    <w:rsid w:val="000B2949"/>
    <w:rsid w:val="000B3E14"/>
    <w:rsid w:val="000C4030"/>
    <w:rsid w:val="000D6FBC"/>
    <w:rsid w:val="000E1915"/>
    <w:rsid w:val="000E4A09"/>
    <w:rsid w:val="000E7B96"/>
    <w:rsid w:val="00125FCC"/>
    <w:rsid w:val="00126FA2"/>
    <w:rsid w:val="00142F63"/>
    <w:rsid w:val="00143722"/>
    <w:rsid w:val="00181755"/>
    <w:rsid w:val="00185072"/>
    <w:rsid w:val="001864E8"/>
    <w:rsid w:val="00186DF2"/>
    <w:rsid w:val="00191E87"/>
    <w:rsid w:val="00197A64"/>
    <w:rsid w:val="001A1BC1"/>
    <w:rsid w:val="001A3A11"/>
    <w:rsid w:val="001B16DD"/>
    <w:rsid w:val="001B681F"/>
    <w:rsid w:val="001E4F7F"/>
    <w:rsid w:val="001E68F1"/>
    <w:rsid w:val="001F3A70"/>
    <w:rsid w:val="001F72F3"/>
    <w:rsid w:val="00201200"/>
    <w:rsid w:val="00201D9F"/>
    <w:rsid w:val="00215992"/>
    <w:rsid w:val="0022540C"/>
    <w:rsid w:val="002262C2"/>
    <w:rsid w:val="00230BE1"/>
    <w:rsid w:val="0024103B"/>
    <w:rsid w:val="00245810"/>
    <w:rsid w:val="002544BE"/>
    <w:rsid w:val="00265BAB"/>
    <w:rsid w:val="00266416"/>
    <w:rsid w:val="0027031D"/>
    <w:rsid w:val="002862EA"/>
    <w:rsid w:val="002A55B3"/>
    <w:rsid w:val="002B6678"/>
    <w:rsid w:val="002C42BF"/>
    <w:rsid w:val="002E1A08"/>
    <w:rsid w:val="003039B6"/>
    <w:rsid w:val="0031071A"/>
    <w:rsid w:val="00310DF5"/>
    <w:rsid w:val="00311827"/>
    <w:rsid w:val="00344160"/>
    <w:rsid w:val="00393FA9"/>
    <w:rsid w:val="003969FF"/>
    <w:rsid w:val="00396E27"/>
    <w:rsid w:val="003A0AD6"/>
    <w:rsid w:val="003A1EE6"/>
    <w:rsid w:val="003C1128"/>
    <w:rsid w:val="003C2D16"/>
    <w:rsid w:val="003C52E6"/>
    <w:rsid w:val="003C5D27"/>
    <w:rsid w:val="003D5B6B"/>
    <w:rsid w:val="003E059E"/>
    <w:rsid w:val="003E5C51"/>
    <w:rsid w:val="003F00CC"/>
    <w:rsid w:val="00402A52"/>
    <w:rsid w:val="004519D1"/>
    <w:rsid w:val="00461DD7"/>
    <w:rsid w:val="00464184"/>
    <w:rsid w:val="00476018"/>
    <w:rsid w:val="00493ACD"/>
    <w:rsid w:val="004B7100"/>
    <w:rsid w:val="004B7BF8"/>
    <w:rsid w:val="004C383D"/>
    <w:rsid w:val="004C7DCF"/>
    <w:rsid w:val="004E3C48"/>
    <w:rsid w:val="004F0184"/>
    <w:rsid w:val="0050084F"/>
    <w:rsid w:val="005012B6"/>
    <w:rsid w:val="00517F74"/>
    <w:rsid w:val="00525DA5"/>
    <w:rsid w:val="0052659D"/>
    <w:rsid w:val="00535DC3"/>
    <w:rsid w:val="0054153C"/>
    <w:rsid w:val="005436C7"/>
    <w:rsid w:val="00543FA9"/>
    <w:rsid w:val="00562E77"/>
    <w:rsid w:val="0057059B"/>
    <w:rsid w:val="00575402"/>
    <w:rsid w:val="00587CFE"/>
    <w:rsid w:val="00597D62"/>
    <w:rsid w:val="005B7E39"/>
    <w:rsid w:val="005C1818"/>
    <w:rsid w:val="005C2740"/>
    <w:rsid w:val="005E0398"/>
    <w:rsid w:val="005E3382"/>
    <w:rsid w:val="005F1081"/>
    <w:rsid w:val="0061024B"/>
    <w:rsid w:val="00612CFD"/>
    <w:rsid w:val="00672B8E"/>
    <w:rsid w:val="0067420E"/>
    <w:rsid w:val="00691368"/>
    <w:rsid w:val="00695C97"/>
    <w:rsid w:val="006A201F"/>
    <w:rsid w:val="006A3F5C"/>
    <w:rsid w:val="006A5D4D"/>
    <w:rsid w:val="006A60FF"/>
    <w:rsid w:val="006F65E1"/>
    <w:rsid w:val="0070397D"/>
    <w:rsid w:val="00715627"/>
    <w:rsid w:val="00720DF0"/>
    <w:rsid w:val="007262D1"/>
    <w:rsid w:val="0074266C"/>
    <w:rsid w:val="00743238"/>
    <w:rsid w:val="0074781F"/>
    <w:rsid w:val="00751212"/>
    <w:rsid w:val="00751D36"/>
    <w:rsid w:val="007606EB"/>
    <w:rsid w:val="00764600"/>
    <w:rsid w:val="0077525C"/>
    <w:rsid w:val="00780BA6"/>
    <w:rsid w:val="00782CA3"/>
    <w:rsid w:val="00797445"/>
    <w:rsid w:val="007A201A"/>
    <w:rsid w:val="007C72F6"/>
    <w:rsid w:val="007D5476"/>
    <w:rsid w:val="007E3749"/>
    <w:rsid w:val="007E3AD1"/>
    <w:rsid w:val="007E4B7C"/>
    <w:rsid w:val="007E4BDE"/>
    <w:rsid w:val="007F05D2"/>
    <w:rsid w:val="0081348D"/>
    <w:rsid w:val="00813F3B"/>
    <w:rsid w:val="008310C1"/>
    <w:rsid w:val="008328AB"/>
    <w:rsid w:val="00833B74"/>
    <w:rsid w:val="00841899"/>
    <w:rsid w:val="00855E6E"/>
    <w:rsid w:val="00862FB9"/>
    <w:rsid w:val="00873476"/>
    <w:rsid w:val="00884CAB"/>
    <w:rsid w:val="00892EFF"/>
    <w:rsid w:val="008946C5"/>
    <w:rsid w:val="0089546F"/>
    <w:rsid w:val="00897C37"/>
    <w:rsid w:val="008B7412"/>
    <w:rsid w:val="008C5682"/>
    <w:rsid w:val="008D4897"/>
    <w:rsid w:val="008F25D6"/>
    <w:rsid w:val="0091304A"/>
    <w:rsid w:val="009157A8"/>
    <w:rsid w:val="0093123A"/>
    <w:rsid w:val="00946977"/>
    <w:rsid w:val="009551CF"/>
    <w:rsid w:val="00987872"/>
    <w:rsid w:val="0099083B"/>
    <w:rsid w:val="009B483E"/>
    <w:rsid w:val="009D0DC6"/>
    <w:rsid w:val="009E112C"/>
    <w:rsid w:val="009E66E8"/>
    <w:rsid w:val="009F522B"/>
    <w:rsid w:val="00A015CA"/>
    <w:rsid w:val="00A02C43"/>
    <w:rsid w:val="00A16E4B"/>
    <w:rsid w:val="00A569B5"/>
    <w:rsid w:val="00A71F67"/>
    <w:rsid w:val="00A730A0"/>
    <w:rsid w:val="00A7379C"/>
    <w:rsid w:val="00A821DE"/>
    <w:rsid w:val="00A847A6"/>
    <w:rsid w:val="00A86620"/>
    <w:rsid w:val="00AB3EC3"/>
    <w:rsid w:val="00AC66F2"/>
    <w:rsid w:val="00AD30AA"/>
    <w:rsid w:val="00AF739B"/>
    <w:rsid w:val="00B2255E"/>
    <w:rsid w:val="00B272B8"/>
    <w:rsid w:val="00B47B2E"/>
    <w:rsid w:val="00B53E4A"/>
    <w:rsid w:val="00B6470C"/>
    <w:rsid w:val="00B66E95"/>
    <w:rsid w:val="00B718A3"/>
    <w:rsid w:val="00B809AC"/>
    <w:rsid w:val="00B81854"/>
    <w:rsid w:val="00B87146"/>
    <w:rsid w:val="00BA5AE2"/>
    <w:rsid w:val="00BB58A3"/>
    <w:rsid w:val="00BF58A1"/>
    <w:rsid w:val="00C05CD5"/>
    <w:rsid w:val="00C14F27"/>
    <w:rsid w:val="00C171FC"/>
    <w:rsid w:val="00C273C7"/>
    <w:rsid w:val="00C30E4D"/>
    <w:rsid w:val="00C31923"/>
    <w:rsid w:val="00C4134D"/>
    <w:rsid w:val="00C5703A"/>
    <w:rsid w:val="00C60123"/>
    <w:rsid w:val="00C7419E"/>
    <w:rsid w:val="00C74BD6"/>
    <w:rsid w:val="00C95EDC"/>
    <w:rsid w:val="00CB1CC2"/>
    <w:rsid w:val="00CB46A6"/>
    <w:rsid w:val="00CC2A06"/>
    <w:rsid w:val="00CC3443"/>
    <w:rsid w:val="00CD4B81"/>
    <w:rsid w:val="00CE7B0C"/>
    <w:rsid w:val="00D12176"/>
    <w:rsid w:val="00D14427"/>
    <w:rsid w:val="00D17E61"/>
    <w:rsid w:val="00D400E8"/>
    <w:rsid w:val="00D5735F"/>
    <w:rsid w:val="00D62D9F"/>
    <w:rsid w:val="00DA0480"/>
    <w:rsid w:val="00DA0E75"/>
    <w:rsid w:val="00DA340C"/>
    <w:rsid w:val="00DA3E95"/>
    <w:rsid w:val="00DB3981"/>
    <w:rsid w:val="00DB597C"/>
    <w:rsid w:val="00DC32A2"/>
    <w:rsid w:val="00DC78E7"/>
    <w:rsid w:val="00DD01F9"/>
    <w:rsid w:val="00DE00C7"/>
    <w:rsid w:val="00DE788A"/>
    <w:rsid w:val="00E15F95"/>
    <w:rsid w:val="00E45FE2"/>
    <w:rsid w:val="00E56854"/>
    <w:rsid w:val="00E974D4"/>
    <w:rsid w:val="00EA1999"/>
    <w:rsid w:val="00EA1DD4"/>
    <w:rsid w:val="00EA6ADD"/>
    <w:rsid w:val="00EB6FEB"/>
    <w:rsid w:val="00EC59B1"/>
    <w:rsid w:val="00F014CC"/>
    <w:rsid w:val="00F02141"/>
    <w:rsid w:val="00F1780F"/>
    <w:rsid w:val="00F22F87"/>
    <w:rsid w:val="00F3272D"/>
    <w:rsid w:val="00F438D7"/>
    <w:rsid w:val="00F504AB"/>
    <w:rsid w:val="00F50518"/>
    <w:rsid w:val="00F55A1C"/>
    <w:rsid w:val="00F55F7C"/>
    <w:rsid w:val="00F613E7"/>
    <w:rsid w:val="00F74241"/>
    <w:rsid w:val="00F82CA3"/>
    <w:rsid w:val="00F91192"/>
    <w:rsid w:val="00F95462"/>
    <w:rsid w:val="00FA0D8A"/>
    <w:rsid w:val="00FC0510"/>
    <w:rsid w:val="00FD298F"/>
    <w:rsid w:val="00FE61B7"/>
    <w:rsid w:val="00FF1A10"/>
    <w:rsid w:val="00FF1BD4"/>
    <w:rsid w:val="00FF26E0"/>
    <w:rsid w:val="00FF2FAC"/>
    <w:rsid w:val="00FF5ED6"/>
    <w:rsid w:val="00FF661E"/>
    <w:rsid w:val="019109FE"/>
    <w:rsid w:val="10000E62"/>
    <w:rsid w:val="17D9582A"/>
    <w:rsid w:val="1DFD4CD7"/>
    <w:rsid w:val="26EFFC14"/>
    <w:rsid w:val="29F639BA"/>
    <w:rsid w:val="2BC247C7"/>
    <w:rsid w:val="31BF0FCB"/>
    <w:rsid w:val="36736644"/>
    <w:rsid w:val="37EF98A9"/>
    <w:rsid w:val="37FECEEF"/>
    <w:rsid w:val="3F9B7ED1"/>
    <w:rsid w:val="3FB39B80"/>
    <w:rsid w:val="47BF667B"/>
    <w:rsid w:val="4AFBB0CC"/>
    <w:rsid w:val="4DBCC6C6"/>
    <w:rsid w:val="4FAB5121"/>
    <w:rsid w:val="57A72876"/>
    <w:rsid w:val="5ABD5C00"/>
    <w:rsid w:val="5BE30CA4"/>
    <w:rsid w:val="5C8D3ED6"/>
    <w:rsid w:val="5CBF8D06"/>
    <w:rsid w:val="5E3CFD62"/>
    <w:rsid w:val="5EBF682E"/>
    <w:rsid w:val="5FDD7382"/>
    <w:rsid w:val="5FEF42A9"/>
    <w:rsid w:val="5FEFADDA"/>
    <w:rsid w:val="5FF78012"/>
    <w:rsid w:val="62CD06EB"/>
    <w:rsid w:val="64F2C953"/>
    <w:rsid w:val="685304A1"/>
    <w:rsid w:val="6BFBCBE0"/>
    <w:rsid w:val="6DFF28D2"/>
    <w:rsid w:val="6FCC1358"/>
    <w:rsid w:val="73F70F43"/>
    <w:rsid w:val="77BE6F6C"/>
    <w:rsid w:val="77C75253"/>
    <w:rsid w:val="7AFF29B9"/>
    <w:rsid w:val="7C6C70E7"/>
    <w:rsid w:val="7DCF7284"/>
    <w:rsid w:val="7DFA2E76"/>
    <w:rsid w:val="7DFF6DB5"/>
    <w:rsid w:val="7EDD0D5D"/>
    <w:rsid w:val="7F3B5777"/>
    <w:rsid w:val="7F5A5FBF"/>
    <w:rsid w:val="7FB2DE60"/>
    <w:rsid w:val="7FF55EE3"/>
    <w:rsid w:val="7FFB2CC7"/>
    <w:rsid w:val="8F5C41D3"/>
    <w:rsid w:val="9C6F84EA"/>
    <w:rsid w:val="A4CF6340"/>
    <w:rsid w:val="A7E70390"/>
    <w:rsid w:val="AE5F734D"/>
    <w:rsid w:val="AE77BD78"/>
    <w:rsid w:val="B1FF75F5"/>
    <w:rsid w:val="B7BF1353"/>
    <w:rsid w:val="B7FF400C"/>
    <w:rsid w:val="BEBF602E"/>
    <w:rsid w:val="BEFEF553"/>
    <w:rsid w:val="BFEF7CBB"/>
    <w:rsid w:val="CF73E2D0"/>
    <w:rsid w:val="D978F387"/>
    <w:rsid w:val="DE8F39BB"/>
    <w:rsid w:val="DFCE1447"/>
    <w:rsid w:val="DFFBB96E"/>
    <w:rsid w:val="E33FE01B"/>
    <w:rsid w:val="EBFE8EAC"/>
    <w:rsid w:val="EF3F5EF2"/>
    <w:rsid w:val="EFF43AF8"/>
    <w:rsid w:val="EFFF5A55"/>
    <w:rsid w:val="F2ED79E6"/>
    <w:rsid w:val="F3F7E378"/>
    <w:rsid w:val="F487B625"/>
    <w:rsid w:val="F5AF360F"/>
    <w:rsid w:val="F5FDBDA3"/>
    <w:rsid w:val="F7DF1F53"/>
    <w:rsid w:val="FAB130F7"/>
    <w:rsid w:val="FBF72D9E"/>
    <w:rsid w:val="FBF9774A"/>
    <w:rsid w:val="FBFC180C"/>
    <w:rsid w:val="FCF37FED"/>
    <w:rsid w:val="FD5D079A"/>
    <w:rsid w:val="FDF6E650"/>
    <w:rsid w:val="FE7B61BD"/>
    <w:rsid w:val="FFDF0189"/>
    <w:rsid w:val="FFDFEC36"/>
    <w:rsid w:val="FFE620F3"/>
    <w:rsid w:val="FFF589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200" w:firstLineChars="200"/>
      <w:jc w:val="both"/>
    </w:pPr>
    <w:rPr>
      <w:rFonts w:ascii="仿宋_GB2312" w:hAnsi="Times New Roman" w:eastAsia="仿宋_GB2312" w:cs="仿宋_GB2312"/>
      <w:kern w:val="2"/>
      <w:sz w:val="32"/>
      <w:szCs w:val="32"/>
      <w:lang w:val="en-US" w:eastAsia="zh-CN" w:bidi="ar-SA"/>
      <w14:ligatures w14:val="none"/>
    </w:rPr>
  </w:style>
  <w:style w:type="paragraph" w:styleId="3">
    <w:name w:val="heading 1"/>
    <w:basedOn w:val="1"/>
    <w:next w:val="1"/>
    <w:link w:val="24"/>
    <w:qFormat/>
    <w:uiPriority w:val="9"/>
    <w:pPr>
      <w:keepNext/>
      <w:keepLines/>
      <w:jc w:val="left"/>
      <w:outlineLvl w:val="0"/>
    </w:pPr>
    <w:rPr>
      <w:rFonts w:eastAsia="黑体" w:cstheme="majorBidi"/>
      <w:szCs w:val="48"/>
    </w:rPr>
  </w:style>
  <w:style w:type="paragraph" w:styleId="4">
    <w:name w:val="heading 2"/>
    <w:basedOn w:val="1"/>
    <w:next w:val="1"/>
    <w:link w:val="23"/>
    <w:unhideWhenUsed/>
    <w:qFormat/>
    <w:uiPriority w:val="0"/>
    <w:pPr>
      <w:jc w:val="left"/>
      <w:outlineLvl w:val="1"/>
    </w:pPr>
    <w:rPr>
      <w:rFonts w:cs="Times New Roman"/>
      <w:b/>
      <w:bCs/>
      <w:color w:val="000000" w:themeColor="text1"/>
      <w:szCs w:val="36"/>
      <w14:textFill>
        <w14:solidFill>
          <w14:schemeClr w14:val="tx1"/>
        </w14:solidFill>
      </w14:textFill>
      <w14:ligatures w14:val="standardContextual"/>
    </w:rPr>
  </w:style>
  <w:style w:type="paragraph" w:styleId="5">
    <w:name w:val="heading 3"/>
    <w:basedOn w:val="1"/>
    <w:next w:val="1"/>
    <w:link w:val="29"/>
    <w:unhideWhenUsed/>
    <w:qFormat/>
    <w:uiPriority w:val="9"/>
    <w:pPr>
      <w:keepNext/>
      <w:keepLines/>
      <w:outlineLvl w:val="2"/>
    </w:pPr>
    <w:rPr>
      <w:rFonts w:cstheme="majorBidi"/>
    </w:rPr>
  </w:style>
  <w:style w:type="paragraph" w:styleId="6">
    <w:name w:val="heading 4"/>
    <w:basedOn w:val="1"/>
    <w:next w:val="1"/>
    <w:link w:val="32"/>
    <w:unhideWhenUsed/>
    <w:qFormat/>
    <w:uiPriority w:val="9"/>
    <w:pPr>
      <w:keepNext/>
      <w:keepLines/>
      <w:numPr>
        <w:ilvl w:val="0"/>
        <w:numId w:val="1"/>
      </w:numPr>
      <w:outlineLvl w:val="3"/>
    </w:pPr>
    <w:rPr>
      <w:rFonts w:cstheme="majorBidi"/>
      <w:szCs w:val="28"/>
    </w:rPr>
  </w:style>
  <w:style w:type="paragraph" w:styleId="7">
    <w:name w:val="heading 5"/>
    <w:basedOn w:val="1"/>
    <w:next w:val="1"/>
    <w:link w:val="33"/>
    <w:unhideWhenUsed/>
    <w:qFormat/>
    <w:uiPriority w:val="9"/>
    <w:pPr>
      <w:keepNext/>
      <w:keepLines/>
      <w:outlineLvl w:val="4"/>
    </w:pPr>
    <w:rPr>
      <w:rFonts w:cstheme="majorBidi"/>
      <w:sz w:val="28"/>
    </w:rPr>
  </w:style>
  <w:style w:type="paragraph" w:styleId="8">
    <w:name w:val="heading 6"/>
    <w:basedOn w:val="1"/>
    <w:next w:val="1"/>
    <w:link w:val="34"/>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9">
    <w:name w:val="heading 7"/>
    <w:basedOn w:val="1"/>
    <w:next w:val="1"/>
    <w:link w:val="3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rPr>
      <w:sz w:val="30"/>
    </w:rPr>
  </w:style>
  <w:style w:type="paragraph" w:styleId="12">
    <w:name w:val="annotation subject"/>
    <w:basedOn w:val="13"/>
    <w:next w:val="13"/>
    <w:link w:val="51"/>
    <w:semiHidden/>
    <w:unhideWhenUsed/>
    <w:qFormat/>
    <w:uiPriority w:val="99"/>
    <w:rPr>
      <w:b/>
      <w:bCs/>
    </w:rPr>
  </w:style>
  <w:style w:type="paragraph" w:styleId="13">
    <w:name w:val="annotation text"/>
    <w:basedOn w:val="1"/>
    <w:link w:val="50"/>
    <w:unhideWhenUsed/>
    <w:qFormat/>
    <w:uiPriority w:val="99"/>
    <w:pPr>
      <w:jc w:val="left"/>
    </w:pPr>
  </w:style>
  <w:style w:type="paragraph" w:styleId="14">
    <w:name w:val="Normal Indent"/>
    <w:basedOn w:val="1"/>
    <w:semiHidden/>
    <w:unhideWhenUsed/>
    <w:qFormat/>
    <w:uiPriority w:val="99"/>
    <w:pPr>
      <w:ind w:firstLine="420"/>
    </w:pPr>
  </w:style>
  <w:style w:type="paragraph" w:styleId="15">
    <w:name w:val="footer"/>
    <w:basedOn w:val="1"/>
    <w:link w:val="49"/>
    <w:unhideWhenUsed/>
    <w:qFormat/>
    <w:uiPriority w:val="99"/>
    <w:pPr>
      <w:tabs>
        <w:tab w:val="center" w:pos="4153"/>
        <w:tab w:val="right" w:pos="8306"/>
      </w:tabs>
      <w:spacing w:line="240" w:lineRule="atLeast"/>
      <w:jc w:val="left"/>
    </w:pPr>
    <w:rPr>
      <w:sz w:val="18"/>
      <w:szCs w:val="18"/>
    </w:rPr>
  </w:style>
  <w:style w:type="paragraph" w:styleId="16">
    <w:name w:val="header"/>
    <w:basedOn w:val="1"/>
    <w:link w:val="48"/>
    <w:unhideWhenUsed/>
    <w:qFormat/>
    <w:uiPriority w:val="99"/>
    <w:pPr>
      <w:tabs>
        <w:tab w:val="center" w:pos="4153"/>
        <w:tab w:val="right" w:pos="8306"/>
      </w:tabs>
      <w:spacing w:line="240" w:lineRule="atLeast"/>
      <w:jc w:val="center"/>
    </w:pPr>
    <w:rPr>
      <w:sz w:val="18"/>
      <w:szCs w:val="18"/>
    </w:rPr>
  </w:style>
  <w:style w:type="paragraph" w:styleId="17">
    <w:name w:val="Subtitle"/>
    <w:basedOn w:val="1"/>
    <w:next w:val="1"/>
    <w:link w:val="38"/>
    <w:qFormat/>
    <w:uiPriority w:val="11"/>
    <w:pPr>
      <w:spacing w:after="160"/>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28"/>
    <w:qFormat/>
    <w:uiPriority w:val="10"/>
    <w:pPr>
      <w:ind w:firstLine="0" w:firstLineChars="0"/>
      <w:contextualSpacing/>
      <w:jc w:val="center"/>
      <w:outlineLvl w:val="0"/>
    </w:pPr>
    <w:rPr>
      <w:rFonts w:eastAsia="方正小标宋简体" w:cstheme="majorBidi"/>
      <w:spacing w:val="-10"/>
      <w:kern w:val="28"/>
      <w:sz w:val="44"/>
      <w:szCs w:val="56"/>
    </w:rPr>
  </w:style>
  <w:style w:type="character" w:styleId="20">
    <w:name w:val="annotation reference"/>
    <w:basedOn w:val="19"/>
    <w:semiHidden/>
    <w:unhideWhenUsed/>
    <w:qFormat/>
    <w:uiPriority w:val="99"/>
    <w:rPr>
      <w:sz w:val="21"/>
      <w:szCs w:val="21"/>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标题 2 字符"/>
    <w:basedOn w:val="19"/>
    <w:link w:val="4"/>
    <w:qFormat/>
    <w:uiPriority w:val="0"/>
    <w:rPr>
      <w:rFonts w:ascii="仿宋_GB2312" w:hAnsi="Times New Roman" w:eastAsia="仿宋_GB2312" w:cs="Times New Roman"/>
      <w:b/>
      <w:bCs/>
      <w:color w:val="000000" w:themeColor="text1"/>
      <w:sz w:val="32"/>
      <w:szCs w:val="36"/>
      <w14:textFill>
        <w14:solidFill>
          <w14:schemeClr w14:val="tx1"/>
        </w14:solidFill>
      </w14:textFill>
    </w:rPr>
  </w:style>
  <w:style w:type="character" w:customStyle="1" w:styleId="24">
    <w:name w:val="标题 1 字符"/>
    <w:basedOn w:val="19"/>
    <w:link w:val="3"/>
    <w:qFormat/>
    <w:uiPriority w:val="9"/>
    <w:rPr>
      <w:rFonts w:ascii="Times New Roman" w:hAnsi="Times New Roman" w:eastAsia="黑体" w:cstheme="majorBidi"/>
      <w:sz w:val="32"/>
      <w:szCs w:val="48"/>
      <w14:ligatures w14:val="none"/>
    </w:rPr>
  </w:style>
  <w:style w:type="paragraph" w:styleId="25">
    <w:name w:val="No Spacing"/>
    <w:qFormat/>
    <w:uiPriority w:val="1"/>
    <w:pPr>
      <w:widowControl w:val="0"/>
      <w:jc w:val="center"/>
    </w:pPr>
    <w:rPr>
      <w:rFonts w:ascii="Times New Roman" w:hAnsi="Times New Roman" w:eastAsia="仿宋_GB2312" w:cstheme="minorBidi"/>
      <w:kern w:val="2"/>
      <w:sz w:val="32"/>
      <w:szCs w:val="22"/>
      <w:lang w:val="en-US" w:eastAsia="zh-CN" w:bidi="ar-SA"/>
      <w14:ligatures w14:val="none"/>
    </w:rPr>
  </w:style>
  <w:style w:type="paragraph" w:customStyle="1" w:styleId="26">
    <w:name w:val="表格"/>
    <w:basedOn w:val="1"/>
    <w:link w:val="27"/>
    <w:qFormat/>
    <w:uiPriority w:val="0"/>
    <w:pPr>
      <w:spacing w:line="360" w:lineRule="exact"/>
      <w:ind w:firstLine="0" w:firstLineChars="0"/>
      <w:jc w:val="center"/>
    </w:pPr>
    <w:rPr>
      <w:sz w:val="20"/>
      <w:szCs w:val="16"/>
      <w14:ligatures w14:val="standardContextual"/>
    </w:rPr>
  </w:style>
  <w:style w:type="character" w:customStyle="1" w:styleId="27">
    <w:name w:val="表格 字符"/>
    <w:basedOn w:val="19"/>
    <w:link w:val="26"/>
    <w:qFormat/>
    <w:uiPriority w:val="0"/>
    <w:rPr>
      <w:rFonts w:ascii="Times New Roman" w:hAnsi="Times New Roman" w:eastAsia="仿宋_GB2312"/>
      <w:szCs w:val="16"/>
    </w:rPr>
  </w:style>
  <w:style w:type="character" w:customStyle="1" w:styleId="28">
    <w:name w:val="标题 字符"/>
    <w:basedOn w:val="19"/>
    <w:link w:val="18"/>
    <w:qFormat/>
    <w:uiPriority w:val="10"/>
    <w:rPr>
      <w:rFonts w:ascii="Times New Roman" w:hAnsi="Times New Roman" w:eastAsia="方正小标宋简体" w:cstheme="majorBidi"/>
      <w:spacing w:val="-10"/>
      <w:kern w:val="28"/>
      <w:sz w:val="44"/>
      <w:szCs w:val="56"/>
      <w14:ligatures w14:val="none"/>
    </w:rPr>
  </w:style>
  <w:style w:type="character" w:customStyle="1" w:styleId="29">
    <w:name w:val="标题 3 字符"/>
    <w:basedOn w:val="19"/>
    <w:link w:val="5"/>
    <w:qFormat/>
    <w:uiPriority w:val="9"/>
    <w:rPr>
      <w:rFonts w:ascii="仿宋_GB2312" w:hAnsi="Times New Roman" w:eastAsia="仿宋_GB2312" w:cstheme="majorBidi"/>
      <w:sz w:val="32"/>
      <w:szCs w:val="32"/>
      <w14:ligatures w14:val="none"/>
    </w:rPr>
  </w:style>
  <w:style w:type="paragraph" w:customStyle="1" w:styleId="30">
    <w:name w:val="落款"/>
    <w:basedOn w:val="1"/>
    <w:link w:val="31"/>
    <w:qFormat/>
    <w:uiPriority w:val="0"/>
    <w:pPr>
      <w:spacing w:before="300" w:beforeLines="300"/>
      <w:ind w:right="200" w:rightChars="200" w:firstLine="0" w:firstLineChars="0"/>
      <w:jc w:val="right"/>
    </w:pPr>
  </w:style>
  <w:style w:type="character" w:customStyle="1" w:styleId="31">
    <w:name w:val="落款 字符"/>
    <w:basedOn w:val="19"/>
    <w:link w:val="30"/>
    <w:qFormat/>
    <w:uiPriority w:val="0"/>
    <w:rPr>
      <w:rFonts w:ascii="Times New Roman" w:hAnsi="Times New Roman" w:eastAsia="仿宋_GB2312"/>
      <w:sz w:val="32"/>
      <w:szCs w:val="22"/>
      <w14:ligatures w14:val="none"/>
    </w:rPr>
  </w:style>
  <w:style w:type="character" w:customStyle="1" w:styleId="32">
    <w:name w:val="标题 4 字符"/>
    <w:basedOn w:val="19"/>
    <w:link w:val="6"/>
    <w:qFormat/>
    <w:uiPriority w:val="9"/>
    <w:rPr>
      <w:rFonts w:ascii="Times New Roman" w:hAnsi="Times New Roman" w:eastAsia="仿宋_GB2312" w:cstheme="majorBidi"/>
      <w:sz w:val="32"/>
      <w:szCs w:val="28"/>
      <w14:ligatures w14:val="none"/>
    </w:rPr>
  </w:style>
  <w:style w:type="character" w:customStyle="1" w:styleId="33">
    <w:name w:val="标题 5 字符"/>
    <w:basedOn w:val="19"/>
    <w:link w:val="7"/>
    <w:qFormat/>
    <w:uiPriority w:val="9"/>
    <w:rPr>
      <w:rFonts w:ascii="Times New Roman" w:hAnsi="Times New Roman" w:eastAsia="仿宋_GB2312" w:cstheme="majorBidi"/>
      <w:sz w:val="28"/>
      <w:szCs w:val="24"/>
      <w14:ligatures w14:val="none"/>
    </w:rPr>
  </w:style>
  <w:style w:type="character" w:customStyle="1" w:styleId="34">
    <w:name w:val="标题 6 字符"/>
    <w:basedOn w:val="19"/>
    <w:link w:val="8"/>
    <w:semiHidden/>
    <w:qFormat/>
    <w:uiPriority w:val="9"/>
    <w:rPr>
      <w:rFonts w:cstheme="majorBidi"/>
      <w:b/>
      <w:bCs/>
      <w:color w:val="104862" w:themeColor="accent1" w:themeShade="BF"/>
      <w:sz w:val="32"/>
      <w:szCs w:val="32"/>
      <w14:ligatures w14:val="none"/>
    </w:rPr>
  </w:style>
  <w:style w:type="character" w:customStyle="1" w:styleId="35">
    <w:name w:val="标题 7 字符"/>
    <w:basedOn w:val="19"/>
    <w:link w:val="9"/>
    <w:semiHidden/>
    <w:qFormat/>
    <w:uiPriority w:val="9"/>
    <w:rPr>
      <w:rFonts w:cstheme="majorBidi"/>
      <w:b/>
      <w:bCs/>
      <w:color w:val="595959" w:themeColor="text1" w:themeTint="A6"/>
      <w:sz w:val="32"/>
      <w:szCs w:val="32"/>
      <w14:textFill>
        <w14:solidFill>
          <w14:schemeClr w14:val="tx1">
            <w14:lumMod w14:val="65000"/>
            <w14:lumOff w14:val="35000"/>
          </w14:schemeClr>
        </w14:solidFill>
      </w14:textFill>
      <w14:ligatures w14:val="none"/>
    </w:rPr>
  </w:style>
  <w:style w:type="character" w:customStyle="1" w:styleId="36">
    <w:name w:val="标题 8 字符"/>
    <w:basedOn w:val="19"/>
    <w:link w:val="10"/>
    <w:semiHidden/>
    <w:qFormat/>
    <w:uiPriority w:val="9"/>
    <w:rPr>
      <w:rFonts w:cstheme="majorBidi"/>
      <w:color w:val="595959" w:themeColor="text1" w:themeTint="A6"/>
      <w:sz w:val="32"/>
      <w:szCs w:val="32"/>
      <w14:textFill>
        <w14:solidFill>
          <w14:schemeClr w14:val="tx1">
            <w14:lumMod w14:val="65000"/>
            <w14:lumOff w14:val="35000"/>
          </w14:schemeClr>
        </w14:solidFill>
      </w14:textFill>
      <w14:ligatures w14:val="none"/>
    </w:rPr>
  </w:style>
  <w:style w:type="character" w:customStyle="1" w:styleId="37">
    <w:name w:val="标题 9 字符"/>
    <w:basedOn w:val="19"/>
    <w:link w:val="11"/>
    <w:semiHidden/>
    <w:qFormat/>
    <w:uiPriority w:val="9"/>
    <w:rPr>
      <w:rFonts w:eastAsiaTheme="majorEastAsia" w:cstheme="majorBidi"/>
      <w:color w:val="595959" w:themeColor="text1" w:themeTint="A6"/>
      <w:sz w:val="32"/>
      <w:szCs w:val="32"/>
      <w14:textFill>
        <w14:solidFill>
          <w14:schemeClr w14:val="tx1">
            <w14:lumMod w14:val="65000"/>
            <w14:lumOff w14:val="35000"/>
          </w14:schemeClr>
        </w14:solidFill>
      </w14:textFill>
      <w14:ligatures w14:val="none"/>
    </w:rPr>
  </w:style>
  <w:style w:type="character" w:customStyle="1" w:styleId="38">
    <w:name w:val="副标题 字符"/>
    <w:basedOn w:val="19"/>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none"/>
    </w:rPr>
  </w:style>
  <w:style w:type="paragraph" w:styleId="39">
    <w:name w:val="Quote"/>
    <w:basedOn w:val="1"/>
    <w:next w:val="1"/>
    <w:link w:val="4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引用 字符"/>
    <w:basedOn w:val="19"/>
    <w:link w:val="39"/>
    <w:qFormat/>
    <w:uiPriority w:val="29"/>
    <w:rPr>
      <w:rFonts w:ascii="仿宋_GB2312" w:hAnsi="Times New Roman" w:eastAsia="仿宋_GB2312" w:cs="仿宋_GB2312"/>
      <w:i/>
      <w:iCs/>
      <w:color w:val="404040" w:themeColor="text1" w:themeTint="BF"/>
      <w:sz w:val="32"/>
      <w:szCs w:val="32"/>
      <w14:textFill>
        <w14:solidFill>
          <w14:schemeClr w14:val="tx1">
            <w14:lumMod w14:val="75000"/>
            <w14:lumOff w14:val="25000"/>
          </w14:schemeClr>
        </w14:solidFill>
      </w14:textFill>
      <w14:ligatures w14:val="none"/>
    </w:rPr>
  </w:style>
  <w:style w:type="paragraph" w:styleId="41">
    <w:name w:val="List Paragraph"/>
    <w:basedOn w:val="1"/>
    <w:qFormat/>
    <w:uiPriority w:val="34"/>
    <w:pPr>
      <w:ind w:left="720"/>
      <w:contextualSpacing/>
    </w:pPr>
  </w:style>
  <w:style w:type="character" w:customStyle="1" w:styleId="42">
    <w:name w:val="Intense Emphasis"/>
    <w:basedOn w:val="19"/>
    <w:qFormat/>
    <w:uiPriority w:val="21"/>
    <w:rPr>
      <w:i/>
      <w:iCs/>
      <w:color w:val="104862" w:themeColor="accent1" w:themeShade="BF"/>
    </w:rPr>
  </w:style>
  <w:style w:type="paragraph" w:styleId="43">
    <w:name w:val="Intense Quote"/>
    <w:basedOn w:val="1"/>
    <w:next w:val="1"/>
    <w:link w:val="4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4">
    <w:name w:val="明显引用 字符"/>
    <w:basedOn w:val="19"/>
    <w:link w:val="43"/>
    <w:qFormat/>
    <w:uiPriority w:val="30"/>
    <w:rPr>
      <w:rFonts w:ascii="仿宋_GB2312" w:hAnsi="Times New Roman" w:eastAsia="仿宋_GB2312" w:cs="仿宋_GB2312"/>
      <w:i/>
      <w:iCs/>
      <w:color w:val="104862" w:themeColor="accent1" w:themeShade="BF"/>
      <w:sz w:val="32"/>
      <w:szCs w:val="32"/>
      <w14:ligatures w14:val="none"/>
    </w:rPr>
  </w:style>
  <w:style w:type="character" w:customStyle="1" w:styleId="45">
    <w:name w:val="Intense Reference"/>
    <w:basedOn w:val="19"/>
    <w:qFormat/>
    <w:uiPriority w:val="32"/>
    <w:rPr>
      <w:b/>
      <w:bCs/>
      <w:smallCaps/>
      <w:color w:val="104862" w:themeColor="accent1" w:themeShade="BF"/>
      <w:spacing w:val="5"/>
    </w:rPr>
  </w:style>
  <w:style w:type="table" w:customStyle="1" w:styleId="46">
    <w:name w:val="网格型1"/>
    <w:basedOn w:val="21"/>
    <w:qFormat/>
    <w:uiPriority w:val="99"/>
    <w:rPr>
      <w:rFonts w:ascii="Times New Roman" w:hAnsi="Times New Roman" w:eastAsia="Times New Roman"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47">
    <w:name w:val="网格型2"/>
    <w:basedOn w:val="21"/>
    <w:qFormat/>
    <w:uiPriority w:val="99"/>
    <w:rPr>
      <w:rFonts w:ascii="Times New Roman" w:hAnsi="Times New Roman" w:eastAsia="Times New Roman"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48">
    <w:name w:val="页眉 字符"/>
    <w:basedOn w:val="19"/>
    <w:link w:val="16"/>
    <w:qFormat/>
    <w:uiPriority w:val="99"/>
    <w:rPr>
      <w:rFonts w:ascii="仿宋_GB2312" w:hAnsi="Times New Roman" w:eastAsia="仿宋_GB2312" w:cs="仿宋_GB2312"/>
      <w:sz w:val="18"/>
      <w:szCs w:val="18"/>
      <w14:ligatures w14:val="none"/>
    </w:rPr>
  </w:style>
  <w:style w:type="character" w:customStyle="1" w:styleId="49">
    <w:name w:val="页脚 字符"/>
    <w:basedOn w:val="19"/>
    <w:link w:val="15"/>
    <w:qFormat/>
    <w:uiPriority w:val="99"/>
    <w:rPr>
      <w:rFonts w:ascii="仿宋_GB2312" w:hAnsi="Times New Roman" w:eastAsia="仿宋_GB2312" w:cs="仿宋_GB2312"/>
      <w:sz w:val="18"/>
      <w:szCs w:val="18"/>
      <w14:ligatures w14:val="none"/>
    </w:rPr>
  </w:style>
  <w:style w:type="character" w:customStyle="1" w:styleId="50">
    <w:name w:val="批注文字 字符"/>
    <w:basedOn w:val="19"/>
    <w:link w:val="13"/>
    <w:qFormat/>
    <w:uiPriority w:val="99"/>
    <w:rPr>
      <w:rFonts w:ascii="仿宋_GB2312" w:hAnsi="Times New Roman" w:eastAsia="仿宋_GB2312" w:cs="仿宋_GB2312"/>
      <w:sz w:val="32"/>
      <w:szCs w:val="32"/>
      <w14:ligatures w14:val="none"/>
    </w:rPr>
  </w:style>
  <w:style w:type="character" w:customStyle="1" w:styleId="51">
    <w:name w:val="批注主题 字符"/>
    <w:basedOn w:val="50"/>
    <w:link w:val="12"/>
    <w:semiHidden/>
    <w:qFormat/>
    <w:uiPriority w:val="99"/>
    <w:rPr>
      <w:rFonts w:ascii="仿宋_GB2312" w:hAnsi="Times New Roman" w:eastAsia="仿宋_GB2312" w:cs="仿宋_GB2312"/>
      <w:b/>
      <w:bCs/>
      <w:sz w:val="32"/>
      <w:szCs w:val="32"/>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1590</Words>
  <Characters>1612</Characters>
  <Lines>26</Lines>
  <Paragraphs>7</Paragraphs>
  <TotalTime>34</TotalTime>
  <ScaleCrop>false</ScaleCrop>
  <LinksUpToDate>false</LinksUpToDate>
  <CharactersWithSpaces>1885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2024-11-28T09:09:00Z</dcterms:created>
  <dc:creator>yi sun</dc:creator>
  <cp:lastModifiedBy>Administrator</cp:lastModifiedBy>
  <cp:lastPrinted>2026-03-24T09:47:00Z</cp:lastPrinted>
  <dcterms:modified xsi:type="dcterms:W3CDTF">2026-08-14T09:13:17Z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37409F555D9711C9A9B51C68D2AE96B2_43</vt:lpwstr>
  </property>
  <property fmtid="{D5CDD505-2E9C-101B-9397-08002B2CF9AE}" pid="4" name="KSOTemplateDocerSaveRecord">
    <vt:lpwstr>eyJoZGlkIjoiYTdlNjEyNjhkZmIzYzcwZDBmZDUwY2M1YzAzMzNjOTEiLCJ1c2VySWQiOiI2MjIxODk3NDkifQ==</vt:lpwstr>
  </property>
</Properties>
</file>