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eastAsia" w:ascii="黑体" w:hAnsi="黑体" w:eastAsia="黑体" w:cs="黑体"/>
          <w:bCs/>
          <w:sz w:val="32"/>
          <w:szCs w:val="32"/>
          <w:lang w:val="en-US" w:eastAsia="zh-CN"/>
        </w:rPr>
      </w:pPr>
      <w:r>
        <w:rPr>
          <w:rFonts w:hint="eastAsia" w:ascii="黑体" w:hAnsi="黑体" w:eastAsia="黑体" w:cs="黑体"/>
          <w:bCs/>
          <w:sz w:val="32"/>
          <w:szCs w:val="32"/>
          <w:lang w:val="en-US" w:eastAsia="zh-CN"/>
        </w:rPr>
        <w:t>附件</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Cs/>
          <w:sz w:val="44"/>
          <w:szCs w:val="44"/>
        </w:rPr>
      </w:pP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Cs/>
          <w:sz w:val="44"/>
          <w:szCs w:val="44"/>
          <w:lang w:eastAsia="zh-CN"/>
        </w:rPr>
      </w:pPr>
      <w:r>
        <w:rPr>
          <w:rFonts w:hint="eastAsia" w:ascii="方正小标宋_GBK" w:hAnsi="方正小标宋_GBK" w:eastAsia="方正小标宋_GBK" w:cs="方正小标宋_GBK"/>
          <w:bCs/>
          <w:sz w:val="44"/>
          <w:szCs w:val="44"/>
        </w:rPr>
        <w:t>汕头市文化和旅游市场轻微违法行为不予行政处罚清单</w:t>
      </w:r>
      <w:r>
        <w:rPr>
          <w:rFonts w:hint="eastAsia" w:ascii="方正小标宋_GBK" w:hAnsi="方正小标宋_GBK" w:eastAsia="方正小标宋_GBK" w:cs="方正小标宋_GBK"/>
          <w:bCs/>
          <w:sz w:val="44"/>
          <w:szCs w:val="44"/>
          <w:lang w:eastAsia="zh-CN"/>
        </w:rPr>
        <w:t>（</w:t>
      </w:r>
      <w:r>
        <w:rPr>
          <w:rFonts w:hint="default" w:ascii="方正小标宋_GBK" w:hAnsi="方正小标宋_GBK" w:eastAsia="方正小标宋_GBK" w:cs="方正小标宋_GBK"/>
          <w:bCs/>
          <w:sz w:val="44"/>
          <w:szCs w:val="44"/>
          <w:lang w:val="en-US" w:eastAsia="zh-CN"/>
        </w:rPr>
        <w:t>2026</w:t>
      </w:r>
      <w:r>
        <w:rPr>
          <w:rFonts w:hint="eastAsia" w:ascii="方正小标宋_GBK" w:hAnsi="方正小标宋_GBK" w:eastAsia="方正小标宋_GBK" w:cs="方正小标宋_GBK"/>
          <w:bCs/>
          <w:sz w:val="44"/>
          <w:szCs w:val="44"/>
          <w:lang w:val="en-US" w:eastAsia="zh-CN"/>
        </w:rPr>
        <w:t>年版</w:t>
      </w:r>
      <w:bookmarkStart w:id="0" w:name="_GoBack"/>
      <w:bookmarkEnd w:id="0"/>
      <w:r>
        <w:rPr>
          <w:rFonts w:hint="eastAsia" w:ascii="方正小标宋_GBK" w:hAnsi="方正小标宋_GBK" w:eastAsia="方正小标宋_GBK" w:cs="方正小标宋_GBK"/>
          <w:bCs/>
          <w:sz w:val="44"/>
          <w:szCs w:val="44"/>
          <w:lang w:eastAsia="zh-CN"/>
        </w:rPr>
        <w:t>）</w:t>
      </w:r>
    </w:p>
    <w:p>
      <w:pPr>
        <w:keepNext w:val="0"/>
        <w:keepLines w:val="0"/>
        <w:pageBreakBefore w:val="0"/>
        <w:widowControl w:val="0"/>
        <w:kinsoku/>
        <w:wordWrap/>
        <w:overflowPunct/>
        <w:topLinePunct w:val="0"/>
        <w:autoSpaceDE/>
        <w:autoSpaceDN/>
        <w:bidi w:val="0"/>
        <w:adjustRightInd/>
        <w:snapToGrid/>
        <w:spacing w:line="560" w:lineRule="exact"/>
        <w:jc w:val="center"/>
        <w:textAlignment w:val="auto"/>
        <w:rPr>
          <w:rFonts w:hint="eastAsia" w:ascii="方正小标宋_GBK" w:hAnsi="方正小标宋_GBK" w:eastAsia="方正小标宋_GBK" w:cs="方正小标宋_GBK"/>
          <w:bCs/>
          <w:color w:val="FF0000"/>
          <w:sz w:val="44"/>
          <w:szCs w:val="44"/>
          <w:lang w:eastAsia="zh-CN"/>
        </w:rPr>
      </w:pPr>
      <w:r>
        <w:rPr>
          <w:rFonts w:hint="eastAsia" w:ascii="方正小标宋_GBK" w:hAnsi="方正小标宋_GBK" w:eastAsia="方正小标宋_GBK" w:cs="方正小标宋_GBK"/>
          <w:bCs/>
          <w:sz w:val="44"/>
          <w:szCs w:val="44"/>
          <w:lang w:eastAsia="zh-CN"/>
        </w:rPr>
        <w:t>（</w:t>
      </w:r>
      <w:r>
        <w:rPr>
          <w:rFonts w:hint="eastAsia" w:ascii="方正小标宋_GBK" w:hAnsi="方正小标宋_GBK" w:eastAsia="方正小标宋_GBK" w:cs="方正小标宋_GBK"/>
          <w:bCs/>
          <w:sz w:val="44"/>
          <w:szCs w:val="44"/>
          <w:lang w:val="en-US" w:eastAsia="zh-CN"/>
        </w:rPr>
        <w:t>征求意见稿</w:t>
      </w:r>
      <w:r>
        <w:rPr>
          <w:rFonts w:hint="eastAsia" w:ascii="方正小标宋_GBK" w:hAnsi="方正小标宋_GBK" w:eastAsia="方正小标宋_GBK" w:cs="方正小标宋_GBK"/>
          <w:bCs/>
          <w:sz w:val="44"/>
          <w:szCs w:val="44"/>
          <w:lang w:eastAsia="zh-CN"/>
        </w:rPr>
        <w:t>）</w:t>
      </w:r>
    </w:p>
    <w:tbl>
      <w:tblPr>
        <w:tblStyle w:val="4"/>
        <w:tblpPr w:leftFromText="180" w:rightFromText="180" w:vertAnchor="text" w:horzAnchor="margin" w:tblpXSpec="center" w:tblpY="671"/>
        <w:tblW w:w="1532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32"/>
        <w:gridCol w:w="951"/>
        <w:gridCol w:w="1991"/>
        <w:gridCol w:w="2387"/>
        <w:gridCol w:w="5550"/>
        <w:gridCol w:w="2072"/>
        <w:gridCol w:w="154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97" w:hRule="atLeast"/>
          <w:jc w:val="center"/>
        </w:trPr>
        <w:tc>
          <w:tcPr>
            <w:tcW w:w="832" w:type="dxa"/>
            <w:noWrap w:val="0"/>
            <w:vAlign w:val="center"/>
          </w:tcPr>
          <w:p>
            <w:pPr>
              <w:jc w:val="center"/>
              <w:rPr>
                <w:rFonts w:hint="eastAsia" w:ascii="楷体_GB2312" w:hAnsi="楷体_GB2312" w:eastAsia="楷体_GB2312" w:cs="楷体_GB2312"/>
                <w:b w:val="0"/>
                <w:bCs/>
                <w:color w:val="auto"/>
                <w:sz w:val="28"/>
                <w:szCs w:val="28"/>
                <w:u w:val="none"/>
              </w:rPr>
            </w:pPr>
            <w:r>
              <w:rPr>
                <w:rFonts w:hint="eastAsia" w:ascii="楷体_GB2312" w:hAnsi="楷体_GB2312" w:eastAsia="楷体_GB2312" w:cs="楷体_GB2312"/>
                <w:b w:val="0"/>
                <w:bCs/>
                <w:color w:val="auto"/>
                <w:sz w:val="28"/>
                <w:szCs w:val="28"/>
                <w:u w:val="none"/>
              </w:rPr>
              <w:t>序号</w:t>
            </w:r>
          </w:p>
        </w:tc>
        <w:tc>
          <w:tcPr>
            <w:tcW w:w="951"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b w:val="0"/>
                <w:bCs/>
                <w:color w:val="auto"/>
                <w:sz w:val="28"/>
                <w:szCs w:val="28"/>
                <w:u w:val="none"/>
                <w:lang w:eastAsia="zh-CN"/>
              </w:rPr>
            </w:pPr>
            <w:r>
              <w:rPr>
                <w:rFonts w:hint="eastAsia" w:ascii="楷体_GB2312" w:hAnsi="楷体_GB2312" w:eastAsia="楷体_GB2312" w:cs="楷体_GB2312"/>
                <w:b w:val="0"/>
                <w:bCs/>
                <w:color w:val="auto"/>
                <w:sz w:val="28"/>
                <w:szCs w:val="28"/>
                <w:u w:val="none"/>
                <w:lang w:eastAsia="zh-CN"/>
              </w:rPr>
              <w:t>管理</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b w:val="0"/>
                <w:bCs/>
                <w:color w:val="auto"/>
                <w:sz w:val="28"/>
                <w:szCs w:val="28"/>
                <w:u w:val="none"/>
                <w:lang w:eastAsia="zh-CN"/>
              </w:rPr>
            </w:pPr>
            <w:r>
              <w:rPr>
                <w:rFonts w:hint="eastAsia" w:ascii="楷体_GB2312" w:hAnsi="楷体_GB2312" w:eastAsia="楷体_GB2312" w:cs="楷体_GB2312"/>
                <w:b w:val="0"/>
                <w:bCs/>
                <w:color w:val="auto"/>
                <w:sz w:val="28"/>
                <w:szCs w:val="28"/>
                <w:u w:val="none"/>
                <w:lang w:eastAsia="zh-CN"/>
              </w:rPr>
              <w:t>领域</w:t>
            </w:r>
          </w:p>
        </w:tc>
        <w:tc>
          <w:tcPr>
            <w:tcW w:w="1991" w:type="dxa"/>
            <w:noWrap w:val="0"/>
            <w:vAlign w:val="center"/>
          </w:tcPr>
          <w:p>
            <w:pPr>
              <w:jc w:val="center"/>
              <w:rPr>
                <w:rFonts w:hint="eastAsia" w:ascii="楷体_GB2312" w:hAnsi="楷体_GB2312" w:eastAsia="楷体_GB2312" w:cs="楷体_GB2312"/>
                <w:b w:val="0"/>
                <w:bCs/>
                <w:color w:val="auto"/>
                <w:sz w:val="28"/>
                <w:szCs w:val="28"/>
                <w:u w:val="none"/>
              </w:rPr>
            </w:pPr>
            <w:r>
              <w:rPr>
                <w:rFonts w:hint="eastAsia" w:ascii="楷体_GB2312" w:hAnsi="楷体_GB2312" w:eastAsia="楷体_GB2312" w:cs="楷体_GB2312"/>
                <w:b w:val="0"/>
                <w:bCs/>
                <w:color w:val="auto"/>
                <w:sz w:val="28"/>
                <w:szCs w:val="28"/>
                <w:u w:val="none"/>
              </w:rPr>
              <w:t>违法违规行为</w:t>
            </w:r>
          </w:p>
        </w:tc>
        <w:tc>
          <w:tcPr>
            <w:tcW w:w="2387"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b w:val="0"/>
                <w:bCs/>
                <w:color w:val="auto"/>
                <w:sz w:val="28"/>
                <w:szCs w:val="28"/>
                <w:u w:val="none"/>
              </w:rPr>
            </w:pPr>
            <w:r>
              <w:rPr>
                <w:rFonts w:hint="eastAsia" w:ascii="楷体_GB2312" w:hAnsi="楷体_GB2312" w:eastAsia="楷体_GB2312" w:cs="楷体_GB2312"/>
                <w:b w:val="0"/>
                <w:bCs/>
                <w:color w:val="auto"/>
                <w:sz w:val="28"/>
                <w:szCs w:val="28"/>
                <w:u w:val="none"/>
              </w:rPr>
              <w:t>不予行政处罚</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b w:val="0"/>
                <w:bCs/>
                <w:color w:val="auto"/>
                <w:sz w:val="28"/>
                <w:szCs w:val="28"/>
                <w:u w:val="none"/>
              </w:rPr>
            </w:pPr>
            <w:r>
              <w:rPr>
                <w:rFonts w:hint="eastAsia" w:ascii="楷体_GB2312" w:hAnsi="楷体_GB2312" w:eastAsia="楷体_GB2312" w:cs="楷体_GB2312"/>
                <w:b w:val="0"/>
                <w:bCs/>
                <w:color w:val="auto"/>
                <w:sz w:val="28"/>
                <w:szCs w:val="28"/>
                <w:u w:val="none"/>
              </w:rPr>
              <w:t>条件</w:t>
            </w:r>
          </w:p>
        </w:tc>
        <w:tc>
          <w:tcPr>
            <w:tcW w:w="5550" w:type="dxa"/>
            <w:noWrap w:val="0"/>
            <w:vAlign w:val="center"/>
          </w:tcPr>
          <w:p>
            <w:pPr>
              <w:jc w:val="center"/>
              <w:rPr>
                <w:rFonts w:hint="eastAsia" w:ascii="楷体_GB2312" w:hAnsi="楷体_GB2312" w:eastAsia="楷体_GB2312" w:cs="楷体_GB2312"/>
                <w:b w:val="0"/>
                <w:bCs/>
                <w:color w:val="auto"/>
                <w:sz w:val="28"/>
                <w:szCs w:val="28"/>
                <w:u w:val="none"/>
              </w:rPr>
            </w:pPr>
            <w:r>
              <w:rPr>
                <w:rFonts w:hint="eastAsia" w:ascii="楷体_GB2312" w:hAnsi="楷体_GB2312" w:eastAsia="楷体_GB2312" w:cs="楷体_GB2312"/>
                <w:b w:val="0"/>
                <w:bCs/>
                <w:color w:val="auto"/>
                <w:sz w:val="28"/>
                <w:szCs w:val="28"/>
                <w:u w:val="none"/>
                <w:lang w:eastAsia="zh-CN"/>
              </w:rPr>
              <w:t>设定</w:t>
            </w:r>
            <w:r>
              <w:rPr>
                <w:rFonts w:hint="eastAsia" w:ascii="楷体_GB2312" w:hAnsi="楷体_GB2312" w:eastAsia="楷体_GB2312" w:cs="楷体_GB2312"/>
                <w:b w:val="0"/>
                <w:bCs/>
                <w:color w:val="auto"/>
                <w:sz w:val="28"/>
                <w:szCs w:val="28"/>
                <w:u w:val="none"/>
              </w:rPr>
              <w:t>依据</w:t>
            </w:r>
          </w:p>
        </w:tc>
        <w:tc>
          <w:tcPr>
            <w:tcW w:w="2072" w:type="dxa"/>
            <w:noWrap w:val="0"/>
            <w:vAlign w:val="center"/>
          </w:tcPr>
          <w:p>
            <w:pPr>
              <w:jc w:val="center"/>
              <w:rPr>
                <w:rFonts w:hint="eastAsia" w:ascii="楷体_GB2312" w:hAnsi="楷体_GB2312" w:eastAsia="楷体_GB2312" w:cs="楷体_GB2312"/>
                <w:b w:val="0"/>
                <w:bCs/>
                <w:color w:val="auto"/>
                <w:sz w:val="28"/>
                <w:szCs w:val="28"/>
                <w:u w:val="none"/>
              </w:rPr>
            </w:pPr>
            <w:r>
              <w:rPr>
                <w:rFonts w:hint="eastAsia" w:ascii="楷体_GB2312" w:hAnsi="楷体_GB2312" w:eastAsia="楷体_GB2312" w:cs="楷体_GB2312"/>
                <w:b w:val="0"/>
                <w:bCs/>
                <w:color w:val="auto"/>
                <w:sz w:val="28"/>
                <w:szCs w:val="28"/>
                <w:u w:val="none"/>
                <w:lang w:eastAsia="zh-CN"/>
              </w:rPr>
              <w:t>免予处罚依据</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b w:val="0"/>
                <w:bCs/>
                <w:color w:val="auto"/>
                <w:sz w:val="28"/>
                <w:szCs w:val="28"/>
                <w:u w:val="none"/>
              </w:rPr>
            </w:pPr>
            <w:r>
              <w:rPr>
                <w:rFonts w:hint="eastAsia" w:ascii="楷体_GB2312" w:hAnsi="楷体_GB2312" w:eastAsia="楷体_GB2312" w:cs="楷体_GB2312"/>
                <w:b w:val="0"/>
                <w:bCs/>
                <w:color w:val="auto"/>
                <w:sz w:val="28"/>
                <w:szCs w:val="28"/>
                <w:u w:val="none"/>
              </w:rPr>
              <w:t>配套监管</w:t>
            </w:r>
          </w:p>
          <w:p>
            <w:pPr>
              <w:keepNext w:val="0"/>
              <w:keepLines w:val="0"/>
              <w:pageBreakBefore w:val="0"/>
              <w:widowControl w:val="0"/>
              <w:kinsoku/>
              <w:wordWrap/>
              <w:overflowPunct/>
              <w:topLinePunct w:val="0"/>
              <w:autoSpaceDE/>
              <w:autoSpaceDN/>
              <w:bidi w:val="0"/>
              <w:adjustRightInd/>
              <w:snapToGrid/>
              <w:spacing w:line="480" w:lineRule="exact"/>
              <w:jc w:val="center"/>
              <w:textAlignment w:val="auto"/>
              <w:rPr>
                <w:rFonts w:hint="eastAsia" w:ascii="楷体_GB2312" w:hAnsi="楷体_GB2312" w:eastAsia="楷体_GB2312" w:cs="楷体_GB2312"/>
                <w:b w:val="0"/>
                <w:bCs/>
                <w:color w:val="auto"/>
                <w:sz w:val="28"/>
                <w:szCs w:val="28"/>
                <w:u w:val="none"/>
              </w:rPr>
            </w:pPr>
            <w:r>
              <w:rPr>
                <w:rFonts w:hint="eastAsia" w:ascii="楷体_GB2312" w:hAnsi="楷体_GB2312" w:eastAsia="楷体_GB2312" w:cs="楷体_GB2312"/>
                <w:b w:val="0"/>
                <w:bCs/>
                <w:color w:val="auto"/>
                <w:sz w:val="28"/>
                <w:szCs w:val="28"/>
                <w:u w:val="none"/>
              </w:rPr>
              <w:t>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w:t>
            </w:r>
          </w:p>
        </w:tc>
        <w:tc>
          <w:tcPr>
            <w:tcW w:w="951" w:type="dxa"/>
            <w:noWrap w:val="0"/>
            <w:vAlign w:val="center"/>
          </w:tcPr>
          <w:p>
            <w:pPr>
              <w:spacing w:line="420" w:lineRule="exact"/>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娱乐场所</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娱乐场所未按照规定悬挂警示标志、未成年人禁入或者限入标志</w:t>
            </w:r>
          </w:p>
        </w:tc>
        <w:tc>
          <w:tcPr>
            <w:tcW w:w="2387" w:type="dxa"/>
            <w:noWrap w:val="0"/>
            <w:vAlign w:val="center"/>
          </w:tcPr>
          <w:p>
            <w:pPr>
              <w:numPr>
                <w:ilvl w:val="0"/>
                <w:numId w:val="1"/>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0"/>
              </w:num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val="en-US" w:eastAsia="zh-CN"/>
              </w:rPr>
              <w:t>2.</w:t>
            </w: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spacing w:line="420" w:lineRule="exact"/>
              <w:jc w:val="left"/>
              <w:rPr>
                <w:rFonts w:hint="eastAsia" w:ascii="仿宋_GB2312" w:hAnsi="仿宋_GB2312" w:eastAsia="仿宋_GB2312" w:cs="仿宋_GB2312"/>
                <w:b w:val="0"/>
                <w:bCs w:val="0"/>
                <w:color w:val="auto"/>
                <w:sz w:val="28"/>
                <w:szCs w:val="28"/>
                <w:u w:val="none"/>
              </w:rPr>
            </w:pPr>
            <w:r>
              <w:rPr>
                <w:rFonts w:hint="eastAsia" w:ascii="仿宋_GB2312" w:hAnsi="仿宋_GB2312" w:eastAsia="仿宋_GB2312" w:cs="仿宋_GB2312"/>
                <w:color w:val="auto"/>
                <w:sz w:val="28"/>
                <w:szCs w:val="28"/>
                <w:u w:val="none"/>
                <w:lang w:val="en-US" w:eastAsia="zh-CN"/>
              </w:rPr>
              <w:t>3.</w:t>
            </w:r>
            <w:r>
              <w:rPr>
                <w:rFonts w:hint="eastAsia" w:ascii="仿宋_GB2312" w:hAnsi="仿宋_GB2312" w:eastAsia="仿宋_GB2312" w:cs="仿宋_GB2312"/>
                <w:color w:val="auto"/>
                <w:sz w:val="28"/>
                <w:szCs w:val="28"/>
                <w:u w:val="none"/>
                <w:lang w:eastAsia="zh-CN"/>
              </w:rPr>
              <w:t>立即自行改正或责令改正限期内</w:t>
            </w:r>
            <w:r>
              <w:rPr>
                <w:rFonts w:hint="eastAsia" w:ascii="仿宋_GB2312" w:hAnsi="仿宋_GB2312" w:eastAsia="仿宋_GB2312" w:cs="仿宋_GB2312"/>
                <w:color w:val="auto"/>
                <w:sz w:val="28"/>
                <w:szCs w:val="28"/>
                <w:u w:val="none"/>
              </w:rPr>
              <w:t>改正</w:t>
            </w:r>
            <w:r>
              <w:rPr>
                <w:rFonts w:hint="eastAsia" w:ascii="仿宋_GB2312" w:hAnsi="仿宋_GB2312" w:eastAsia="仿宋_GB2312" w:cs="仿宋_GB2312"/>
                <w:color w:val="auto"/>
                <w:sz w:val="28"/>
                <w:szCs w:val="28"/>
                <w:u w:val="none"/>
                <w:lang w:eastAsia="zh-CN"/>
              </w:rPr>
              <w:t>。</w:t>
            </w:r>
          </w:p>
          <w:p>
            <w:pPr>
              <w:spacing w:line="420" w:lineRule="exact"/>
              <w:jc w:val="left"/>
              <w:rPr>
                <w:rFonts w:hint="eastAsia" w:ascii="仿宋_GB2312" w:hAnsi="仿宋_GB2312" w:eastAsia="仿宋_GB2312" w:cs="仿宋_GB2312"/>
                <w:color w:val="auto"/>
                <w:sz w:val="28"/>
                <w:szCs w:val="28"/>
                <w:u w:val="none"/>
                <w:lang w:eastAsia="zh-CN"/>
              </w:rPr>
            </w:pPr>
          </w:p>
        </w:tc>
        <w:tc>
          <w:tcPr>
            <w:tcW w:w="5550" w:type="dxa"/>
            <w:noWrap w:val="0"/>
            <w:vAlign w:val="center"/>
          </w:tcPr>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《娱乐场所管理条例》第三十条</w:t>
            </w:r>
            <w:r>
              <w:rPr>
                <w:rFonts w:hint="eastAsia" w:ascii="仿宋_GB2312" w:hAnsi="仿宋_GB2312" w:eastAsia="仿宋_GB2312" w:cs="仿宋_GB2312"/>
                <w:color w:val="auto"/>
                <w:sz w:val="28"/>
                <w:szCs w:val="28"/>
                <w:u w:val="none"/>
              </w:rPr>
              <w:t xml:space="preserve"> 娱乐场所应当在营业场所的大厅、包厢、包间内的显著位置悬挂含有禁毒、禁赌、禁止卖淫嫖娼等内容的警示标志、未成年人禁入或者限入标志。标志应当注明公安部门、文化主管部门的举报电话。</w:t>
            </w:r>
          </w:p>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《娱乐场所管理条例》第五十一条</w:t>
            </w:r>
            <w:r>
              <w:rPr>
                <w:rFonts w:hint="eastAsia" w:ascii="仿宋_GB2312" w:hAnsi="仿宋_GB2312" w:eastAsia="仿宋_GB2312" w:cs="仿宋_GB2312"/>
                <w:color w:val="auto"/>
                <w:sz w:val="28"/>
                <w:szCs w:val="28"/>
                <w:u w:val="none"/>
              </w:rPr>
              <w:t xml:space="preserve">  娱乐场所未按照本条例规定悬挂警示标志、未成年人禁入或者限入标志的，由县级人民政府文化主管部门、县级公安部门依据法定职权责令改正，给予警告。</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8"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2</w:t>
            </w:r>
          </w:p>
        </w:tc>
        <w:tc>
          <w:tcPr>
            <w:tcW w:w="951" w:type="dxa"/>
            <w:noWrap w:val="0"/>
            <w:vAlign w:val="center"/>
          </w:tcPr>
          <w:p>
            <w:pPr>
              <w:spacing w:line="420" w:lineRule="exact"/>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娱乐场所</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娱乐场所从业人员在营业期间未统一着装并佩带工作标志</w:t>
            </w:r>
          </w:p>
        </w:tc>
        <w:tc>
          <w:tcPr>
            <w:tcW w:w="2387"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1.本次违法行为发现之日前2年内没有实施此项违法行为的记录；</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2.危害后果轻微；</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3.立即自行改正或责令改正期限内改正。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b w:val="0"/>
                <w:bCs/>
                <w:color w:val="auto"/>
                <w:sz w:val="28"/>
                <w:szCs w:val="28"/>
                <w:u w:val="none"/>
              </w:rPr>
            </w:pPr>
            <w:r>
              <w:rPr>
                <w:rFonts w:hint="eastAsia" w:ascii="仿宋_GB2312" w:hAnsi="仿宋_GB2312" w:eastAsia="仿宋_GB2312" w:cs="仿宋_GB2312"/>
                <w:b/>
                <w:color w:val="auto"/>
                <w:sz w:val="28"/>
                <w:szCs w:val="28"/>
                <w:u w:val="none"/>
              </w:rPr>
              <w:t>《娱乐场所管理条例》</w:t>
            </w:r>
            <w:r>
              <w:rPr>
                <w:rFonts w:hint="eastAsia" w:ascii="仿宋_GB2312" w:hAnsi="仿宋_GB2312" w:eastAsia="仿宋_GB2312" w:cs="仿宋_GB2312"/>
                <w:b/>
                <w:bCs w:val="0"/>
                <w:color w:val="auto"/>
                <w:sz w:val="28"/>
                <w:szCs w:val="28"/>
                <w:u w:val="none"/>
              </w:rPr>
              <w:t>第二十七条第一款</w:t>
            </w:r>
            <w:r>
              <w:rPr>
                <w:rFonts w:hint="eastAsia" w:ascii="仿宋_GB2312" w:hAnsi="仿宋_GB2312" w:eastAsia="仿宋_GB2312" w:cs="仿宋_GB2312"/>
                <w:b w:val="0"/>
                <w:bCs/>
                <w:color w:val="auto"/>
                <w:sz w:val="28"/>
                <w:szCs w:val="28"/>
                <w:u w:val="none"/>
                <w:lang w:eastAsia="zh-CN"/>
              </w:rPr>
              <w:t xml:space="preserve"> </w:t>
            </w:r>
            <w:r>
              <w:rPr>
                <w:rFonts w:hint="eastAsia" w:ascii="仿宋_GB2312" w:hAnsi="仿宋_GB2312" w:eastAsia="仿宋_GB2312" w:cs="仿宋_GB2312"/>
                <w:b w:val="0"/>
                <w:bCs/>
                <w:color w:val="auto"/>
                <w:sz w:val="28"/>
                <w:szCs w:val="28"/>
                <w:u w:val="none"/>
              </w:rPr>
              <w:t>营业期间，娱乐场所的从业人员应当统一着工作服，佩戴工作标志并携带居民身份证或者外国人就业许可证。</w:t>
            </w:r>
          </w:p>
          <w:p>
            <w:pPr>
              <w:spacing w:line="420" w:lineRule="exact"/>
              <w:ind w:firstLine="281" w:firstLineChars="100"/>
              <w:jc w:val="left"/>
              <w:rPr>
                <w:rFonts w:hint="eastAsia" w:ascii="仿宋_GB2312" w:hAnsi="仿宋_GB2312" w:eastAsia="仿宋_GB2312" w:cs="仿宋_GB2312"/>
                <w:b w:val="0"/>
                <w:bCs/>
                <w:color w:val="auto"/>
                <w:sz w:val="28"/>
                <w:szCs w:val="28"/>
                <w:u w:val="none"/>
              </w:rPr>
            </w:pPr>
            <w:r>
              <w:rPr>
                <w:rFonts w:hint="eastAsia" w:ascii="仿宋_GB2312" w:hAnsi="仿宋_GB2312" w:eastAsia="仿宋_GB2312" w:cs="仿宋_GB2312"/>
                <w:b/>
                <w:color w:val="auto"/>
                <w:sz w:val="28"/>
                <w:szCs w:val="28"/>
                <w:u w:val="none"/>
              </w:rPr>
              <w:t>《娱乐场所管理条例》</w:t>
            </w:r>
            <w:r>
              <w:rPr>
                <w:rFonts w:hint="eastAsia" w:ascii="仿宋_GB2312" w:hAnsi="仿宋_GB2312" w:eastAsia="仿宋_GB2312" w:cs="仿宋_GB2312"/>
                <w:b/>
                <w:bCs w:val="0"/>
                <w:color w:val="auto"/>
                <w:sz w:val="28"/>
                <w:szCs w:val="28"/>
                <w:u w:val="none"/>
              </w:rPr>
              <w:t>第四十九条</w:t>
            </w:r>
            <w:r>
              <w:rPr>
                <w:rFonts w:hint="eastAsia" w:ascii="仿宋_GB2312" w:hAnsi="仿宋_GB2312" w:eastAsia="仿宋_GB2312" w:cs="仿宋_GB2312"/>
                <w:b/>
                <w:bCs w:val="0"/>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娱乐场所违反本条例规定，有下列情形之一的，由县级人民政府文化主管部门责令改正，给予警告；情节严重的，责令停业整顿1个月至3个月：</w:t>
            </w:r>
          </w:p>
          <w:p>
            <w:pPr>
              <w:spacing w:line="420" w:lineRule="exact"/>
              <w:ind w:firstLine="280" w:firstLineChars="100"/>
              <w:jc w:val="left"/>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val="0"/>
                <w:bCs/>
                <w:color w:val="auto"/>
                <w:sz w:val="28"/>
                <w:szCs w:val="28"/>
                <w:u w:val="none"/>
              </w:rPr>
              <w:t>（三）从业人员在营业期间未统一着装并佩带工作标志的。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3</w:t>
            </w:r>
          </w:p>
        </w:tc>
        <w:tc>
          <w:tcPr>
            <w:tcW w:w="951" w:type="dxa"/>
            <w:noWrap w:val="0"/>
            <w:vAlign w:val="center"/>
          </w:tcPr>
          <w:p>
            <w:pPr>
              <w:spacing w:line="420" w:lineRule="exact"/>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eastAsia="zh-CN"/>
              </w:rPr>
              <w:t>娱乐场所</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娱乐场所未在显著位置悬挂娱乐经营许可证、未成年人禁入或者限入标志</w:t>
            </w:r>
          </w:p>
        </w:tc>
        <w:tc>
          <w:tcPr>
            <w:tcW w:w="2387"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1.本次违法行为发现之日前2年内没有实施此项违法行为的记录；</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2.危害后果轻微；</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3.立即自行改正或责令改正期限内改正。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color w:val="auto"/>
                <w:sz w:val="28"/>
                <w:szCs w:val="28"/>
                <w:u w:val="none"/>
              </w:rPr>
              <w:t>《娱乐场所管理办法》第二十四条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娱乐场所应当在显著位置悬挂娱乐经营许可证、未成年人禁入或者限入标志，标志应当注明举报电话。</w:t>
            </w:r>
          </w:p>
          <w:p>
            <w:pPr>
              <w:spacing w:line="420" w:lineRule="exact"/>
              <w:ind w:firstLine="281" w:firstLineChars="100"/>
              <w:jc w:val="left"/>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color w:val="auto"/>
                <w:sz w:val="28"/>
                <w:szCs w:val="28"/>
                <w:u w:val="none"/>
              </w:rPr>
              <w:t>《娱乐场所管理办法》第三十三条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娱乐场所违反本办法第二十四条规定的，由县级以上人民政府文化和旅游主管部门责令改正，予以警告。</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8"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4</w:t>
            </w:r>
          </w:p>
        </w:tc>
        <w:tc>
          <w:tcPr>
            <w:tcW w:w="951" w:type="dxa"/>
            <w:noWrap w:val="0"/>
            <w:vAlign w:val="center"/>
          </w:tcPr>
          <w:p>
            <w:pPr>
              <w:spacing w:line="420" w:lineRule="exact"/>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eastAsia="zh-CN"/>
              </w:rPr>
              <w:t>娱乐场所</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娱乐场所变更主要设施设备、投资人员，未按规定申请重新核发娱乐经营许可证</w:t>
            </w:r>
          </w:p>
        </w:tc>
        <w:tc>
          <w:tcPr>
            <w:tcW w:w="2387"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1.本次违法行为发现之日前2年内没有实施此项违法行为的记录；</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2.危害后果轻微；</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color w:val="auto"/>
                <w:sz w:val="28"/>
                <w:szCs w:val="28"/>
                <w:u w:val="none"/>
              </w:rPr>
              <w:t>《娱乐场所管理条例》第十二条</w:t>
            </w:r>
            <w:r>
              <w:rPr>
                <w:rFonts w:hint="eastAsia" w:ascii="仿宋_GB2312" w:hAnsi="仿宋_GB2312" w:eastAsia="仿宋_GB2312" w:cs="仿宋_GB2312"/>
                <w:b w:val="0"/>
                <w:bCs/>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娱乐场所改建、扩建营业场所或者变更场地、主要设施设备、投资人员，或者变更娱乐经营许可证载明的事项的，应当向原发证机关申请重新核发娱乐经营许可证，并向公安部门备案；需要办理变更登记的，应当依法向工商行政管理部门办理变更登记。</w:t>
            </w:r>
          </w:p>
          <w:p>
            <w:pPr>
              <w:spacing w:line="420" w:lineRule="exact"/>
              <w:ind w:firstLine="281" w:firstLineChars="100"/>
              <w:jc w:val="left"/>
              <w:rPr>
                <w:rFonts w:hint="eastAsia" w:ascii="仿宋_GB2312" w:hAnsi="仿宋_GB2312" w:eastAsia="仿宋_GB2312" w:cs="仿宋_GB2312"/>
                <w:b w:val="0"/>
                <w:bCs/>
                <w:color w:val="auto"/>
                <w:sz w:val="28"/>
                <w:szCs w:val="28"/>
                <w:u w:val="none"/>
              </w:rPr>
            </w:pPr>
            <w:r>
              <w:rPr>
                <w:rFonts w:hint="eastAsia" w:ascii="仿宋_GB2312" w:hAnsi="仿宋_GB2312" w:eastAsia="仿宋_GB2312" w:cs="仿宋_GB2312"/>
                <w:b/>
                <w:color w:val="auto"/>
                <w:sz w:val="28"/>
                <w:szCs w:val="28"/>
                <w:u w:val="none"/>
              </w:rPr>
              <w:t>《娱乐场所管理条例》第四十九条</w:t>
            </w:r>
            <w:r>
              <w:rPr>
                <w:rFonts w:hint="eastAsia" w:ascii="仿宋_GB2312" w:hAnsi="仿宋_GB2312" w:eastAsia="仿宋_GB2312" w:cs="仿宋_GB2312"/>
                <w:b w:val="0"/>
                <w:bCs/>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娱乐场所违反本条例规定，有下列情形之一的，由县级人民政府文化主管部门责令改正，给予警告；情节严重的，责令停业整顿1个月至3个月：</w:t>
            </w:r>
          </w:p>
          <w:p>
            <w:pPr>
              <w:spacing w:line="420" w:lineRule="exact"/>
              <w:ind w:firstLine="280" w:firstLineChars="100"/>
              <w:jc w:val="left"/>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val="0"/>
                <w:bCs/>
                <w:color w:val="auto"/>
                <w:sz w:val="28"/>
                <w:szCs w:val="28"/>
                <w:u w:val="none"/>
              </w:rPr>
              <w:t>（一）变更有关事项，未按照本条例规定申请重新核发娱乐经营许可证的；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加强教育，警示告诫；责令限期办理备案手续并复查；通知所涉及相关行政管理部门。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28"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5</w:t>
            </w:r>
          </w:p>
        </w:tc>
        <w:tc>
          <w:tcPr>
            <w:tcW w:w="951" w:type="dxa"/>
            <w:noWrap w:val="0"/>
            <w:vAlign w:val="center"/>
          </w:tcPr>
          <w:p>
            <w:pPr>
              <w:spacing w:line="420" w:lineRule="exact"/>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eastAsia="zh-CN"/>
              </w:rPr>
              <w:t>娱乐场所</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游艺娱乐场所进行有奖经营活动的奖品目录未报所在地县级文化主管部门备案</w:t>
            </w:r>
          </w:p>
        </w:tc>
        <w:tc>
          <w:tcPr>
            <w:tcW w:w="2387"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1.本次违法行为发现之日前2年内没有实施此项违法行为的记录；</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2.危害后果轻微；</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b w:val="0"/>
                <w:bCs/>
                <w:color w:val="auto"/>
                <w:sz w:val="28"/>
                <w:szCs w:val="28"/>
                <w:u w:val="none"/>
              </w:rPr>
            </w:pPr>
            <w:r>
              <w:rPr>
                <w:rFonts w:hint="eastAsia" w:ascii="仿宋_GB2312" w:hAnsi="仿宋_GB2312" w:eastAsia="仿宋_GB2312" w:cs="仿宋_GB2312"/>
                <w:b/>
                <w:color w:val="auto"/>
                <w:sz w:val="28"/>
                <w:szCs w:val="28"/>
                <w:u w:val="none"/>
              </w:rPr>
              <w:t>《娱乐场所管理办法》第二十一条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游艺娱乐场所经营应当符合以下规定：（二）进行有奖经营活动的，奖品目录应当报所在地县级文化和旅游主管部门备案；</w:t>
            </w:r>
          </w:p>
          <w:p>
            <w:pPr>
              <w:spacing w:line="420" w:lineRule="exact"/>
              <w:ind w:firstLine="281" w:firstLineChars="100"/>
              <w:jc w:val="left"/>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color w:val="auto"/>
                <w:sz w:val="28"/>
                <w:szCs w:val="28"/>
                <w:u w:val="none"/>
              </w:rPr>
              <w:t>《娱乐场所管理办法》第三十条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游艺娱乐场所违反本办法第二十一条第（一）项、第（二）项规定的，由县级以上人民政府文化和旅游主管部门责令改正，并处5000元以上1万元以下的罚款；违反本办法第二十一条第（三）项规定的，由县级以上人民政府文化和旅游主管部门依照《条例》第四十八条予以处罚。</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加强教育，警示告诫；责令限期办理备案手续并复查；加强日常检查。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1"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val="en-US" w:eastAsia="zh-CN"/>
              </w:rPr>
              <w:t>6</w:t>
            </w:r>
          </w:p>
        </w:tc>
        <w:tc>
          <w:tcPr>
            <w:tcW w:w="951"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rPr>
              <w:t>上网服务</w:t>
            </w:r>
          </w:p>
        </w:tc>
        <w:tc>
          <w:tcPr>
            <w:tcW w:w="1991"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互联网上网服务营业场所经营单位未在营业场所的显著位置悬挂《网络文化经营许可证》或者未成年人禁入标志的行政处罚</w:t>
            </w:r>
          </w:p>
        </w:tc>
        <w:tc>
          <w:tcPr>
            <w:tcW w:w="2387" w:type="dxa"/>
            <w:noWrap w:val="0"/>
            <w:vAlign w:val="center"/>
          </w:tcPr>
          <w:p>
            <w:pPr>
              <w:numPr>
                <w:ilvl w:val="0"/>
                <w:numId w:val="2"/>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2"/>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numPr>
                <w:ilvl w:val="0"/>
                <w:numId w:val="2"/>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立即自行改正或责令改正期限内改正。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《互联网上网服务营业场所管理条例》第二十条</w:t>
            </w:r>
            <w:r>
              <w:rPr>
                <w:rFonts w:hint="eastAsia" w:ascii="仿宋_GB2312" w:hAnsi="仿宋_GB2312" w:eastAsia="仿宋_GB2312" w:cs="仿宋_GB2312"/>
                <w:color w:val="auto"/>
                <w:sz w:val="28"/>
                <w:szCs w:val="28"/>
                <w:u w:val="none"/>
              </w:rPr>
              <w:t xml:space="preserve"> 互联网上网服务营业场所经营单位应当在营业场所的显著位置悬挂《网络文化经营许可证》和营业执照。</w:t>
            </w:r>
          </w:p>
          <w:p>
            <w:pPr>
              <w:spacing w:line="420" w:lineRule="exact"/>
              <w:ind w:firstLine="281" w:firstLineChars="100"/>
              <w:jc w:val="left"/>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b/>
                <w:color w:val="auto"/>
                <w:sz w:val="28"/>
                <w:szCs w:val="28"/>
                <w:u w:val="none"/>
              </w:rPr>
              <w:t>《互联网上网服务营业场所管理条例》第二十</w:t>
            </w:r>
            <w:r>
              <w:rPr>
                <w:rFonts w:hint="eastAsia" w:ascii="仿宋_GB2312" w:hAnsi="仿宋_GB2312" w:eastAsia="仿宋_GB2312" w:cs="仿宋_GB2312"/>
                <w:b/>
                <w:color w:val="auto"/>
                <w:sz w:val="28"/>
                <w:szCs w:val="28"/>
                <w:u w:val="none"/>
                <w:lang w:eastAsia="zh-CN"/>
              </w:rPr>
              <w:t>一</w:t>
            </w:r>
            <w:r>
              <w:rPr>
                <w:rFonts w:hint="eastAsia" w:ascii="仿宋_GB2312" w:hAnsi="仿宋_GB2312" w:eastAsia="仿宋_GB2312" w:cs="仿宋_GB2312"/>
                <w:b/>
                <w:color w:val="auto"/>
                <w:sz w:val="28"/>
                <w:szCs w:val="28"/>
                <w:u w:val="none"/>
              </w:rPr>
              <w:t>条</w:t>
            </w:r>
            <w:r>
              <w:rPr>
                <w:rFonts w:hint="eastAsia" w:ascii="仿宋_GB2312" w:hAnsi="仿宋_GB2312" w:eastAsia="仿宋_GB2312" w:cs="仿宋_GB2312"/>
                <w:color w:val="auto"/>
                <w:sz w:val="28"/>
                <w:szCs w:val="28"/>
                <w:u w:val="none"/>
              </w:rPr>
              <w:t xml:space="preserve"> 互联网上网服务营业场所经营单位不得接纳未成年人进入营业场所。互联网上网服务营业场所经营单位应当在营业场所入口处的显著位置悬挂未成年人禁入标志。</w:t>
            </w:r>
          </w:p>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《互联网上网服务营业场所管理条例》第三十一条</w:t>
            </w:r>
            <w:r>
              <w:rPr>
                <w:rFonts w:hint="eastAsia" w:ascii="仿宋_GB2312" w:hAnsi="仿宋_GB2312" w:eastAsia="仿宋_GB2312" w:cs="仿宋_GB2312"/>
                <w:color w:val="auto"/>
                <w:sz w:val="28"/>
                <w:szCs w:val="28"/>
                <w:u w:val="none"/>
              </w:rPr>
              <w:t xml:space="preserve"> 互联网上网服务营业场所经营单位违反本条例的规定，有下列行为之一的，由文化行政部门给予警告，可以并处15000元以下的罚款；情节严重的，责令停业整顿，直至吊销《网络文化经营许可证》：</w:t>
            </w:r>
          </w:p>
          <w:p>
            <w:pPr>
              <w:spacing w:line="420" w:lineRule="exact"/>
              <w:ind w:firstLine="280"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（五）未悬挂《网络文化经营许可证》或者未成年人禁入标志的。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7</w:t>
            </w:r>
          </w:p>
        </w:tc>
        <w:tc>
          <w:tcPr>
            <w:tcW w:w="951" w:type="dxa"/>
            <w:noWrap w:val="0"/>
            <w:vAlign w:val="center"/>
          </w:tcPr>
          <w:p>
            <w:pPr>
              <w:spacing w:line="420" w:lineRule="exact"/>
              <w:jc w:val="center"/>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上网服务</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互联网上网服务营业场所经营单位变更名称，法定代表人或者主要负责人、注册资本，未向文化行政部门办理有关手续或者备案</w:t>
            </w:r>
          </w:p>
        </w:tc>
        <w:tc>
          <w:tcPr>
            <w:tcW w:w="2387"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1.本次违法行为发现之日前2年内没有实施此项违法行为的记录；</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2.危害后果轻微；</w:t>
            </w:r>
          </w:p>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color w:val="auto"/>
                <w:sz w:val="28"/>
                <w:szCs w:val="28"/>
                <w:u w:val="none"/>
              </w:rPr>
              <w:t>《互联网上网服务营业场所管理条例》第十三条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互联网上网服务营业场所经营单位变更营业场所地址或者对营业场所进行改建、扩建、变更计算机数量或者其他重要事项的，应当经原审核机关同意。互联网上网服务营业场所经营单位变更名称、住所、法定代表人或者主要负责人、注册资本、网络地址或者终止经营活动的，应当依法到工商行政管理部门办理变更登记或者注销登记，并到文化行政部门、公安机关办理有关手续或者备案。</w:t>
            </w:r>
          </w:p>
          <w:p>
            <w:pPr>
              <w:spacing w:line="420" w:lineRule="exact"/>
              <w:ind w:firstLine="281" w:firstLineChars="100"/>
              <w:jc w:val="left"/>
              <w:rPr>
                <w:rFonts w:hint="eastAsia" w:ascii="仿宋_GB2312" w:hAnsi="仿宋_GB2312" w:eastAsia="仿宋_GB2312" w:cs="仿宋_GB2312"/>
                <w:b w:val="0"/>
                <w:bCs/>
                <w:color w:val="auto"/>
                <w:sz w:val="28"/>
                <w:szCs w:val="28"/>
                <w:u w:val="none"/>
              </w:rPr>
            </w:pPr>
            <w:r>
              <w:rPr>
                <w:rFonts w:hint="eastAsia" w:ascii="仿宋_GB2312" w:hAnsi="仿宋_GB2312" w:eastAsia="仿宋_GB2312" w:cs="仿宋_GB2312"/>
                <w:b/>
                <w:color w:val="auto"/>
                <w:sz w:val="28"/>
                <w:szCs w:val="28"/>
                <w:u w:val="none"/>
              </w:rPr>
              <w:t>《互联网上网服务营业场所管理条例》第三十三条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互联网上网服务营业场所经营单位违反本条例的规定，有下列行为之一的，由文化行政部门、公安机关依据各自职权给予警告，可以并处15000元以下的罚款；情节严重的，责令停业整顿，直至由文化行政部门吊销《网络文化经营许可证》：</w:t>
            </w:r>
          </w:p>
          <w:p>
            <w:pPr>
              <w:spacing w:line="420" w:lineRule="exact"/>
              <w:ind w:firstLine="280" w:firstLineChars="100"/>
              <w:jc w:val="left"/>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val="0"/>
                <w:bCs/>
                <w:color w:val="auto"/>
                <w:sz w:val="28"/>
                <w:szCs w:val="28"/>
                <w:u w:val="none"/>
              </w:rPr>
              <w:t>（五）变更名称、住所、法定代表人或者主要负责人、注册资本、网络地址或者终止经营活动，未到文化行政部门、公安机关办理有关手续或者备案的。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加强教育，警示告诫；责令限期办理备案手续并复查；通知所涉及相关行政管理部门。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val="en-US" w:eastAsia="zh-CN"/>
              </w:rPr>
              <w:t>8</w:t>
            </w:r>
          </w:p>
        </w:tc>
        <w:tc>
          <w:tcPr>
            <w:tcW w:w="951" w:type="dxa"/>
            <w:noWrap w:val="0"/>
            <w:vAlign w:val="center"/>
          </w:tcPr>
          <w:p>
            <w:pPr>
              <w:spacing w:line="420" w:lineRule="exact"/>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艺术品经营</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设立从事艺术品经营活动的经营单位或者其他经营单位增设艺术品经营业务，未在规定时间内向文化行政部门备案</w:t>
            </w:r>
          </w:p>
        </w:tc>
        <w:tc>
          <w:tcPr>
            <w:tcW w:w="2387" w:type="dxa"/>
            <w:noWrap w:val="0"/>
            <w:vAlign w:val="center"/>
          </w:tcPr>
          <w:p>
            <w:pPr>
              <w:numPr>
                <w:ilvl w:val="0"/>
                <w:numId w:val="3"/>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3"/>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numPr>
                <w:ilvl w:val="0"/>
                <w:numId w:val="3"/>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《艺术品经营管理办法》第五条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设立从事艺术品经营活动的经营单位，应当到其住所地县级以上人民政府工商行政管理部门申领营业执照，并在领取营业执照之日起15日内，到其住所地县级以上人民政府文化行政部门备案。其他经营单位增设艺术品经营业务的，应当按前款办理备案手续。</w:t>
            </w:r>
          </w:p>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《艺术品经营管理办法》第十九条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违反本办法第五条规定的，由县级以上人民政府文化行政部门或者依法授权的文化市场综合执法机构责令改正，并可根据情节轻重处10000元以下罚款。</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加强教育，警示告诫；责令限期办理备案手续并复查。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9</w:t>
            </w:r>
          </w:p>
        </w:tc>
        <w:tc>
          <w:tcPr>
            <w:tcW w:w="951" w:type="dxa"/>
            <w:noWrap w:val="0"/>
            <w:vAlign w:val="center"/>
          </w:tcPr>
          <w:p>
            <w:pPr>
              <w:spacing w:line="420" w:lineRule="exact"/>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文艺表演</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文艺表演团体变更名称、住所、法定代表人或者主要负责人未向原发证机关申请换发营业性演出许可证</w:t>
            </w:r>
          </w:p>
        </w:tc>
        <w:tc>
          <w:tcPr>
            <w:tcW w:w="2387" w:type="dxa"/>
            <w:noWrap w:val="0"/>
            <w:vAlign w:val="center"/>
          </w:tcPr>
          <w:p>
            <w:pPr>
              <w:numPr>
                <w:ilvl w:val="0"/>
                <w:numId w:val="4"/>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4"/>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p>
          <w:p>
            <w:pPr>
              <w:numPr>
                <w:ilvl w:val="0"/>
                <w:numId w:val="4"/>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责令改正期限内改正。</w:t>
            </w:r>
          </w:p>
        </w:tc>
        <w:tc>
          <w:tcPr>
            <w:tcW w:w="5550" w:type="dxa"/>
            <w:noWrap w:val="0"/>
            <w:vAlign w:val="center"/>
          </w:tcPr>
          <w:p>
            <w:pPr>
              <w:numPr>
                <w:ilvl w:val="0"/>
                <w:numId w:val="0"/>
              </w:num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bCs/>
                <w:color w:val="auto"/>
                <w:sz w:val="28"/>
                <w:szCs w:val="28"/>
                <w:u w:val="none"/>
              </w:rPr>
              <w:t>《营业性演出管理条例》第八条第一款</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文艺表演团体变更名称、住所、法定代表人或者主要负责人、营业性演出经营项目，应当向原发证机关申请换发营业性演出许可证，并依法到工商行政管理部门办理变更登记。</w:t>
            </w:r>
          </w:p>
          <w:p>
            <w:pPr>
              <w:numPr>
                <w:ilvl w:val="0"/>
                <w:numId w:val="0"/>
              </w:num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bCs/>
                <w:color w:val="auto"/>
                <w:sz w:val="28"/>
                <w:szCs w:val="28"/>
                <w:u w:val="none"/>
              </w:rPr>
              <w:t>《营业性演出管理条例》第五十条第一款</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违反本条例第八条第一款规定，变更名称、住所、法定代表人或者主要负责人未向原发证机关申请换发营业性演出许可证的，由县级人民政府文化主管部门责令改正，给予警告，并处1万元以上3万元以下的罚款。</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numPr>
                <w:ilvl w:val="0"/>
                <w:numId w:val="0"/>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加强教育，警示告诫；责令限期办理变更登记手续并复查。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2"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10</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出版</w:t>
            </w:r>
          </w:p>
        </w:tc>
        <w:tc>
          <w:tcPr>
            <w:tcW w:w="1991"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单位或个人从事出版物出租业务未在规定时间内向出版行政主管部门备案</w:t>
            </w:r>
          </w:p>
        </w:tc>
        <w:tc>
          <w:tcPr>
            <w:tcW w:w="2387" w:type="dxa"/>
            <w:noWrap w:val="0"/>
            <w:vAlign w:val="center"/>
          </w:tcPr>
          <w:p>
            <w:pPr>
              <w:numPr>
                <w:ilvl w:val="0"/>
                <w:numId w:val="5"/>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5"/>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numPr>
                <w:ilvl w:val="0"/>
                <w:numId w:val="5"/>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责令改正期限内改正。</w:t>
            </w:r>
          </w:p>
        </w:tc>
        <w:tc>
          <w:tcPr>
            <w:tcW w:w="555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《出版物市场管理规定》第十三条第一款</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单位、个人从事出版物出租业务，应当于取得营业执照后15日内到当地县级人民政府出版行政主管部门备案。</w:t>
            </w:r>
          </w:p>
          <w:p>
            <w:pPr>
              <w:keepNext w:val="0"/>
              <w:keepLines w:val="0"/>
              <w:pageBreakBefore w:val="0"/>
              <w:widowControl w:val="0"/>
              <w:numPr>
                <w:ilvl w:val="0"/>
                <w:numId w:val="0"/>
              </w:numPr>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《出版物市场管理规定》第三十七条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违反本规定，有下列行为之一的，由出版行政主管部门责令停止违法行为，予以警告，并处3万元以下罚款：</w:t>
            </w:r>
          </w:p>
          <w:p>
            <w:pPr>
              <w:spacing w:line="320" w:lineRule="exact"/>
              <w:ind w:firstLine="280"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（十一）应按本规定进行备案而未备案的</w:t>
            </w:r>
            <w:r>
              <w:rPr>
                <w:rFonts w:hint="eastAsia" w:ascii="仿宋_GB2312" w:hAnsi="仿宋_GB2312" w:eastAsia="仿宋_GB2312" w:cs="仿宋_GB2312"/>
                <w:b w:val="0"/>
                <w:bCs/>
                <w:color w:val="auto"/>
                <w:sz w:val="28"/>
                <w:szCs w:val="28"/>
                <w:u w:val="none"/>
              </w:rPr>
              <w:t>；</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加强教育，警示告诫；责令限期办理备案手续并复查。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11</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出版</w:t>
            </w:r>
          </w:p>
        </w:tc>
        <w:tc>
          <w:tcPr>
            <w:tcW w:w="1991"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已经取得出版物经营许可证的单位或个人开展网络出版物发行业务，未在规定时间内向出版行政主管部门备案</w:t>
            </w:r>
          </w:p>
        </w:tc>
        <w:tc>
          <w:tcPr>
            <w:tcW w:w="2387" w:type="dxa"/>
            <w:noWrap w:val="0"/>
            <w:vAlign w:val="center"/>
          </w:tcPr>
          <w:p>
            <w:pPr>
              <w:numPr>
                <w:ilvl w:val="0"/>
                <w:numId w:val="6"/>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6"/>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numPr>
                <w:ilvl w:val="0"/>
                <w:numId w:val="6"/>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lang w:eastAsia="zh-CN"/>
              </w:rPr>
              <w:t>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《出版物市场管理规定》第十五条第二款</w:t>
            </w:r>
            <w:r>
              <w:rPr>
                <w:rFonts w:hint="eastAsia" w:ascii="仿宋_GB2312" w:hAnsi="仿宋_GB2312" w:eastAsia="仿宋_GB2312" w:cs="仿宋_GB2312"/>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已经取得出版物经营许可证的单位、个人在批准的经营范围内通过互联网等信息网络从事出版物发行业务的，应自开展网络发行业务后15日内到原批准的出版行政主管部门备案。</w:t>
            </w:r>
          </w:p>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《出版物市场管理规定》第三十七条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违反本规定，有下列行为之一的，由出版行政主管部门责令停止违法行为，予以警告，并处3万元以下罚款：</w:t>
            </w:r>
          </w:p>
          <w:p>
            <w:pPr>
              <w:ind w:firstLine="280"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（十一）应按本规定进行备案而未备案的；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加强教育，警示告诫；责令限期办理备案手续并复查。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12</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出版</w:t>
            </w:r>
          </w:p>
        </w:tc>
        <w:tc>
          <w:tcPr>
            <w:tcW w:w="1991"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从事出版物发行业务的单位或个人未在经营场所明显处张挂出版物经营许可证或者未在网页醒目位置公开出版物经营许可证和营业执照登载的有关信息或者链接标识</w:t>
            </w:r>
          </w:p>
        </w:tc>
        <w:tc>
          <w:tcPr>
            <w:tcW w:w="2387" w:type="dxa"/>
            <w:noWrap w:val="0"/>
            <w:vAlign w:val="center"/>
          </w:tcPr>
          <w:p>
            <w:pPr>
              <w:numPr>
                <w:ilvl w:val="0"/>
                <w:numId w:val="7"/>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7"/>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numPr>
                <w:ilvl w:val="0"/>
                <w:numId w:val="7"/>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立即自行改正或责令改正期限内改正。</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《出版物市场管理规定》第二十二条</w:t>
            </w:r>
            <w:r>
              <w:rPr>
                <w:rFonts w:hint="eastAsia" w:ascii="仿宋_GB2312" w:hAnsi="仿宋_GB2312" w:eastAsia="仿宋_GB2312" w:cs="仿宋_GB2312"/>
                <w:color w:val="auto"/>
                <w:sz w:val="28"/>
                <w:szCs w:val="28"/>
                <w:u w:val="none"/>
              </w:rPr>
              <w:t xml:space="preserve"> 从事出版物发行业务的单位和个人在发行活动中应当遵循公平、守法、诚实、守信的原则，依法订立供销合同，不得损害消费者的合法权益。</w:t>
            </w:r>
          </w:p>
          <w:p>
            <w:pPr>
              <w:spacing w:line="420" w:lineRule="exact"/>
              <w:ind w:firstLine="280"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从事出版物发行业务的单位、个人，必须遵守下列规定：</w:t>
            </w:r>
          </w:p>
          <w:p>
            <w:pPr>
              <w:spacing w:line="420" w:lineRule="exact"/>
              <w:ind w:firstLine="280" w:firstLineChars="100"/>
              <w:jc w:val="left"/>
              <w:rPr>
                <w:rFonts w:hint="eastAsia" w:ascii="仿宋_GB2312" w:hAnsi="仿宋_GB2312" w:eastAsia="仿宋_GB2312" w:cs="仿宋_GB2312"/>
                <w:b w:val="0"/>
                <w:bCs/>
                <w:color w:val="auto"/>
                <w:sz w:val="28"/>
                <w:szCs w:val="28"/>
                <w:u w:val="none"/>
              </w:rPr>
            </w:pPr>
            <w:r>
              <w:rPr>
                <w:rFonts w:hint="eastAsia" w:ascii="仿宋_GB2312" w:hAnsi="仿宋_GB2312" w:eastAsia="仿宋_GB2312" w:cs="仿宋_GB2312"/>
                <w:b w:val="0"/>
                <w:bCs/>
                <w:color w:val="auto"/>
                <w:sz w:val="28"/>
                <w:szCs w:val="28"/>
                <w:u w:val="none"/>
              </w:rPr>
              <w:t>（五）出版物经营许可证应在经营场所明显处张挂；利用信息网络从事出版物发行业务的，应在其网站主页面或者从事经营活动的网页醒目位置公开出版物经营许可证和营业执照登载的有关信息或链接标识；</w:t>
            </w:r>
          </w:p>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《出版物市场管理规定》第三十七条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违反本规定，有下列行为之一的，由出版行政主管部门责令停止违法行为，予以警告，并处3万元以下罚款：</w:t>
            </w:r>
          </w:p>
          <w:p>
            <w:pPr>
              <w:spacing w:line="420" w:lineRule="exact"/>
              <w:ind w:firstLine="280"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（五）出版物经营许可证未在经营场所明显处张挂或者未在网页醒目位置公开出版物经营许可证和营业执照登载的有关信息或者链接标识的；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32"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13</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出版</w:t>
            </w:r>
          </w:p>
        </w:tc>
        <w:tc>
          <w:tcPr>
            <w:tcW w:w="1991" w:type="dxa"/>
            <w:noWrap w:val="0"/>
            <w:vAlign w:val="center"/>
          </w:tcPr>
          <w:p>
            <w:p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网络交易平台为出版物发行业务提供服务未向省级人民政府出版行政主管部门备案</w:t>
            </w:r>
          </w:p>
        </w:tc>
        <w:tc>
          <w:tcPr>
            <w:tcW w:w="2387" w:type="dxa"/>
            <w:noWrap w:val="0"/>
            <w:vAlign w:val="center"/>
          </w:tcPr>
          <w:p>
            <w:pPr>
              <w:numPr>
                <w:ilvl w:val="0"/>
                <w:numId w:val="8"/>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8"/>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numPr>
                <w:ilvl w:val="0"/>
                <w:numId w:val="8"/>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 xml:space="preserve">责令改正期限内改正。 </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《出版物市场管理规定》第二十六条第一款</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为出版物发行业务提供服务的网络交易平台应向注册地省、自治区、直辖市人民政府出版行政主管部门备案，接受出版行政主管部门的指导与监督管理。</w:t>
            </w:r>
          </w:p>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《出版物市场管理规定》第三十七条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违反本规定，有下列行为之一的，由出版行政主管部门责令停止违法行为，予以警告，并处3万元以下罚款：</w:t>
            </w:r>
          </w:p>
          <w:p>
            <w:pPr>
              <w:spacing w:line="420" w:lineRule="exact"/>
              <w:ind w:firstLine="280"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（十一）应按本规定进行备案而未备案的；</w:t>
            </w:r>
          </w:p>
        </w:tc>
        <w:tc>
          <w:tcPr>
            <w:tcW w:w="2072" w:type="dxa"/>
            <w:noWrap w:val="0"/>
            <w:vAlign w:val="center"/>
          </w:tcPr>
          <w:p>
            <w:pPr>
              <w:spacing w:line="420" w:lineRule="exact"/>
              <w:jc w:val="left"/>
              <w:rPr>
                <w:rFonts w:hint="eastAsia" w:ascii="仿宋_GB2312" w:hAnsi="仿宋_GB2312" w:eastAsia="仿宋_GB2312" w:cs="仿宋_GB2312"/>
                <w:b w:val="0"/>
                <w:bCs w:val="0"/>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加强教育，警示告诫；责令限期办理备案手续并复查。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7"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14</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出版</w:t>
            </w:r>
          </w:p>
        </w:tc>
        <w:tc>
          <w:tcPr>
            <w:tcW w:w="1991" w:type="dxa"/>
            <w:noWrap w:val="0"/>
            <w:vAlign w:val="center"/>
          </w:tcPr>
          <w:p>
            <w:pPr>
              <w:spacing w:line="420" w:lineRule="exac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出版单位未按规定向国家图书馆、中国版本图书馆和国务院出版行政主管部门免费送交出版物样本</w:t>
            </w:r>
          </w:p>
        </w:tc>
        <w:tc>
          <w:tcPr>
            <w:tcW w:w="2387" w:type="dxa"/>
            <w:noWrap w:val="0"/>
            <w:vAlign w:val="center"/>
          </w:tcPr>
          <w:p>
            <w:pPr>
              <w:numPr>
                <w:ilvl w:val="0"/>
                <w:numId w:val="9"/>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numPr>
                <w:ilvl w:val="0"/>
                <w:numId w:val="9"/>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numPr>
                <w:ilvl w:val="0"/>
                <w:numId w:val="9"/>
              </w:numPr>
              <w:spacing w:line="420" w:lineRule="exact"/>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按要求</w:t>
            </w:r>
            <w:r>
              <w:rPr>
                <w:rFonts w:hint="eastAsia" w:ascii="仿宋_GB2312" w:hAnsi="仿宋_GB2312" w:eastAsia="仿宋_GB2312" w:cs="仿宋_GB2312"/>
                <w:color w:val="auto"/>
                <w:sz w:val="28"/>
                <w:szCs w:val="28"/>
                <w:u w:val="none"/>
                <w:lang w:eastAsia="zh-CN"/>
              </w:rPr>
              <w:t>及时</w:t>
            </w:r>
            <w:r>
              <w:rPr>
                <w:rFonts w:hint="eastAsia" w:ascii="仿宋_GB2312" w:hAnsi="仿宋_GB2312" w:eastAsia="仿宋_GB2312" w:cs="仿宋_GB2312"/>
                <w:color w:val="auto"/>
                <w:sz w:val="28"/>
                <w:szCs w:val="28"/>
                <w:u w:val="none"/>
              </w:rPr>
              <w:t>补送交出版物样本</w:t>
            </w:r>
            <w:r>
              <w:rPr>
                <w:rFonts w:hint="eastAsia" w:ascii="仿宋_GB2312" w:hAnsi="仿宋_GB2312" w:eastAsia="仿宋_GB2312" w:cs="仿宋_GB2312"/>
                <w:color w:val="auto"/>
                <w:sz w:val="28"/>
                <w:szCs w:val="28"/>
                <w:u w:val="none"/>
                <w:lang w:eastAsia="zh-CN"/>
              </w:rPr>
              <w:t>。</w:t>
            </w:r>
          </w:p>
        </w:tc>
        <w:tc>
          <w:tcPr>
            <w:tcW w:w="5550" w:type="dxa"/>
            <w:noWrap w:val="0"/>
            <w:vAlign w:val="center"/>
          </w:tcPr>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《出版管理条例》第二十二条</w:t>
            </w:r>
            <w:r>
              <w:rPr>
                <w:rFonts w:hint="eastAsia" w:ascii="仿宋_GB2312" w:hAnsi="仿宋_GB2312" w:eastAsia="仿宋_GB2312" w:cs="仿宋_GB2312"/>
                <w:color w:val="auto"/>
                <w:sz w:val="28"/>
                <w:szCs w:val="28"/>
                <w:u w:val="none"/>
              </w:rPr>
              <w:t xml:space="preserve"> 出版单位应当按照国家有关规定向国家图书馆、中国版本图书馆和国务院出版行政主管部门免费送交样本。</w:t>
            </w:r>
          </w:p>
          <w:p>
            <w:pPr>
              <w:spacing w:line="420" w:lineRule="exact"/>
              <w:ind w:firstLine="281"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《出版管理条例》第六十七条</w:t>
            </w:r>
            <w:r>
              <w:rPr>
                <w:rFonts w:hint="eastAsia" w:ascii="仿宋_GB2312" w:hAnsi="仿宋_GB2312" w:eastAsia="仿宋_GB2312" w:cs="仿宋_GB2312"/>
                <w:color w:val="auto"/>
                <w:sz w:val="28"/>
                <w:szCs w:val="28"/>
                <w:u w:val="none"/>
              </w:rPr>
              <w:t xml:space="preserve"> 有下列行为之一的，由出版行政主管部门责令改正，给予警告；情节严重的，责令限期停业整顿或者由原发证机关吊销许可证：</w:t>
            </w:r>
          </w:p>
          <w:p>
            <w:pPr>
              <w:spacing w:line="420" w:lineRule="exact"/>
              <w:ind w:firstLine="280" w:firstLineChars="100"/>
              <w:jc w:val="left"/>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（三）出版单位未依照本条例的规定送交出版物的样本的</w:t>
            </w:r>
            <w:r>
              <w:rPr>
                <w:rFonts w:hint="eastAsia" w:ascii="仿宋_GB2312" w:hAnsi="仿宋_GB2312" w:eastAsia="仿宋_GB2312" w:cs="仿宋_GB2312"/>
                <w:b w:val="0"/>
                <w:bCs/>
                <w:color w:val="auto"/>
                <w:sz w:val="28"/>
                <w:szCs w:val="28"/>
                <w:u w:val="none"/>
                <w:lang w:eastAsia="zh-CN"/>
              </w:rPr>
              <w:t>。</w:t>
            </w:r>
          </w:p>
        </w:tc>
        <w:tc>
          <w:tcPr>
            <w:tcW w:w="2072"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《行政处罚法》第三十三条第一款</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违法行为轻微并及时改正，没有造成危害后果的，不予行政处罚。</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15</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印刷</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从事其他印刷品印刷经营活动的企业和个人擅自保留其他印刷品的样本、样张的，或者在所保留的样本、样张上未加盖“样本”、“样张”戳记</w:t>
            </w:r>
          </w:p>
        </w:tc>
        <w:tc>
          <w:tcPr>
            <w:tcW w:w="2387" w:type="dxa"/>
            <w:noWrap w:val="0"/>
            <w:vAlign w:val="center"/>
          </w:tcPr>
          <w:p>
            <w:pPr>
              <w:keepNext w:val="0"/>
              <w:keepLines w:val="0"/>
              <w:pageBreakBefore w:val="0"/>
              <w:widowControl w:val="0"/>
              <w:numPr>
                <w:ilvl w:val="0"/>
                <w:numId w:val="10"/>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keepNext w:val="0"/>
              <w:keepLines w:val="0"/>
              <w:pageBreakBefore w:val="0"/>
              <w:widowControl w:val="0"/>
              <w:numPr>
                <w:ilvl w:val="0"/>
                <w:numId w:val="10"/>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keepNext w:val="0"/>
              <w:keepLines w:val="0"/>
              <w:pageBreakBefore w:val="0"/>
              <w:widowControl w:val="0"/>
              <w:numPr>
                <w:ilvl w:val="0"/>
                <w:numId w:val="10"/>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立即自行改正或责令改正期限内改正</w:t>
            </w:r>
            <w:r>
              <w:rPr>
                <w:rFonts w:hint="eastAsia" w:ascii="仿宋_GB2312" w:hAnsi="仿宋_GB2312" w:eastAsia="仿宋_GB2312" w:cs="仿宋_GB2312"/>
                <w:color w:val="auto"/>
                <w:sz w:val="28"/>
                <w:szCs w:val="28"/>
                <w:u w:val="none"/>
                <w:lang w:eastAsia="zh-CN"/>
              </w:rPr>
              <w:t>。</w:t>
            </w:r>
          </w:p>
        </w:tc>
        <w:tc>
          <w:tcPr>
            <w:tcW w:w="555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《印刷业管理条例》第三十一条第三款</w:t>
            </w:r>
            <w:r>
              <w:rPr>
                <w:rFonts w:hint="eastAsia" w:ascii="仿宋_GB2312" w:hAnsi="仿宋_GB2312" w:eastAsia="仿宋_GB2312" w:cs="仿宋_GB2312"/>
                <w:color w:val="auto"/>
                <w:sz w:val="28"/>
                <w:szCs w:val="28"/>
                <w:u w:val="none"/>
              </w:rPr>
              <w:t xml:space="preserve"> 印刷企业对前两款印件不得保留样本、样张；确因业务参考需要保留样本、样张的，应当征得委托印刷单位同意，在所保留印件上加盖“样本”、“样张”戳记，并妥善保管，不得丢失。</w:t>
            </w:r>
          </w:p>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《印刷业管理条例》第四十四条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印刷业经营者违反本条例规定，有下列行为之一的，由县级以上地方人民政府出版行政部门责令改正，给予警告；情节严重的，责令停业整顿或者由原发证机关吊销许可证：</w:t>
            </w:r>
          </w:p>
          <w:p>
            <w:pPr>
              <w:keepNext w:val="0"/>
              <w:keepLines w:val="0"/>
              <w:pageBreakBefore w:val="0"/>
              <w:widowControl w:val="0"/>
              <w:kinsoku/>
              <w:wordWrap/>
              <w:overflowPunct/>
              <w:topLinePunct w:val="0"/>
              <w:autoSpaceDE/>
              <w:autoSpaceDN/>
              <w:bidi w:val="0"/>
              <w:adjustRightInd/>
              <w:snapToGrid/>
              <w:spacing w:line="420" w:lineRule="exact"/>
              <w:ind w:firstLine="280"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（二）从事其他印刷品印刷经营活动的企业和个人擅自保留其他印刷品的样本、样张的，或者在所保留的样本、样张上未加盖“样本”、“样张”戳记的。</w:t>
            </w:r>
          </w:p>
        </w:tc>
        <w:tc>
          <w:tcPr>
            <w:tcW w:w="2072" w:type="dxa"/>
            <w:noWrap w:val="0"/>
            <w:vAlign w:val="center"/>
          </w:tcPr>
          <w:p>
            <w:pPr>
              <w:spacing w:line="420" w:lineRule="exact"/>
              <w:jc w:val="left"/>
              <w:rPr>
                <w:rFonts w:hint="eastAsia" w:ascii="仿宋_GB2312" w:hAnsi="仿宋_GB2312" w:eastAsia="仿宋_GB2312" w:cs="仿宋_GB2312"/>
                <w:b w:val="0"/>
                <w:bCs w:val="0"/>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仿宋_GB2312" w:hAnsi="仿宋_GB2312" w:eastAsia="仿宋_GB2312" w:cs="仿宋_GB2312"/>
                <w:color w:val="auto"/>
                <w:sz w:val="28"/>
                <w:szCs w:val="28"/>
                <w:u w:val="none"/>
              </w:rPr>
            </w:pP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64"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16</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网络出版</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网络出版服务单位未在其网站首页上标明《网络出版服务许可证》相关信息</w:t>
            </w:r>
          </w:p>
        </w:tc>
        <w:tc>
          <w:tcPr>
            <w:tcW w:w="2387" w:type="dxa"/>
            <w:noWrap w:val="0"/>
            <w:vAlign w:val="center"/>
          </w:tcPr>
          <w:p>
            <w:pPr>
              <w:keepNext w:val="0"/>
              <w:keepLines w:val="0"/>
              <w:pageBreakBefore w:val="0"/>
              <w:widowControl w:val="0"/>
              <w:numPr>
                <w:ilvl w:val="0"/>
                <w:numId w:val="11"/>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keepNext w:val="0"/>
              <w:keepLines w:val="0"/>
              <w:pageBreakBefore w:val="0"/>
              <w:widowControl w:val="0"/>
              <w:numPr>
                <w:ilvl w:val="0"/>
                <w:numId w:val="11"/>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keepNext w:val="0"/>
              <w:keepLines w:val="0"/>
              <w:pageBreakBefore w:val="0"/>
              <w:widowControl w:val="0"/>
              <w:numPr>
                <w:ilvl w:val="0"/>
                <w:numId w:val="11"/>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立即自行改正或责令改正期限内改正。</w:t>
            </w:r>
          </w:p>
        </w:tc>
        <w:tc>
          <w:tcPr>
            <w:tcW w:w="555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《网络出版服务管理规定》第十九条第一款</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color w:val="auto"/>
                <w:sz w:val="28"/>
                <w:szCs w:val="28"/>
                <w:u w:val="none"/>
              </w:rPr>
              <w:t>网络出版服务单位应当在其网站首页上标明出版行政主管部门核发的《网络出版服务许可证》编号。</w:t>
            </w:r>
          </w:p>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《网络出版服务管理规定》第五十八条</w:t>
            </w:r>
            <w:r>
              <w:rPr>
                <w:rFonts w:hint="eastAsia" w:ascii="仿宋_GB2312" w:hAnsi="仿宋_GB2312" w:eastAsia="仿宋_GB2312" w:cs="仿宋_GB2312"/>
                <w:color w:val="auto"/>
                <w:sz w:val="28"/>
                <w:szCs w:val="28"/>
                <w:u w:val="none"/>
              </w:rPr>
              <w:t>　有下列行为之一的，由出版行政主管部门责令改正，予以警告，并处3万元以下罚款：</w:t>
            </w:r>
          </w:p>
          <w:p>
            <w:pPr>
              <w:keepNext w:val="0"/>
              <w:keepLines w:val="0"/>
              <w:pageBreakBefore w:val="0"/>
              <w:widowControl w:val="0"/>
              <w:kinsoku/>
              <w:wordWrap/>
              <w:overflowPunct/>
              <w:topLinePunct w:val="0"/>
              <w:autoSpaceDE/>
              <w:autoSpaceDN/>
              <w:bidi w:val="0"/>
              <w:adjustRightInd/>
              <w:snapToGrid/>
              <w:spacing w:line="420" w:lineRule="exact"/>
              <w:ind w:firstLine="280"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(二)违反本规定第十九条，未标明有关许可信息或者未核验有关网站的《网络出版服务许可证》的;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4"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17</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网络出版</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网络服务提供者为网络出版服务单位提供相关服务时，未查验服务对象的《网络出版服务许可证》及业务范围</w:t>
            </w:r>
          </w:p>
        </w:tc>
        <w:tc>
          <w:tcPr>
            <w:tcW w:w="2387" w:type="dxa"/>
            <w:noWrap w:val="0"/>
            <w:vAlign w:val="center"/>
          </w:tcPr>
          <w:p>
            <w:pPr>
              <w:keepNext w:val="0"/>
              <w:keepLines w:val="0"/>
              <w:pageBreakBefore w:val="0"/>
              <w:widowControl w:val="0"/>
              <w:numPr>
                <w:ilvl w:val="0"/>
                <w:numId w:val="12"/>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keepNext w:val="0"/>
              <w:keepLines w:val="0"/>
              <w:pageBreakBefore w:val="0"/>
              <w:widowControl w:val="0"/>
              <w:numPr>
                <w:ilvl w:val="0"/>
                <w:numId w:val="12"/>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keepNext w:val="0"/>
              <w:keepLines w:val="0"/>
              <w:pageBreakBefore w:val="0"/>
              <w:widowControl w:val="0"/>
              <w:numPr>
                <w:ilvl w:val="0"/>
                <w:numId w:val="12"/>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责令改正期限内改正</w:t>
            </w:r>
            <w:r>
              <w:rPr>
                <w:rFonts w:hint="eastAsia" w:ascii="仿宋_GB2312" w:hAnsi="仿宋_GB2312" w:eastAsia="仿宋_GB2312" w:cs="仿宋_GB2312"/>
                <w:color w:val="auto"/>
                <w:sz w:val="28"/>
                <w:szCs w:val="28"/>
                <w:u w:val="none"/>
                <w:lang w:eastAsia="zh-CN"/>
              </w:rPr>
              <w:t>。</w:t>
            </w:r>
          </w:p>
        </w:tc>
        <w:tc>
          <w:tcPr>
            <w:tcW w:w="555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《网络出版服务管理规定》第十九条第二款</w:t>
            </w:r>
            <w:r>
              <w:rPr>
                <w:rFonts w:hint="eastAsia" w:ascii="仿宋_GB2312" w:hAnsi="仿宋_GB2312" w:eastAsia="仿宋_GB2312" w:cs="仿宋_GB2312"/>
                <w:color w:val="auto"/>
                <w:sz w:val="28"/>
                <w:szCs w:val="28"/>
                <w:u w:val="none"/>
              </w:rPr>
              <w:t xml:space="preserve"> 互联网相关服务提供者在为网络出版服务单位提供人工干预搜索排名、广告、推广等服务时，应当查验服务对象的《网络出版服务许可证》及业务范围。</w:t>
            </w:r>
          </w:p>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《网络出版服务管理规定》第五十八条</w:t>
            </w:r>
            <w:r>
              <w:rPr>
                <w:rFonts w:hint="eastAsia" w:ascii="仿宋_GB2312" w:hAnsi="仿宋_GB2312" w:eastAsia="仿宋_GB2312" w:cs="仿宋_GB2312"/>
                <w:color w:val="auto"/>
                <w:sz w:val="28"/>
                <w:szCs w:val="28"/>
                <w:u w:val="none"/>
              </w:rPr>
              <w:t>　有下列行为之一的，由出版行政主管部门责令改正，予以警告，并处3万元以下罚款：</w:t>
            </w:r>
          </w:p>
          <w:p>
            <w:pPr>
              <w:keepNext w:val="0"/>
              <w:keepLines w:val="0"/>
              <w:pageBreakBefore w:val="0"/>
              <w:widowControl w:val="0"/>
              <w:kinsoku/>
              <w:wordWrap/>
              <w:overflowPunct/>
              <w:topLinePunct w:val="0"/>
              <w:autoSpaceDE/>
              <w:autoSpaceDN/>
              <w:bidi w:val="0"/>
              <w:adjustRightInd/>
              <w:snapToGrid/>
              <w:spacing w:line="420" w:lineRule="exact"/>
              <w:ind w:firstLine="280"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(二)违反本规定第十九条，未标明有关许可信息或者未核验有关网站的《网络出版服务许可证》的;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18</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旅行社</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旅行社及其分社未在经营场所的显要位置悬挂旅行社业务经营许可证、备案登记证明</w:t>
            </w:r>
          </w:p>
        </w:tc>
        <w:tc>
          <w:tcPr>
            <w:tcW w:w="2387" w:type="dxa"/>
            <w:noWrap w:val="0"/>
            <w:vAlign w:val="center"/>
          </w:tcPr>
          <w:p>
            <w:pPr>
              <w:keepNext w:val="0"/>
              <w:keepLines w:val="0"/>
              <w:pageBreakBefore w:val="0"/>
              <w:widowControl w:val="0"/>
              <w:numPr>
                <w:ilvl w:val="0"/>
                <w:numId w:val="13"/>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keepNext w:val="0"/>
              <w:keepLines w:val="0"/>
              <w:pageBreakBefore w:val="0"/>
              <w:widowControl w:val="0"/>
              <w:numPr>
                <w:ilvl w:val="0"/>
                <w:numId w:val="13"/>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keepNext w:val="0"/>
              <w:keepLines w:val="0"/>
              <w:pageBreakBefore w:val="0"/>
              <w:widowControl w:val="0"/>
              <w:numPr>
                <w:ilvl w:val="0"/>
                <w:numId w:val="13"/>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立即自行改正或责令改正期限内改正。</w:t>
            </w:r>
          </w:p>
        </w:tc>
        <w:tc>
          <w:tcPr>
            <w:tcW w:w="555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《旅行社条例实施细则》第二十六条</w:t>
            </w:r>
            <w:r>
              <w:rPr>
                <w:rFonts w:hint="eastAsia" w:ascii="仿宋_GB2312" w:hAnsi="仿宋_GB2312" w:eastAsia="仿宋_GB2312" w:cs="仿宋_GB2312"/>
                <w:color w:val="auto"/>
                <w:sz w:val="28"/>
                <w:szCs w:val="28"/>
                <w:u w:val="none"/>
              </w:rPr>
              <w:t xml:space="preserve">  旅行社及其分社、服务网点，应当将《旅行社业务经营许可证》、《旅行社分社备案登记证明》或者《旅行社服务网点备案登记证明》，与营业执照一起，悬挂在经营场所的显要位置。</w:t>
            </w:r>
          </w:p>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《旅行社条例实施细则》第五十七条</w:t>
            </w:r>
            <w:r>
              <w:rPr>
                <w:rFonts w:hint="eastAsia" w:ascii="仿宋_GB2312" w:hAnsi="仿宋_GB2312" w:eastAsia="仿宋_GB2312" w:cs="仿宋_GB2312"/>
                <w:color w:val="auto"/>
                <w:sz w:val="28"/>
                <w:szCs w:val="28"/>
                <w:u w:val="none"/>
              </w:rPr>
              <w:t xml:space="preserve"> 违反本实施细则第十二条第三款、第二十三条、第二十六条的规定，擅自引进外商投资、设立服务网点未在规定期限内备案，或者旅行社及其分社、服务网点未悬挂旅行社业务经营许可证、备案登记证明的，由县级以上旅游行政管理部门责令改正，可以处1万元以下的罚款。 </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加强教育，警示告诫；责令改正，及时复查整改情况。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9"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19</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旅行社</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旅行社未将安全信息卡交由旅游者或者未告知旅游者相关信息</w:t>
            </w:r>
          </w:p>
        </w:tc>
        <w:tc>
          <w:tcPr>
            <w:tcW w:w="2387"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1.本次违法行为发现之日前2年内没有实施此项违法行为的记录；</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2.危害后果轻微；</w:t>
            </w:r>
          </w:p>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3.立即自行改正或责令改正。</w:t>
            </w:r>
          </w:p>
        </w:tc>
        <w:tc>
          <w:tcPr>
            <w:tcW w:w="555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color w:val="auto"/>
                <w:sz w:val="28"/>
                <w:szCs w:val="28"/>
                <w:u w:val="none"/>
              </w:rPr>
              <w:t>《旅游安全管理办法》第十二条第三款</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旅行社应当将安全信息卡交由旅游者随身携带，并告知其自行填写血型、过敏药物和重大疾病等信息。</w:t>
            </w:r>
          </w:p>
          <w:p>
            <w:pPr>
              <w:keepNext w:val="0"/>
              <w:keepLines w:val="0"/>
              <w:pageBreakBefore w:val="0"/>
              <w:widowControl w:val="0"/>
              <w:kinsoku/>
              <w:wordWrap/>
              <w:overflowPunct/>
              <w:topLinePunct w:val="0"/>
              <w:autoSpaceDE/>
              <w:autoSpaceDN/>
              <w:bidi w:val="0"/>
              <w:adjustRightInd/>
              <w:snapToGrid/>
              <w:spacing w:line="420" w:lineRule="exact"/>
              <w:ind w:firstLine="281" w:firstLineChars="100"/>
              <w:jc w:val="left"/>
              <w:textAlignment w:val="auto"/>
              <w:rPr>
                <w:rFonts w:hint="eastAsia" w:ascii="仿宋_GB2312" w:hAnsi="仿宋_GB2312" w:eastAsia="仿宋_GB2312" w:cs="仿宋_GB2312"/>
                <w:b/>
                <w:color w:val="auto"/>
                <w:sz w:val="28"/>
                <w:szCs w:val="28"/>
                <w:u w:val="none"/>
              </w:rPr>
            </w:pPr>
            <w:r>
              <w:rPr>
                <w:rFonts w:hint="eastAsia" w:ascii="仿宋_GB2312" w:hAnsi="仿宋_GB2312" w:eastAsia="仿宋_GB2312" w:cs="仿宋_GB2312"/>
                <w:b/>
                <w:color w:val="auto"/>
                <w:sz w:val="28"/>
                <w:szCs w:val="28"/>
                <w:u w:val="none"/>
              </w:rPr>
              <w:t>《旅游安全管理办法》第三十五条</w:t>
            </w:r>
            <w:r>
              <w:rPr>
                <w:rFonts w:hint="eastAsia" w:ascii="仿宋_GB2312" w:hAnsi="仿宋_GB2312" w:eastAsia="仿宋_GB2312" w:cs="仿宋_GB2312"/>
                <w:b/>
                <w:color w:val="auto"/>
                <w:sz w:val="28"/>
                <w:szCs w:val="28"/>
                <w:u w:val="none"/>
                <w:lang w:val="en-US" w:eastAsia="zh-CN"/>
              </w:rPr>
              <w:t xml:space="preserve"> </w:t>
            </w:r>
            <w:r>
              <w:rPr>
                <w:rFonts w:hint="eastAsia" w:ascii="仿宋_GB2312" w:hAnsi="仿宋_GB2312" w:eastAsia="仿宋_GB2312" w:cs="仿宋_GB2312"/>
                <w:b w:val="0"/>
                <w:bCs/>
                <w:color w:val="auto"/>
                <w:sz w:val="28"/>
                <w:szCs w:val="28"/>
                <w:u w:val="none"/>
              </w:rPr>
              <w:t>旅行社违反本办法第十二条的规定，不按要求制作安全信息卡，未将安全信息卡交由旅游者，或者未告知旅游者相关信息的，由旅游主管部门给予警告，可并处2000元以下罚款；情节严重的，处2000元以上10000元以下罚款。</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加强教育，警示告诫，指导约谈；责令改正并复查整改情况；加强日常检查。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5" w:hRule="atLeast"/>
          <w:jc w:val="center"/>
        </w:trPr>
        <w:tc>
          <w:tcPr>
            <w:tcW w:w="832" w:type="dxa"/>
            <w:noWrap w:val="0"/>
            <w:vAlign w:val="center"/>
          </w:tcPr>
          <w:p>
            <w:pPr>
              <w:jc w:val="center"/>
              <w:rPr>
                <w:rFonts w:hint="eastAsia" w:ascii="仿宋_GB2312" w:hAnsi="仿宋_GB2312" w:eastAsia="仿宋_GB2312" w:cs="仿宋_GB2312"/>
                <w:color w:val="auto"/>
                <w:sz w:val="28"/>
                <w:szCs w:val="28"/>
                <w:u w:val="none"/>
                <w:lang w:val="en-US" w:eastAsia="zh-CN"/>
              </w:rPr>
            </w:pPr>
            <w:r>
              <w:rPr>
                <w:rFonts w:hint="eastAsia" w:ascii="仿宋_GB2312" w:hAnsi="仿宋_GB2312" w:eastAsia="仿宋_GB2312" w:cs="仿宋_GB2312"/>
                <w:color w:val="auto"/>
                <w:sz w:val="28"/>
                <w:szCs w:val="28"/>
                <w:u w:val="none"/>
                <w:lang w:val="en-US" w:eastAsia="zh-CN"/>
              </w:rPr>
              <w:t>20</w:t>
            </w:r>
          </w:p>
        </w:tc>
        <w:tc>
          <w:tcPr>
            <w:tcW w:w="951" w:type="dxa"/>
            <w:noWrap w:val="0"/>
            <w:vAlign w:val="center"/>
          </w:tcPr>
          <w:p>
            <w:pPr>
              <w:jc w:val="center"/>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lang w:eastAsia="zh-CN"/>
              </w:rPr>
              <w:t>音像制品</w:t>
            </w:r>
          </w:p>
        </w:tc>
        <w:tc>
          <w:tcPr>
            <w:tcW w:w="1991"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音像制品批发、零售单位或个体工商户变更地址、法定代表人或者主要负责人或者终止经营活动的，未按规定向原批准的出版行政主管部门办理备案手续</w:t>
            </w:r>
          </w:p>
        </w:tc>
        <w:tc>
          <w:tcPr>
            <w:tcW w:w="2387" w:type="dxa"/>
            <w:noWrap w:val="0"/>
            <w:vAlign w:val="center"/>
          </w:tcPr>
          <w:p>
            <w:pPr>
              <w:keepNext w:val="0"/>
              <w:keepLines w:val="0"/>
              <w:pageBreakBefore w:val="0"/>
              <w:widowControl w:val="0"/>
              <w:numPr>
                <w:ilvl w:val="0"/>
                <w:numId w:val="14"/>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本次违法行为发现之日前2年内没有实施此项违法行为的记录；</w:t>
            </w:r>
          </w:p>
          <w:p>
            <w:pPr>
              <w:keepNext w:val="0"/>
              <w:keepLines w:val="0"/>
              <w:pageBreakBefore w:val="0"/>
              <w:widowControl w:val="0"/>
              <w:numPr>
                <w:ilvl w:val="0"/>
                <w:numId w:val="14"/>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危害后果轻微</w:t>
            </w:r>
            <w:r>
              <w:rPr>
                <w:rFonts w:hint="eastAsia" w:ascii="仿宋_GB2312" w:hAnsi="仿宋_GB2312" w:eastAsia="仿宋_GB2312" w:cs="仿宋_GB2312"/>
                <w:color w:val="auto"/>
                <w:sz w:val="28"/>
                <w:szCs w:val="28"/>
                <w:u w:val="none"/>
                <w:lang w:eastAsia="zh-CN"/>
              </w:rPr>
              <w:t>；</w:t>
            </w:r>
          </w:p>
          <w:p>
            <w:pPr>
              <w:keepNext w:val="0"/>
              <w:keepLines w:val="0"/>
              <w:pageBreakBefore w:val="0"/>
              <w:widowControl w:val="0"/>
              <w:numPr>
                <w:ilvl w:val="0"/>
                <w:numId w:val="14"/>
              </w:numPr>
              <w:kinsoku/>
              <w:wordWrap/>
              <w:overflowPunct/>
              <w:topLinePunct w:val="0"/>
              <w:autoSpaceDE/>
              <w:autoSpaceDN/>
              <w:bidi w:val="0"/>
              <w:adjustRightInd/>
              <w:snapToGrid/>
              <w:spacing w:line="420" w:lineRule="exact"/>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color w:val="auto"/>
                <w:sz w:val="28"/>
                <w:szCs w:val="28"/>
                <w:u w:val="none"/>
              </w:rPr>
              <w:t>责令</w:t>
            </w:r>
            <w:r>
              <w:rPr>
                <w:rFonts w:hint="eastAsia" w:ascii="仿宋_GB2312" w:hAnsi="仿宋_GB2312" w:eastAsia="仿宋_GB2312" w:cs="仿宋_GB2312"/>
                <w:color w:val="auto"/>
                <w:sz w:val="28"/>
                <w:szCs w:val="28"/>
                <w:u w:val="none"/>
                <w:lang w:eastAsia="zh-CN"/>
              </w:rPr>
              <w:t>改正限期内</w:t>
            </w:r>
            <w:r>
              <w:rPr>
                <w:rFonts w:hint="eastAsia" w:ascii="仿宋_GB2312" w:hAnsi="仿宋_GB2312" w:eastAsia="仿宋_GB2312" w:cs="仿宋_GB2312"/>
                <w:color w:val="auto"/>
                <w:sz w:val="28"/>
                <w:szCs w:val="28"/>
                <w:u w:val="none"/>
              </w:rPr>
              <w:t>改正。</w:t>
            </w:r>
          </w:p>
        </w:tc>
        <w:tc>
          <w:tcPr>
            <w:tcW w:w="5550"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371" w:firstLineChars="132"/>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《音像制品管理条例》第三十三条第二款</w:t>
            </w:r>
            <w:r>
              <w:rPr>
                <w:rFonts w:hint="eastAsia" w:ascii="仿宋_GB2312" w:hAnsi="仿宋_GB2312" w:eastAsia="仿宋_GB2312" w:cs="仿宋_GB2312"/>
                <w:color w:val="auto"/>
                <w:sz w:val="28"/>
                <w:szCs w:val="28"/>
                <w:u w:val="none"/>
              </w:rPr>
              <w:t xml:space="preserve"> 音像制品批发、零售单位变更地址、法定代表人或者主要负责人或者终止经营活动，从事音像制品零售经营活动的个体工商户变更业务范围、地址或者终止经营活动的，应当向原批准的出版行政主管部门备案。</w:t>
            </w:r>
          </w:p>
          <w:p>
            <w:pPr>
              <w:keepNext w:val="0"/>
              <w:keepLines w:val="0"/>
              <w:pageBreakBefore w:val="0"/>
              <w:widowControl w:val="0"/>
              <w:kinsoku/>
              <w:wordWrap/>
              <w:overflowPunct/>
              <w:topLinePunct w:val="0"/>
              <w:autoSpaceDE/>
              <w:autoSpaceDN/>
              <w:bidi w:val="0"/>
              <w:adjustRightInd/>
              <w:snapToGrid/>
              <w:spacing w:line="420" w:lineRule="exact"/>
              <w:ind w:firstLine="371" w:firstLineChars="132"/>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color w:val="auto"/>
                <w:sz w:val="28"/>
                <w:szCs w:val="28"/>
                <w:u w:val="none"/>
              </w:rPr>
              <w:t>《音像制品管理条例》第四十四条</w:t>
            </w:r>
            <w:r>
              <w:rPr>
                <w:rFonts w:hint="eastAsia" w:ascii="仿宋_GB2312" w:hAnsi="仿宋_GB2312" w:eastAsia="仿宋_GB2312" w:cs="仿宋_GB2312"/>
                <w:color w:val="auto"/>
                <w:sz w:val="28"/>
                <w:szCs w:val="28"/>
                <w:u w:val="none"/>
              </w:rPr>
              <w:t>　有下列行为之一的，由出版行政主管部门责令改正，给予警告；情节严重的，并责令停业整顿或者由原发证机关吊销许可证：</w:t>
            </w:r>
          </w:p>
          <w:p>
            <w:pPr>
              <w:keepNext w:val="0"/>
              <w:keepLines w:val="0"/>
              <w:pageBreakBefore w:val="0"/>
              <w:widowControl w:val="0"/>
              <w:kinsoku/>
              <w:wordWrap/>
              <w:overflowPunct/>
              <w:topLinePunct w:val="0"/>
              <w:autoSpaceDE/>
              <w:autoSpaceDN/>
              <w:bidi w:val="0"/>
              <w:adjustRightInd/>
              <w:snapToGrid/>
              <w:spacing w:line="420" w:lineRule="exact"/>
              <w:ind w:firstLine="534" w:firstLineChars="191"/>
              <w:jc w:val="left"/>
              <w:textAlignment w:val="auto"/>
              <w:rPr>
                <w:rFonts w:hint="eastAsia" w:ascii="仿宋_GB2312" w:hAnsi="仿宋_GB2312" w:eastAsia="仿宋_GB2312" w:cs="仿宋_GB2312"/>
                <w:color w:val="auto"/>
                <w:sz w:val="28"/>
                <w:szCs w:val="28"/>
                <w:u w:val="none"/>
              </w:rPr>
            </w:pPr>
            <w:r>
              <w:rPr>
                <w:rFonts w:hint="eastAsia" w:ascii="仿宋_GB2312" w:hAnsi="仿宋_GB2312" w:eastAsia="仿宋_GB2312" w:cs="仿宋_GB2312"/>
                <w:b w:val="0"/>
                <w:bCs/>
                <w:color w:val="auto"/>
                <w:sz w:val="28"/>
                <w:szCs w:val="28"/>
                <w:u w:val="none"/>
              </w:rPr>
              <w:t>（二）音像制品出版、制作、复制、批发、零售单位变更名称、地址、法定代表人或者主要负责人、业务范围等，未依照本条例规定办理审批、备案手续的；</w:t>
            </w:r>
          </w:p>
        </w:tc>
        <w:tc>
          <w:tcPr>
            <w:tcW w:w="2072" w:type="dxa"/>
            <w:noWrap w:val="0"/>
            <w:vAlign w:val="center"/>
          </w:tcPr>
          <w:p>
            <w:pPr>
              <w:spacing w:line="420" w:lineRule="exact"/>
              <w:jc w:val="left"/>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b/>
                <w:bCs w:val="0"/>
                <w:color w:val="auto"/>
                <w:sz w:val="28"/>
                <w:szCs w:val="28"/>
                <w:u w:val="none"/>
              </w:rPr>
              <w:t>《行政处罚法》</w:t>
            </w:r>
            <w:r>
              <w:rPr>
                <w:rFonts w:hint="eastAsia" w:ascii="仿宋_GB2312" w:hAnsi="仿宋_GB2312" w:eastAsia="仿宋_GB2312" w:cs="仿宋_GB2312"/>
                <w:b/>
                <w:bCs/>
                <w:color w:val="auto"/>
                <w:sz w:val="28"/>
                <w:szCs w:val="28"/>
                <w:u w:val="none"/>
              </w:rPr>
              <w:t>第三十三条第一款</w:t>
            </w:r>
            <w:r>
              <w:rPr>
                <w:rFonts w:hint="eastAsia" w:ascii="仿宋_GB2312" w:hAnsi="仿宋_GB2312" w:eastAsia="仿宋_GB2312" w:cs="仿宋_GB2312"/>
                <w:b/>
                <w:bCs/>
                <w:color w:val="auto"/>
                <w:sz w:val="28"/>
                <w:szCs w:val="28"/>
                <w:u w:val="none"/>
                <w:lang w:val="en-US" w:eastAsia="zh-CN"/>
              </w:rPr>
              <w:t xml:space="preserve">  </w:t>
            </w:r>
            <w:r>
              <w:rPr>
                <w:rFonts w:hint="eastAsia" w:ascii="仿宋_GB2312" w:hAnsi="仿宋_GB2312" w:eastAsia="仿宋_GB2312" w:cs="仿宋_GB2312"/>
                <w:b w:val="0"/>
                <w:bCs w:val="0"/>
                <w:color w:val="auto"/>
                <w:sz w:val="28"/>
                <w:szCs w:val="28"/>
                <w:u w:val="none"/>
              </w:rPr>
              <w:t>初次违法且危害后果轻微并及时改正的，可以不予行政处罚</w:t>
            </w:r>
            <w:r>
              <w:rPr>
                <w:rFonts w:hint="eastAsia" w:ascii="仿宋_GB2312" w:hAnsi="仿宋_GB2312" w:eastAsia="仿宋_GB2312" w:cs="仿宋_GB2312"/>
                <w:b w:val="0"/>
                <w:bCs w:val="0"/>
                <w:color w:val="auto"/>
                <w:sz w:val="28"/>
                <w:szCs w:val="28"/>
                <w:u w:val="none"/>
                <w:lang w:eastAsia="zh-CN"/>
              </w:rPr>
              <w:t>。</w:t>
            </w:r>
          </w:p>
        </w:tc>
        <w:tc>
          <w:tcPr>
            <w:tcW w:w="1545" w:type="dxa"/>
            <w:noWrap w:val="0"/>
            <w:vAlign w:val="center"/>
          </w:tcPr>
          <w:p>
            <w:pPr>
              <w:keepNext w:val="0"/>
              <w:keepLines w:val="0"/>
              <w:pageBreakBefore w:val="0"/>
              <w:widowControl w:val="0"/>
              <w:kinsoku/>
              <w:wordWrap/>
              <w:overflowPunct/>
              <w:topLinePunct w:val="0"/>
              <w:autoSpaceDE/>
              <w:autoSpaceDN/>
              <w:bidi w:val="0"/>
              <w:adjustRightInd/>
              <w:snapToGrid/>
              <w:spacing w:line="420" w:lineRule="exact"/>
              <w:ind w:firstLine="0" w:firstLineChars="0"/>
              <w:jc w:val="left"/>
              <w:textAlignment w:val="auto"/>
              <w:rPr>
                <w:rFonts w:hint="eastAsia" w:ascii="仿宋_GB2312" w:hAnsi="仿宋_GB2312" w:eastAsia="仿宋_GB2312" w:cs="仿宋_GB2312"/>
                <w:color w:val="auto"/>
                <w:sz w:val="28"/>
                <w:szCs w:val="28"/>
                <w:u w:val="none"/>
                <w:lang w:eastAsia="zh-CN"/>
              </w:rPr>
            </w:pPr>
            <w:r>
              <w:rPr>
                <w:rFonts w:hint="eastAsia" w:ascii="仿宋_GB2312" w:hAnsi="仿宋_GB2312" w:eastAsia="仿宋_GB2312" w:cs="仿宋_GB2312"/>
                <w:color w:val="auto"/>
                <w:sz w:val="28"/>
                <w:szCs w:val="28"/>
                <w:u w:val="none"/>
              </w:rPr>
              <w:t>加强教育，警示告诫；责令限期办理备案手续并复查。</w:t>
            </w:r>
          </w:p>
        </w:tc>
      </w:tr>
    </w:tbl>
    <w:p>
      <w:pPr>
        <w:tabs>
          <w:tab w:val="left" w:pos="3699"/>
        </w:tabs>
        <w:jc w:val="both"/>
        <w:rPr>
          <w:rFonts w:hint="default" w:ascii="Times New Roman" w:hAnsi="Times New Roman" w:eastAsia="仿宋_GB2312" w:cs="仿宋_GB2312"/>
          <w:b w:val="0"/>
          <w:bCs w:val="0"/>
          <w:snapToGrid w:val="0"/>
          <w:color w:val="auto"/>
          <w:spacing w:val="0"/>
          <w:w w:val="100"/>
          <w:kern w:val="0"/>
          <w:sz w:val="32"/>
          <w:szCs w:val="32"/>
          <w:lang w:val="en-US" w:eastAsia="zh-CN" w:bidi="ar-SA"/>
        </w:rPr>
      </w:pPr>
    </w:p>
    <w:sectPr>
      <w:headerReference r:id="rId3" w:type="default"/>
      <w:footerReference r:id="rId4" w:type="default"/>
      <w:pgSz w:w="16838" w:h="11906" w:orient="landscape"/>
      <w:pgMar w:top="1134" w:right="567" w:bottom="567" w:left="567" w:header="851" w:footer="1587" w:gutter="0"/>
      <w:pgNumType w:fmt="numberInDash"/>
      <w:cols w:space="720" w:num="1"/>
      <w:rtlGutter w:val="0"/>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_GBK">
    <w:panose1 w:val="02000000000000000000"/>
    <w:charset w:val="86"/>
    <w:family w:val="auto"/>
    <w:pitch w:val="default"/>
    <w:sig w:usb0="00000001" w:usb1="08000000" w:usb2="00000000" w:usb3="00000000" w:csb0="00040000" w:csb1="00000000"/>
  </w:font>
  <w:font w:name="楷体_GB2312">
    <w:altName w:val="楷体"/>
    <w:panose1 w:val="02010609030101010101"/>
    <w:charset w:val="86"/>
    <w:family w:val="auto"/>
    <w:pitch w:val="default"/>
    <w:sig w:usb0="00000000" w:usb1="00000000" w:usb2="00000000" w:usb3="00000000" w:csb0="00040000" w:csb1="00000000"/>
  </w:font>
  <w:font w:name="楷体">
    <w:panose1 w:val="02010609060101010101"/>
    <w:charset w:val="86"/>
    <w:family w:val="auto"/>
    <w:pitch w:val="default"/>
    <w:sig w:usb0="800002BF" w:usb1="38CF7CFA" w:usb2="00000016" w:usb3="00000000" w:csb0="00040001" w:csb1="00000000"/>
  </w:font>
  <w:font w:name="仿宋_GB2312">
    <w:altName w:val="仿宋"/>
    <w:panose1 w:val="02010609030101010101"/>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pPr>
                            <w:pStyle w:val="2"/>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wps:txbx>
                    <wps:bodyPr vert="horz" wrap="none" lIns="0" tIns="0" rIns="0" bIns="0" anchor="t" anchorCtr="0" upright="0">
                      <a:spAutoFit/>
                    </wps:bodyPr>
                  </wps:wsp>
                </a:graphicData>
              </a:graphic>
            </wp:anchor>
          </w:drawing>
        </mc:Choice>
        <mc:Fallback>
          <w:pict>
            <v:shape id="_x0000_s1026" o:spid="_x0000_s1026" o:spt="202" type="#_x0000_t202" style="position:absolute;left:0pt;margin-top:0pt;height:144pt;width:144pt;mso-position-horizontal:outside;mso-position-horizontal-relative:margin;mso-wrap-style:none;z-index:251659264;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">
              <v:fill on="f" focussize="0,0"/>
              <v:stroke on="f"/>
              <v:imagedata o:title=""/>
              <o:lock v:ext="edit" aspectratio="f"/>
              <v:textbox inset="0mm,0mm,0mm,0mm" style="mso-fit-shape-to-text:t;">
                <w:txbxContent>
                  <w:p>
                    <w:pPr>
                      <w:pStyle w:val="2"/>
                      <w:keepNext w:val="0"/>
                      <w:keepLines w:val="0"/>
                      <w:pageBreakBefore w:val="0"/>
                      <w:widowControl w:val="0"/>
                      <w:kinsoku/>
                      <w:wordWrap/>
                      <w:overflowPunct/>
                      <w:topLinePunct w:val="0"/>
                      <w:autoSpaceDE/>
                      <w:autoSpaceDN/>
                      <w:bidi w:val="0"/>
                      <w:adjustRightInd/>
                      <w:snapToGrid w:val="0"/>
                      <w:ind w:left="210" w:leftChars="100" w:right="210" w:rightChars="100"/>
                      <w:textAlignment w:val="auto"/>
                      <w:rPr>
                        <w:rFonts w:hint="eastAsia" w:ascii="宋体" w:hAnsi="宋体" w:eastAsia="宋体" w:cs="宋体"/>
                        <w:sz w:val="28"/>
                        <w:szCs w:val="28"/>
                        <w:lang w:eastAsia="zh-CN"/>
                      </w:rPr>
                    </w:pPr>
                    <w:r>
                      <w:rPr>
                        <w:rFonts w:hint="eastAsia" w:ascii="宋体" w:hAnsi="宋体" w:eastAsia="宋体" w:cs="宋体"/>
                        <w:sz w:val="28"/>
                        <w:szCs w:val="28"/>
                        <w:lang w:eastAsia="zh-CN"/>
                      </w:rPr>
                      <w:fldChar w:fldCharType="begin"/>
                    </w:r>
                    <w:r>
                      <w:rPr>
                        <w:rFonts w:hint="eastAsia" w:ascii="宋体" w:hAnsi="宋体" w:eastAsia="宋体" w:cs="宋体"/>
                        <w:sz w:val="28"/>
                        <w:szCs w:val="28"/>
                        <w:lang w:eastAsia="zh-CN"/>
                      </w:rPr>
                      <w:instrText xml:space="preserve"> PAGE  \* MERGEFORMAT </w:instrText>
                    </w:r>
                    <w:r>
                      <w:rPr>
                        <w:rFonts w:hint="eastAsia" w:ascii="宋体" w:hAnsi="宋体" w:eastAsia="宋体" w:cs="宋体"/>
                        <w:sz w:val="28"/>
                        <w:szCs w:val="28"/>
                        <w:lang w:eastAsia="zh-CN"/>
                      </w:rPr>
                      <w:fldChar w:fldCharType="separate"/>
                    </w:r>
                    <w:r>
                      <w:rPr>
                        <w:rFonts w:hint="eastAsia" w:ascii="宋体" w:hAnsi="宋体" w:eastAsia="宋体" w:cs="宋体"/>
                        <w:sz w:val="28"/>
                        <w:szCs w:val="28"/>
                        <w:lang w:eastAsia="zh-CN"/>
                      </w:rPr>
                      <w:t>1</w:t>
                    </w:r>
                    <w:r>
                      <w:rPr>
                        <w:rFonts w:hint="eastAsia" w:ascii="宋体" w:hAnsi="宋体" w:eastAsia="宋体" w:cs="宋体"/>
                        <w:sz w:val="28"/>
                        <w:szCs w:val="28"/>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3"/>
      <w:pBdr>
        <w:top w:val="none" w:color="auto" w:sz="0" w:space="0"/>
        <w:left w:val="none" w:color="auto" w:sz="0" w:space="0"/>
        <w:bottom w:val="none" w:color="auto" w:sz="0" w:space="1"/>
        <w:right w:val="none" w:color="auto" w:sz="0" w:space="0"/>
        <w:between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9F3C8C3"/>
    <w:multiLevelType w:val="singleLevel"/>
    <w:tmpl w:val="99F3C8C3"/>
    <w:lvl w:ilvl="0" w:tentative="0">
      <w:start w:val="1"/>
      <w:numFmt w:val="decimal"/>
      <w:lvlText w:val="%1."/>
      <w:lvlJc w:val="left"/>
      <w:pPr>
        <w:tabs>
          <w:tab w:val="left" w:pos="312"/>
        </w:tabs>
      </w:pPr>
    </w:lvl>
  </w:abstractNum>
  <w:abstractNum w:abstractNumId="1">
    <w:nsid w:val="9FAA1A5F"/>
    <w:multiLevelType w:val="singleLevel"/>
    <w:tmpl w:val="9FAA1A5F"/>
    <w:lvl w:ilvl="0" w:tentative="0">
      <w:start w:val="1"/>
      <w:numFmt w:val="decimal"/>
      <w:lvlText w:val="%1."/>
      <w:lvlJc w:val="left"/>
      <w:pPr>
        <w:tabs>
          <w:tab w:val="left" w:pos="312"/>
        </w:tabs>
      </w:pPr>
    </w:lvl>
  </w:abstractNum>
  <w:abstractNum w:abstractNumId="2">
    <w:nsid w:val="BEDC6F58"/>
    <w:multiLevelType w:val="singleLevel"/>
    <w:tmpl w:val="BEDC6F58"/>
    <w:lvl w:ilvl="0" w:tentative="0">
      <w:start w:val="1"/>
      <w:numFmt w:val="decimal"/>
      <w:lvlText w:val="%1."/>
      <w:lvlJc w:val="left"/>
      <w:pPr>
        <w:tabs>
          <w:tab w:val="left" w:pos="312"/>
        </w:tabs>
      </w:pPr>
    </w:lvl>
  </w:abstractNum>
  <w:abstractNum w:abstractNumId="3">
    <w:nsid w:val="DD745EE1"/>
    <w:multiLevelType w:val="singleLevel"/>
    <w:tmpl w:val="DD745EE1"/>
    <w:lvl w:ilvl="0" w:tentative="0">
      <w:start w:val="1"/>
      <w:numFmt w:val="decimal"/>
      <w:lvlText w:val="%1."/>
      <w:lvlJc w:val="left"/>
      <w:pPr>
        <w:tabs>
          <w:tab w:val="left" w:pos="312"/>
        </w:tabs>
      </w:pPr>
    </w:lvl>
  </w:abstractNum>
  <w:abstractNum w:abstractNumId="4">
    <w:nsid w:val="E7BE19FE"/>
    <w:multiLevelType w:val="singleLevel"/>
    <w:tmpl w:val="E7BE19FE"/>
    <w:lvl w:ilvl="0" w:tentative="0">
      <w:start w:val="1"/>
      <w:numFmt w:val="decimal"/>
      <w:lvlText w:val="%1."/>
      <w:lvlJc w:val="left"/>
      <w:pPr>
        <w:tabs>
          <w:tab w:val="left" w:pos="312"/>
        </w:tabs>
      </w:pPr>
    </w:lvl>
  </w:abstractNum>
  <w:abstractNum w:abstractNumId="5">
    <w:nsid w:val="F3F9FB09"/>
    <w:multiLevelType w:val="singleLevel"/>
    <w:tmpl w:val="F3F9FB09"/>
    <w:lvl w:ilvl="0" w:tentative="0">
      <w:start w:val="1"/>
      <w:numFmt w:val="decimal"/>
      <w:lvlText w:val="%1."/>
      <w:lvlJc w:val="left"/>
      <w:pPr>
        <w:tabs>
          <w:tab w:val="left" w:pos="312"/>
        </w:tabs>
      </w:pPr>
    </w:lvl>
  </w:abstractNum>
  <w:abstractNum w:abstractNumId="6">
    <w:nsid w:val="FDDFB246"/>
    <w:multiLevelType w:val="singleLevel"/>
    <w:tmpl w:val="FDDFB246"/>
    <w:lvl w:ilvl="0" w:tentative="0">
      <w:start w:val="1"/>
      <w:numFmt w:val="decimal"/>
      <w:lvlText w:val="%1."/>
      <w:lvlJc w:val="left"/>
      <w:pPr>
        <w:tabs>
          <w:tab w:val="left" w:pos="312"/>
        </w:tabs>
      </w:pPr>
    </w:lvl>
  </w:abstractNum>
  <w:abstractNum w:abstractNumId="7">
    <w:nsid w:val="FF6ED8B0"/>
    <w:multiLevelType w:val="singleLevel"/>
    <w:tmpl w:val="FF6ED8B0"/>
    <w:lvl w:ilvl="0" w:tentative="0">
      <w:start w:val="1"/>
      <w:numFmt w:val="decimal"/>
      <w:lvlText w:val="%1."/>
      <w:lvlJc w:val="left"/>
      <w:pPr>
        <w:tabs>
          <w:tab w:val="left" w:pos="312"/>
        </w:tabs>
      </w:pPr>
    </w:lvl>
  </w:abstractNum>
  <w:abstractNum w:abstractNumId="8">
    <w:nsid w:val="FFB4A0FC"/>
    <w:multiLevelType w:val="singleLevel"/>
    <w:tmpl w:val="FFB4A0FC"/>
    <w:lvl w:ilvl="0" w:tentative="0">
      <w:start w:val="1"/>
      <w:numFmt w:val="decimal"/>
      <w:lvlText w:val="%1."/>
      <w:lvlJc w:val="left"/>
      <w:pPr>
        <w:tabs>
          <w:tab w:val="left" w:pos="312"/>
        </w:tabs>
      </w:pPr>
    </w:lvl>
  </w:abstractNum>
  <w:abstractNum w:abstractNumId="9">
    <w:nsid w:val="FFDC5AE9"/>
    <w:multiLevelType w:val="singleLevel"/>
    <w:tmpl w:val="FFDC5AE9"/>
    <w:lvl w:ilvl="0" w:tentative="0">
      <w:start w:val="1"/>
      <w:numFmt w:val="decimal"/>
      <w:lvlText w:val="%1."/>
      <w:lvlJc w:val="left"/>
      <w:pPr>
        <w:tabs>
          <w:tab w:val="left" w:pos="312"/>
        </w:tabs>
      </w:pPr>
    </w:lvl>
  </w:abstractNum>
  <w:abstractNum w:abstractNumId="10">
    <w:nsid w:val="17FD1EF2"/>
    <w:multiLevelType w:val="singleLevel"/>
    <w:tmpl w:val="17FD1EF2"/>
    <w:lvl w:ilvl="0" w:tentative="0">
      <w:start w:val="1"/>
      <w:numFmt w:val="decimal"/>
      <w:lvlText w:val="%1."/>
      <w:lvlJc w:val="left"/>
      <w:pPr>
        <w:tabs>
          <w:tab w:val="left" w:pos="312"/>
        </w:tabs>
      </w:pPr>
    </w:lvl>
  </w:abstractNum>
  <w:abstractNum w:abstractNumId="11">
    <w:nsid w:val="1FFFD794"/>
    <w:multiLevelType w:val="singleLevel"/>
    <w:tmpl w:val="1FFFD794"/>
    <w:lvl w:ilvl="0" w:tentative="0">
      <w:start w:val="1"/>
      <w:numFmt w:val="decimal"/>
      <w:lvlText w:val="%1."/>
      <w:lvlJc w:val="left"/>
      <w:pPr>
        <w:tabs>
          <w:tab w:val="left" w:pos="312"/>
        </w:tabs>
      </w:pPr>
    </w:lvl>
  </w:abstractNum>
  <w:abstractNum w:abstractNumId="12">
    <w:nsid w:val="74F78AEF"/>
    <w:multiLevelType w:val="singleLevel"/>
    <w:tmpl w:val="74F78AEF"/>
    <w:lvl w:ilvl="0" w:tentative="0">
      <w:start w:val="1"/>
      <w:numFmt w:val="decimal"/>
      <w:lvlText w:val="%1."/>
      <w:lvlJc w:val="left"/>
      <w:pPr>
        <w:tabs>
          <w:tab w:val="left" w:pos="312"/>
        </w:tabs>
      </w:pPr>
    </w:lvl>
  </w:abstractNum>
  <w:abstractNum w:abstractNumId="13">
    <w:nsid w:val="7EF6A4DC"/>
    <w:multiLevelType w:val="singleLevel"/>
    <w:tmpl w:val="7EF6A4DC"/>
    <w:lvl w:ilvl="0" w:tentative="0">
      <w:start w:val="1"/>
      <w:numFmt w:val="decimal"/>
      <w:lvlText w:val="%1."/>
      <w:lvlJc w:val="left"/>
      <w:pPr>
        <w:tabs>
          <w:tab w:val="left" w:pos="312"/>
        </w:tabs>
      </w:pPr>
    </w:lvl>
  </w:abstractNum>
  <w:num w:numId="1">
    <w:abstractNumId w:val="8"/>
  </w:num>
  <w:num w:numId="2">
    <w:abstractNumId w:val="4"/>
  </w:num>
  <w:num w:numId="3">
    <w:abstractNumId w:val="5"/>
  </w:num>
  <w:num w:numId="4">
    <w:abstractNumId w:val="1"/>
  </w:num>
  <w:num w:numId="5">
    <w:abstractNumId w:val="0"/>
  </w:num>
  <w:num w:numId="6">
    <w:abstractNumId w:val="6"/>
  </w:num>
  <w:num w:numId="7">
    <w:abstractNumId w:val="9"/>
  </w:num>
  <w:num w:numId="8">
    <w:abstractNumId w:val="11"/>
  </w:num>
  <w:num w:numId="9">
    <w:abstractNumId w:val="7"/>
  </w:num>
  <w:num w:numId="10">
    <w:abstractNumId w:val="2"/>
  </w:num>
  <w:num w:numId="11">
    <w:abstractNumId w:val="3"/>
  </w:num>
  <w:num w:numId="12">
    <w:abstractNumId w:val="13"/>
  </w:num>
  <w:num w:numId="13">
    <w:abstractNumId w:val="10"/>
  </w:num>
  <w:num w:numId="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bordersDoNotSurroundHeader w:val="1"/>
  <w:bordersDoNotSurroundFooter w:val="1"/>
  <w:documentProtection w:enforcement="0"/>
  <w:defaultTabStop w:val="420"/>
  <w:hyphenationZone w:val="360"/>
  <w:drawingGridVerticalSpacing w:val="159"/>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04F85"/>
    <w:rsid w:val="00015697"/>
    <w:rsid w:val="00034D45"/>
    <w:rsid w:val="000438A3"/>
    <w:rsid w:val="000544CE"/>
    <w:rsid w:val="00060B37"/>
    <w:rsid w:val="0007689A"/>
    <w:rsid w:val="00076D42"/>
    <w:rsid w:val="00080883"/>
    <w:rsid w:val="00082191"/>
    <w:rsid w:val="0008615E"/>
    <w:rsid w:val="000873A8"/>
    <w:rsid w:val="0009624C"/>
    <w:rsid w:val="000A3F2D"/>
    <w:rsid w:val="000A4FB8"/>
    <w:rsid w:val="000A5B00"/>
    <w:rsid w:val="000B11FD"/>
    <w:rsid w:val="000D40EA"/>
    <w:rsid w:val="000F7BAE"/>
    <w:rsid w:val="0010654E"/>
    <w:rsid w:val="00107326"/>
    <w:rsid w:val="00107C40"/>
    <w:rsid w:val="0013154A"/>
    <w:rsid w:val="00145DB7"/>
    <w:rsid w:val="0015214C"/>
    <w:rsid w:val="00161EDD"/>
    <w:rsid w:val="001628C0"/>
    <w:rsid w:val="00177A53"/>
    <w:rsid w:val="001800D9"/>
    <w:rsid w:val="001861A8"/>
    <w:rsid w:val="0019110D"/>
    <w:rsid w:val="00191926"/>
    <w:rsid w:val="001A65BA"/>
    <w:rsid w:val="001A75E6"/>
    <w:rsid w:val="001A7BBD"/>
    <w:rsid w:val="001C0E48"/>
    <w:rsid w:val="001C117C"/>
    <w:rsid w:val="001D19F1"/>
    <w:rsid w:val="001E353F"/>
    <w:rsid w:val="001F0940"/>
    <w:rsid w:val="001F2CEE"/>
    <w:rsid w:val="001F3D34"/>
    <w:rsid w:val="00213812"/>
    <w:rsid w:val="00223E85"/>
    <w:rsid w:val="00225E1A"/>
    <w:rsid w:val="00226BE8"/>
    <w:rsid w:val="00230A7C"/>
    <w:rsid w:val="002318AE"/>
    <w:rsid w:val="00233669"/>
    <w:rsid w:val="002450DC"/>
    <w:rsid w:val="0025294E"/>
    <w:rsid w:val="0026206D"/>
    <w:rsid w:val="00287137"/>
    <w:rsid w:val="00296CD0"/>
    <w:rsid w:val="002A633D"/>
    <w:rsid w:val="002B3F67"/>
    <w:rsid w:val="002D50CE"/>
    <w:rsid w:val="002D770C"/>
    <w:rsid w:val="002E17E7"/>
    <w:rsid w:val="002E4B03"/>
    <w:rsid w:val="002F26A5"/>
    <w:rsid w:val="002F2DF0"/>
    <w:rsid w:val="003057FB"/>
    <w:rsid w:val="0034742E"/>
    <w:rsid w:val="00355946"/>
    <w:rsid w:val="003737D0"/>
    <w:rsid w:val="00376818"/>
    <w:rsid w:val="003945CF"/>
    <w:rsid w:val="003B1F70"/>
    <w:rsid w:val="003C7A45"/>
    <w:rsid w:val="003D0B21"/>
    <w:rsid w:val="003D6D0D"/>
    <w:rsid w:val="00401F78"/>
    <w:rsid w:val="00404F85"/>
    <w:rsid w:val="00405AB6"/>
    <w:rsid w:val="00430F90"/>
    <w:rsid w:val="00432B82"/>
    <w:rsid w:val="00434CD8"/>
    <w:rsid w:val="00440901"/>
    <w:rsid w:val="004607CF"/>
    <w:rsid w:val="00495134"/>
    <w:rsid w:val="004A10F9"/>
    <w:rsid w:val="004B05EC"/>
    <w:rsid w:val="004B447C"/>
    <w:rsid w:val="004C09EA"/>
    <w:rsid w:val="004C2854"/>
    <w:rsid w:val="004C5669"/>
    <w:rsid w:val="004C76E1"/>
    <w:rsid w:val="004E6CD2"/>
    <w:rsid w:val="004F4BD9"/>
    <w:rsid w:val="00504ED9"/>
    <w:rsid w:val="00505A99"/>
    <w:rsid w:val="0051539B"/>
    <w:rsid w:val="00525307"/>
    <w:rsid w:val="00533979"/>
    <w:rsid w:val="00537145"/>
    <w:rsid w:val="00542B80"/>
    <w:rsid w:val="0055018C"/>
    <w:rsid w:val="005521D5"/>
    <w:rsid w:val="00555C70"/>
    <w:rsid w:val="00582E5B"/>
    <w:rsid w:val="00584A60"/>
    <w:rsid w:val="00592996"/>
    <w:rsid w:val="005A4832"/>
    <w:rsid w:val="005B108A"/>
    <w:rsid w:val="005B2275"/>
    <w:rsid w:val="005B399F"/>
    <w:rsid w:val="005D294A"/>
    <w:rsid w:val="005D2FB9"/>
    <w:rsid w:val="005D5965"/>
    <w:rsid w:val="005E6A94"/>
    <w:rsid w:val="005F1CE7"/>
    <w:rsid w:val="005F626B"/>
    <w:rsid w:val="00613F2F"/>
    <w:rsid w:val="00626246"/>
    <w:rsid w:val="00630C3E"/>
    <w:rsid w:val="0064117F"/>
    <w:rsid w:val="00677C8E"/>
    <w:rsid w:val="006847A4"/>
    <w:rsid w:val="00684CF5"/>
    <w:rsid w:val="006A55FF"/>
    <w:rsid w:val="006A58B8"/>
    <w:rsid w:val="006C0F85"/>
    <w:rsid w:val="006C187F"/>
    <w:rsid w:val="006E6DE5"/>
    <w:rsid w:val="006F6754"/>
    <w:rsid w:val="00700082"/>
    <w:rsid w:val="007023CA"/>
    <w:rsid w:val="007276F8"/>
    <w:rsid w:val="00737C89"/>
    <w:rsid w:val="00743D7B"/>
    <w:rsid w:val="0075416D"/>
    <w:rsid w:val="00754EBE"/>
    <w:rsid w:val="0078503C"/>
    <w:rsid w:val="00793B0B"/>
    <w:rsid w:val="007A307B"/>
    <w:rsid w:val="007D0198"/>
    <w:rsid w:val="007D3CCF"/>
    <w:rsid w:val="007E30F2"/>
    <w:rsid w:val="007F0405"/>
    <w:rsid w:val="007F51D5"/>
    <w:rsid w:val="00800063"/>
    <w:rsid w:val="008001E7"/>
    <w:rsid w:val="00802E3A"/>
    <w:rsid w:val="00804C76"/>
    <w:rsid w:val="0082755E"/>
    <w:rsid w:val="00831947"/>
    <w:rsid w:val="00840CC0"/>
    <w:rsid w:val="0084717C"/>
    <w:rsid w:val="00857448"/>
    <w:rsid w:val="00867930"/>
    <w:rsid w:val="00876413"/>
    <w:rsid w:val="008C030F"/>
    <w:rsid w:val="008C3B17"/>
    <w:rsid w:val="008C5F65"/>
    <w:rsid w:val="008C64FA"/>
    <w:rsid w:val="008F5451"/>
    <w:rsid w:val="008F6184"/>
    <w:rsid w:val="00913456"/>
    <w:rsid w:val="00922A36"/>
    <w:rsid w:val="00930D0A"/>
    <w:rsid w:val="00937ED2"/>
    <w:rsid w:val="00964501"/>
    <w:rsid w:val="00995CD1"/>
    <w:rsid w:val="009A0D82"/>
    <w:rsid w:val="009C3B92"/>
    <w:rsid w:val="009D0412"/>
    <w:rsid w:val="009D17F0"/>
    <w:rsid w:val="009D675E"/>
    <w:rsid w:val="009E5174"/>
    <w:rsid w:val="009E78FC"/>
    <w:rsid w:val="00A054DC"/>
    <w:rsid w:val="00A05885"/>
    <w:rsid w:val="00A15525"/>
    <w:rsid w:val="00A34282"/>
    <w:rsid w:val="00A344C1"/>
    <w:rsid w:val="00A50260"/>
    <w:rsid w:val="00A55745"/>
    <w:rsid w:val="00A62094"/>
    <w:rsid w:val="00AA00B7"/>
    <w:rsid w:val="00AB7CD7"/>
    <w:rsid w:val="00AC5687"/>
    <w:rsid w:val="00AC77FE"/>
    <w:rsid w:val="00AD6B52"/>
    <w:rsid w:val="00AE47EA"/>
    <w:rsid w:val="00AE536A"/>
    <w:rsid w:val="00AF5779"/>
    <w:rsid w:val="00B17BA0"/>
    <w:rsid w:val="00B30064"/>
    <w:rsid w:val="00B454AA"/>
    <w:rsid w:val="00B9660F"/>
    <w:rsid w:val="00BA0BAE"/>
    <w:rsid w:val="00BB4DFB"/>
    <w:rsid w:val="00BD1CBE"/>
    <w:rsid w:val="00BD5848"/>
    <w:rsid w:val="00BF2F47"/>
    <w:rsid w:val="00BF3900"/>
    <w:rsid w:val="00C200B5"/>
    <w:rsid w:val="00C22DF1"/>
    <w:rsid w:val="00C2635D"/>
    <w:rsid w:val="00C319FE"/>
    <w:rsid w:val="00C47C46"/>
    <w:rsid w:val="00C524F2"/>
    <w:rsid w:val="00C56A3F"/>
    <w:rsid w:val="00C5728D"/>
    <w:rsid w:val="00C671AD"/>
    <w:rsid w:val="00C7741C"/>
    <w:rsid w:val="00C83042"/>
    <w:rsid w:val="00C93695"/>
    <w:rsid w:val="00CB4AF7"/>
    <w:rsid w:val="00CC0585"/>
    <w:rsid w:val="00CC66C2"/>
    <w:rsid w:val="00CC6746"/>
    <w:rsid w:val="00CE2BB1"/>
    <w:rsid w:val="00CE4A24"/>
    <w:rsid w:val="00CF6C99"/>
    <w:rsid w:val="00D03AD1"/>
    <w:rsid w:val="00D17B30"/>
    <w:rsid w:val="00D20943"/>
    <w:rsid w:val="00D34FDE"/>
    <w:rsid w:val="00D465EB"/>
    <w:rsid w:val="00D63113"/>
    <w:rsid w:val="00D718F0"/>
    <w:rsid w:val="00D936B5"/>
    <w:rsid w:val="00D940A7"/>
    <w:rsid w:val="00DB097D"/>
    <w:rsid w:val="00DB0BED"/>
    <w:rsid w:val="00DC3547"/>
    <w:rsid w:val="00DC6A3F"/>
    <w:rsid w:val="00DE16AC"/>
    <w:rsid w:val="00DF5B36"/>
    <w:rsid w:val="00E0003F"/>
    <w:rsid w:val="00E02BBA"/>
    <w:rsid w:val="00E032B5"/>
    <w:rsid w:val="00E049A1"/>
    <w:rsid w:val="00E06DD9"/>
    <w:rsid w:val="00E07BD0"/>
    <w:rsid w:val="00E37224"/>
    <w:rsid w:val="00E67C21"/>
    <w:rsid w:val="00E92BF5"/>
    <w:rsid w:val="00E9325F"/>
    <w:rsid w:val="00EA1CF1"/>
    <w:rsid w:val="00EB3146"/>
    <w:rsid w:val="00EB48F1"/>
    <w:rsid w:val="00EB4FFD"/>
    <w:rsid w:val="00EC20A7"/>
    <w:rsid w:val="00EC4209"/>
    <w:rsid w:val="00EC52B6"/>
    <w:rsid w:val="00EC6021"/>
    <w:rsid w:val="00ED7041"/>
    <w:rsid w:val="00EE2A1C"/>
    <w:rsid w:val="00EF3C1C"/>
    <w:rsid w:val="00EF3C9F"/>
    <w:rsid w:val="00F1127D"/>
    <w:rsid w:val="00F17166"/>
    <w:rsid w:val="00F25AC6"/>
    <w:rsid w:val="00F304A3"/>
    <w:rsid w:val="00F51686"/>
    <w:rsid w:val="00F6696F"/>
    <w:rsid w:val="00F865FC"/>
    <w:rsid w:val="00F9229F"/>
    <w:rsid w:val="00F92982"/>
    <w:rsid w:val="00F93798"/>
    <w:rsid w:val="00F947AD"/>
    <w:rsid w:val="00F96712"/>
    <w:rsid w:val="00FB1DB4"/>
    <w:rsid w:val="00FB5683"/>
    <w:rsid w:val="00FD19D5"/>
    <w:rsid w:val="00FD7D41"/>
    <w:rsid w:val="00FE4FF1"/>
    <w:rsid w:val="00FF64F4"/>
    <w:rsid w:val="014A2295"/>
    <w:rsid w:val="025A3397"/>
    <w:rsid w:val="09601DD7"/>
    <w:rsid w:val="0A7B2FA3"/>
    <w:rsid w:val="0B0E695A"/>
    <w:rsid w:val="0BEF0614"/>
    <w:rsid w:val="0F6B8553"/>
    <w:rsid w:val="114108D3"/>
    <w:rsid w:val="14CD4E4E"/>
    <w:rsid w:val="161A464B"/>
    <w:rsid w:val="16726588"/>
    <w:rsid w:val="17CB72A7"/>
    <w:rsid w:val="1B3F2D1D"/>
    <w:rsid w:val="1D03073D"/>
    <w:rsid w:val="1DFB3D0B"/>
    <w:rsid w:val="1F780484"/>
    <w:rsid w:val="1FFFB60A"/>
    <w:rsid w:val="224C7968"/>
    <w:rsid w:val="25324C3C"/>
    <w:rsid w:val="264628D2"/>
    <w:rsid w:val="26B92957"/>
    <w:rsid w:val="28E75B8A"/>
    <w:rsid w:val="29B600B5"/>
    <w:rsid w:val="2CFF104D"/>
    <w:rsid w:val="2DBF35C2"/>
    <w:rsid w:val="2E5E7347"/>
    <w:rsid w:val="30906362"/>
    <w:rsid w:val="32C1143A"/>
    <w:rsid w:val="34DA78C2"/>
    <w:rsid w:val="371851DB"/>
    <w:rsid w:val="39E7A0CF"/>
    <w:rsid w:val="3BBFBA2E"/>
    <w:rsid w:val="3D3ED5EF"/>
    <w:rsid w:val="3EEF645A"/>
    <w:rsid w:val="3F7EB84B"/>
    <w:rsid w:val="3FADE5A5"/>
    <w:rsid w:val="3FF742DD"/>
    <w:rsid w:val="40051A93"/>
    <w:rsid w:val="41953B3B"/>
    <w:rsid w:val="431C3266"/>
    <w:rsid w:val="44D230B0"/>
    <w:rsid w:val="4553070F"/>
    <w:rsid w:val="4B9DB657"/>
    <w:rsid w:val="4DF9CBC5"/>
    <w:rsid w:val="4EBA9E49"/>
    <w:rsid w:val="505C4B22"/>
    <w:rsid w:val="521C55EE"/>
    <w:rsid w:val="5268626A"/>
    <w:rsid w:val="53820F52"/>
    <w:rsid w:val="55FFA5E2"/>
    <w:rsid w:val="56F41A95"/>
    <w:rsid w:val="57F7E59A"/>
    <w:rsid w:val="59DFF4DF"/>
    <w:rsid w:val="5A4522D0"/>
    <w:rsid w:val="5AD91ADD"/>
    <w:rsid w:val="5DB713A4"/>
    <w:rsid w:val="5DD7CE5A"/>
    <w:rsid w:val="5EAC7D14"/>
    <w:rsid w:val="5F6E6057"/>
    <w:rsid w:val="5FFBD883"/>
    <w:rsid w:val="60B04AAC"/>
    <w:rsid w:val="63290213"/>
    <w:rsid w:val="637D0D77"/>
    <w:rsid w:val="63AFB675"/>
    <w:rsid w:val="64F43DFD"/>
    <w:rsid w:val="66DFC66D"/>
    <w:rsid w:val="6833700B"/>
    <w:rsid w:val="6AA74A72"/>
    <w:rsid w:val="6B95C12E"/>
    <w:rsid w:val="6C7F9869"/>
    <w:rsid w:val="6E3EAFD6"/>
    <w:rsid w:val="6FB77132"/>
    <w:rsid w:val="6FE7CA77"/>
    <w:rsid w:val="70684E84"/>
    <w:rsid w:val="7176513E"/>
    <w:rsid w:val="723469CA"/>
    <w:rsid w:val="734B40C9"/>
    <w:rsid w:val="73E00C1D"/>
    <w:rsid w:val="7472564B"/>
    <w:rsid w:val="74B84686"/>
    <w:rsid w:val="75EFCD05"/>
    <w:rsid w:val="76E54639"/>
    <w:rsid w:val="77653276"/>
    <w:rsid w:val="77721182"/>
    <w:rsid w:val="77BD2D78"/>
    <w:rsid w:val="780C1E81"/>
    <w:rsid w:val="7A26779B"/>
    <w:rsid w:val="7AF39C25"/>
    <w:rsid w:val="7BDB8408"/>
    <w:rsid w:val="7BDEEB2B"/>
    <w:rsid w:val="7D6A3125"/>
    <w:rsid w:val="7ED3E07A"/>
    <w:rsid w:val="7F0A5769"/>
    <w:rsid w:val="7F5D71B6"/>
    <w:rsid w:val="7F9D1B81"/>
    <w:rsid w:val="7FB565AF"/>
    <w:rsid w:val="7FCB121F"/>
    <w:rsid w:val="7FEF3F7A"/>
    <w:rsid w:val="7FF77D03"/>
    <w:rsid w:val="975B5262"/>
    <w:rsid w:val="9FFF348B"/>
    <w:rsid w:val="A4DD09A8"/>
    <w:rsid w:val="B67964DD"/>
    <w:rsid w:val="BB657430"/>
    <w:rsid w:val="BD7B0D76"/>
    <w:rsid w:val="BFCFAF74"/>
    <w:rsid w:val="BFDFF6BE"/>
    <w:rsid w:val="BFFB148F"/>
    <w:rsid w:val="CFB208A4"/>
    <w:rsid w:val="CFFFE332"/>
    <w:rsid w:val="D9ED32DA"/>
    <w:rsid w:val="D9FECF15"/>
    <w:rsid w:val="DB65BE6B"/>
    <w:rsid w:val="DDDDAC46"/>
    <w:rsid w:val="DF7F7BED"/>
    <w:rsid w:val="DFF745E4"/>
    <w:rsid w:val="DFF79D1F"/>
    <w:rsid w:val="E6F707F9"/>
    <w:rsid w:val="E7DF31F0"/>
    <w:rsid w:val="E7ED64EF"/>
    <w:rsid w:val="ECFC5B07"/>
    <w:rsid w:val="EF76611E"/>
    <w:rsid w:val="EF77806E"/>
    <w:rsid w:val="EFDCD108"/>
    <w:rsid w:val="F29529CA"/>
    <w:rsid w:val="F5BF7F11"/>
    <w:rsid w:val="F7369D60"/>
    <w:rsid w:val="F7BF88F9"/>
    <w:rsid w:val="F7FF260E"/>
    <w:rsid w:val="F7FF8EDD"/>
    <w:rsid w:val="F8FCEF80"/>
    <w:rsid w:val="FBEEDE45"/>
    <w:rsid w:val="FC5F9BDA"/>
    <w:rsid w:val="FD6E9B23"/>
    <w:rsid w:val="FD7B1A57"/>
    <w:rsid w:val="FDB57FDA"/>
    <w:rsid w:val="FDBE6408"/>
    <w:rsid w:val="FDEF0F97"/>
    <w:rsid w:val="FDFF5E2D"/>
    <w:rsid w:val="FE7F696B"/>
    <w:rsid w:val="FEBF729B"/>
    <w:rsid w:val="FECEE10F"/>
    <w:rsid w:val="FEDF998F"/>
    <w:rsid w:val="FFCE3393"/>
    <w:rsid w:val="FFEC4AA1"/>
    <w:rsid w:val="FFEED4B4"/>
    <w:rsid w:val="FFFA43AE"/>
    <w:rsid w:val="FFFF4A1C"/>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iPriority="99" w:semiHidden="0" w:name="header"/>
    <w:lsdException w:qFormat="1"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iPriority="99"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5">
    <w:name w:val="Default Paragraph Font"/>
    <w:semiHidden/>
    <w:qFormat/>
    <w:uiPriority w:val="0"/>
  </w:style>
  <w:style w:type="table" w:default="1" w:styleId="4">
    <w:name w:val="Normal Table"/>
    <w:semiHidden/>
    <w:qFormat/>
    <w:uiPriority w:val="0"/>
    <w:tblPr>
      <w:tblCellMar>
        <w:top w:w="0" w:type="dxa"/>
        <w:left w:w="108" w:type="dxa"/>
        <w:bottom w:w="0" w:type="dxa"/>
        <w:right w:w="108" w:type="dxa"/>
      </w:tblCellMar>
    </w:tblPr>
  </w:style>
  <w:style w:type="paragraph" w:styleId="2">
    <w:name w:val="footer"/>
    <w:basedOn w:val="1"/>
    <w:link w:val="7"/>
    <w:unhideWhenUsed/>
    <w:qFormat/>
    <w:uiPriority w:val="99"/>
    <w:pPr>
      <w:tabs>
        <w:tab w:val="center" w:pos="4153"/>
        <w:tab w:val="right" w:pos="8306"/>
      </w:tabs>
      <w:snapToGrid w:val="0"/>
      <w:jc w:val="left"/>
    </w:pPr>
    <w:rPr>
      <w:rFonts w:ascii="Times New Roman" w:hAnsi="Times New Roman"/>
      <w:sz w:val="18"/>
      <w:szCs w:val="18"/>
    </w:rPr>
  </w:style>
  <w:style w:type="paragraph" w:styleId="3">
    <w:name w:val="header"/>
    <w:basedOn w:val="1"/>
    <w:link w:val="8"/>
    <w:unhideWhenUsed/>
    <w:qFormat/>
    <w:uiPriority w:val="99"/>
    <w:pPr>
      <w:pBdr>
        <w:bottom w:val="single" w:color="auto" w:sz="6" w:space="1"/>
      </w:pBdr>
      <w:tabs>
        <w:tab w:val="center" w:pos="4153"/>
        <w:tab w:val="right" w:pos="8306"/>
      </w:tabs>
      <w:snapToGrid w:val="0"/>
      <w:jc w:val="center"/>
    </w:pPr>
    <w:rPr>
      <w:rFonts w:ascii="Times New Roman" w:hAnsi="Times New Roman"/>
      <w:sz w:val="18"/>
      <w:szCs w:val="18"/>
    </w:rPr>
  </w:style>
  <w:style w:type="character" w:styleId="6">
    <w:name w:val="Hyperlink"/>
    <w:unhideWhenUsed/>
    <w:qFormat/>
    <w:uiPriority w:val="99"/>
    <w:rPr>
      <w:rFonts w:ascii="Calibri" w:hAnsi="Calibri" w:eastAsia="宋体" w:cs="Times New Roman"/>
      <w:color w:val="000000"/>
      <w:u w:val="none"/>
    </w:rPr>
  </w:style>
  <w:style w:type="character" w:customStyle="1" w:styleId="7">
    <w:name w:val="页脚 Char"/>
    <w:link w:val="2"/>
    <w:qFormat/>
    <w:uiPriority w:val="99"/>
    <w:rPr>
      <w:rFonts w:ascii="Times New Roman" w:hAnsi="Times New Roman" w:eastAsia="宋体" w:cs="Times New Roman"/>
      <w:kern w:val="2"/>
      <w:sz w:val="18"/>
      <w:szCs w:val="18"/>
    </w:rPr>
  </w:style>
  <w:style w:type="character" w:customStyle="1" w:styleId="8">
    <w:name w:val="页眉 Char"/>
    <w:link w:val="3"/>
    <w:qFormat/>
    <w:uiPriority w:val="99"/>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14</Pages>
  <Words>0</Words>
  <Characters>0</Characters>
  <Lines>0</Lines>
  <Paragraphs>0</Paragraphs>
  <TotalTime>3</TotalTime>
  <ScaleCrop>false</ScaleCrop>
  <LinksUpToDate>false</LinksUpToDate>
  <CharactersWithSpaces>0</CharactersWithSpaces>
  <Application>WPS Office_11.8.2.10912_F1E327BC-269C-435d-A152-05C5408002CA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2014-11-01T20:08:00Z</dcterms:created>
  <dc:creator>Administrator</dc:creator>
  <cp:lastModifiedBy>Windows</cp:lastModifiedBy>
  <cp:lastPrinted>2026-05-26T11:49:00Z</cp:lastPrinted>
  <dcterms:modified xsi:type="dcterms:W3CDTF">2026-08-06T07:24:38Z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2052-11.8.2.10912</vt:lpwstr>
  </property>
  <property fmtid="{D5CDD505-2E9C-101B-9397-08002B2CF9AE}" pid="3" name="ICV">
    <vt:lpwstr>2AAC85A9891DBCC01961716AB9314E3D_43</vt:lpwstr>
  </property>
</Properties>
</file>