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spacing w:line="560" w:lineRule="exact"/>
        <w:jc w:val="left"/>
        <w:rPr>
          <w:rFonts w:hint="default" w:ascii="Times New Roman" w:hAnsi="Times New Roman" w:eastAsia="黑体" w:cs="Times New Roman"/>
          <w:sz w:val="28"/>
          <w:szCs w:val="28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新型机电一体化关键材料创新任务</w:t>
      </w:r>
    </w:p>
    <w:p>
      <w:pPr>
        <w:spacing w:line="56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揭榜挂帅重点应用领域</w:t>
      </w:r>
    </w:p>
    <w:p>
      <w:pPr>
        <w:spacing w:line="560" w:lineRule="exact"/>
        <w:ind w:firstLine="640" w:firstLineChars="200"/>
        <w:jc w:val="center"/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</w:pPr>
      <w:bookmarkStart w:id="1" w:name="_GoBack"/>
      <w:r>
        <w:rPr>
          <w:rFonts w:hint="eastAsia" w:eastAsia="楷体_GB2312" w:cs="Times New Roman"/>
          <w:b w:val="0"/>
          <w:bCs w:val="0"/>
          <w:sz w:val="32"/>
          <w:szCs w:val="32"/>
          <w:lang w:eastAsia="zh-CN"/>
        </w:rPr>
        <w:t>（仅供参考，包括但不局限于）</w:t>
      </w:r>
    </w:p>
    <w:bookmarkEnd w:id="1"/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通用设备制造业（C34）</w:t>
      </w:r>
      <w:r>
        <w:rPr>
          <w:rFonts w:hint="default" w:ascii="Times New Roman" w:hAnsi="Times New Roman" w:eastAsia="黑体" w:cs="Times New Roman"/>
          <w:sz w:val="32"/>
          <w:szCs w:val="32"/>
        </w:rPr>
        <w:t>、专用设备制造业（</w:t>
      </w:r>
      <w:r>
        <w:rPr>
          <w:rFonts w:hint="default" w:ascii="Times New Roman" w:hAnsi="Times New Roman" w:eastAsia="黑体" w:cs="Times New Roman"/>
          <w:sz w:val="32"/>
          <w:szCs w:val="32"/>
        </w:rPr>
        <w:t>C3</w:t>
      </w:r>
      <w:r>
        <w:rPr>
          <w:rFonts w:hint="default" w:ascii="Times New Roman" w:hAnsi="Times New Roman" w:eastAsia="黑体" w:cs="Times New Roman"/>
          <w:sz w:val="32"/>
          <w:szCs w:val="32"/>
        </w:rPr>
        <w:t>5）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面向机器人本体与关节模组、精密减速器与轴承、滚珠丝杠与传动齿轮、数控机床主轴与导轨等核心部件，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突破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磁能积稀土永磁材料、高磁感低铁损无取向硅钢片、耐高温聚酰亚胺绝缘薄膜及耐电晕绝缘涂层材料、轻量化高强铝合金及碳纤维复合结构材料、高性能工程塑料及耐高温耐磨结构件材料、高纯净度轴承钢及特种齿轮钢、长寿命精密减速器专用润滑材料、高精度丝杠用合金材料、自润滑耐磨复合材料、高疲劳强度传动材料、表面强化硬质涂层材料、高刚性机床结构材料、超硬刀具材料、减振降噪功能材料、耐高温轴承材料、高精度光栅尺材料等，着力提升材料的比强度、传动精度保持性、耐磨疲劳寿命、耐高温性能、环境耐受性、精度保持性、动态刚性、抗振性能及长期运行稳定性等特殊性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b/>
          <w:bCs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汽车制造业（C36）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面向车载电机控制器、电池管理系统、高压配电单元、车规级芯片封装、电驱动总成等核心系统，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突破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导热陶瓷基板及烧结膏封装材料、耐高温工程塑料、车规级电子陶瓷基板材料、低损耗软磁复合材料及非晶/纳米晶软磁合金、车规级导热及密封胶黏剂材料、电磁屏蔽功能材料等，着力提升材料的耐温等级、绝缘耐压性能、导热散热效率、环境可靠性、车规级寿命适配性等特殊性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b/>
          <w:bCs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铁路、船舶、航空航天和其他运输设备制造业（C37）</w:t>
      </w:r>
    </w:p>
    <w:p>
      <w:pPr>
        <w:autoSpaceDN w:val="0"/>
        <w:spacing w:line="560" w:lineRule="exact"/>
        <w:ind w:firstLine="600" w:firstLineChars="200"/>
        <w:rPr>
          <w:rFonts w:hint="default" w:ascii="Times New Roman" w:hAnsi="Times New Roman" w:eastAsia="楷体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面向无人机、电动垂直起降飞行器、飞行汽车的机身结构、动力系统、航电系统、起落部件等，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突破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航空级碳纤维复合材料、耐极端环境电子封装材料、高比能电池电极材料、防冰防雾功能涂层材料、高强度航空铝合金及钛合金结构件材料、机载电磁屏蔽防护材料等，着力提升材料的比强度比刚度、耐高低温交变性能、抗腐蚀老化性能、轻量化水平、高空环境可靠性等特殊性能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b/>
          <w:bCs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</w:rPr>
        <w:t>电气机械和器材制造业（C38）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面向伺服电机、伺服驱动器、高精度编码器、工业控制装置等核心产品，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突破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磁能积稀土永磁材料、低铁损高磁感取向硅钢及超薄冷轧无取向硅钢片、耐高温绝缘及高性能封装灌封材料、高精度光栅传感基底材料、抗干扰电磁屏蔽材料、高导热散热基板材料等，着力提升材料的能量密度、控制精度、运行稳定性、环境耐候性、抗电磁干扰能力等特殊性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</w:rPr>
        <w:t>计算机、通信和其他电子设备制造业（C39）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面向Mini/Micro LED新型显示、先进封装、功率半导体封装、存储芯片封装等环节，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突破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折射率封装材料、低热阻陶瓷基板材料、高端环氧塑封料、高性能键合丝材料、底部填充胶及助焊剂材料、高纯电子封装配套材料、量子点发光薄膜材料等，着力提升材料的光转换效率、导热性能、绝缘性能、热膨胀匹配性、精细加工适配性、长期可靠性等特殊性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b/>
          <w:bCs/>
          <w:sz w:val="32"/>
          <w:szCs w:val="32"/>
          <w:lang w:bidi="ar"/>
        </w:rPr>
      </w:pPr>
      <w:bookmarkStart w:id="0" w:name="OLE_LINK22"/>
      <w:r>
        <w:rPr>
          <w:rFonts w:hint="default" w:ascii="Times New Roman" w:hAnsi="Times New Roman" w:eastAsia="黑体" w:cs="Times New Roman"/>
          <w:sz w:val="32"/>
          <w:szCs w:val="32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</w:rPr>
        <w:t>仪器仪表制造业（C40）</w:t>
      </w:r>
    </w:p>
    <w:bookmarkEnd w:id="0"/>
    <w:p>
      <w:pPr>
        <w:spacing w:line="56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面向工业传感、车载感知、消费电子传感、精密检测等多类场景，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突破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灵敏度硅基压阻材料、MEMS器件硅基及陶瓷基底材料、高透光学传感材料、高性能压电功能陶瓷材料、气敏及湿敏功能材料、低应力器件封装材料等，着力提升材料的传感灵敏度、检测精度、响应速度、环境稳定性、长期可靠性等特殊性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sectPr>
      <w:footerReference r:id="rId5" w:type="default"/>
      <w:pgSz w:w="12240" w:h="15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宋体" w:hAnsi="宋体" w:eastAsia="宋体"/>
        <w:sz w:val="24"/>
        <w:szCs w:val="24"/>
      </w:rPr>
    </w:sdtEndPr>
    <w:sdtContent>
      <w:p>
        <w:pPr>
          <w:pStyle w:val="11"/>
          <w:jc w:val="center"/>
          <w:rPr>
            <w:rFonts w:hint="eastAsia" w:ascii="宋体" w:hAnsi="宋体" w:eastAsia="宋体"/>
            <w:sz w:val="24"/>
            <w:szCs w:val="24"/>
          </w:rPr>
        </w:pPr>
        <w:r>
          <w:rPr>
            <w:rFonts w:ascii="宋体" w:hAnsi="宋体" w:eastAsia="宋体"/>
            <w:sz w:val="24"/>
            <w:szCs w:val="24"/>
          </w:rPr>
          <w:fldChar w:fldCharType="begin"/>
        </w:r>
        <w:r>
          <w:rPr>
            <w:rFonts w:ascii="宋体" w:hAnsi="宋体" w:eastAsia="宋体"/>
            <w:sz w:val="24"/>
            <w:szCs w:val="24"/>
          </w:rPr>
          <w:instrText xml:space="preserve">PAGE   \* MERGEFORMAT</w:instrText>
        </w:r>
        <w:r>
          <w:rPr>
            <w:rFonts w:ascii="宋体" w:hAnsi="宋体" w:eastAsia="宋体"/>
            <w:sz w:val="24"/>
            <w:szCs w:val="24"/>
          </w:rPr>
          <w:fldChar w:fldCharType="separate"/>
        </w:r>
        <w:r>
          <w:rPr>
            <w:rFonts w:ascii="宋体" w:hAnsi="宋体" w:eastAsia="宋体"/>
            <w:sz w:val="24"/>
            <w:szCs w:val="24"/>
            <w:lang w:val="zh-CN"/>
          </w:rPr>
          <w:t>2</w:t>
        </w:r>
        <w:r>
          <w:rPr>
            <w:rFonts w:ascii="宋体" w:hAnsi="宋体" w:eastAsia="宋体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0"/>
    <w:rsid w:val="000265A5"/>
    <w:rsid w:val="000613E1"/>
    <w:rsid w:val="0011025D"/>
    <w:rsid w:val="00150AC2"/>
    <w:rsid w:val="00275161"/>
    <w:rsid w:val="002B4E0C"/>
    <w:rsid w:val="004E524D"/>
    <w:rsid w:val="00620497"/>
    <w:rsid w:val="00901A64"/>
    <w:rsid w:val="00940C98"/>
    <w:rsid w:val="009F2DE9"/>
    <w:rsid w:val="00A64BA3"/>
    <w:rsid w:val="00AD7B03"/>
    <w:rsid w:val="00CB77E5"/>
    <w:rsid w:val="00ED754F"/>
    <w:rsid w:val="00F700C0"/>
    <w:rsid w:val="00F97FBB"/>
    <w:rsid w:val="4BFDA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320"/>
        <w:tab w:val="right" w:pos="8640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320"/>
        <w:tab w:val="right" w:pos="8640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192</Words>
  <Characters>1095</Characters>
  <Lines>9</Lines>
  <Paragraphs>2</Paragraphs>
  <TotalTime>2</TotalTime>
  <ScaleCrop>false</ScaleCrop>
  <LinksUpToDate>false</LinksUpToDate>
  <CharactersWithSpaces>1285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2026-08-03T14:59:00Z</dcterms:created>
  <dc:creator>gyofficesoft24@163.com</dc:creator>
  <cp:lastModifiedBy>greatwall</cp:lastModifiedBy>
  <dcterms:modified xsi:type="dcterms:W3CDTF">2026-08-06T18:33:55Z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557E3B042656B5D91363746AA363F348</vt:lpwstr>
  </property>
</Properties>
</file>