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bookmarkStart w:id="53" w:name="_GoBack"/>
      <w:bookmarkEnd w:id="53"/>
      <w:r>
        <w:rPr>
          <w:sz w:val="44"/>
        </w:rPr>
        <mc:AlternateContent>
          <mc:Choice Requires="wps">
            <w:drawing>
              <wp:anchor distT="0" distB="0" distL="114300" distR="114300" simplePos="0" relativeHeight="251663360" behindDoc="0" locked="0" layoutInCell="1" allowOverlap="1">
                <wp:simplePos x="0" y="0"/>
                <wp:positionH relativeFrom="column">
                  <wp:posOffset>413385</wp:posOffset>
                </wp:positionH>
                <wp:positionV relativeFrom="paragraph">
                  <wp:posOffset>2874645</wp:posOffset>
                </wp:positionV>
                <wp:extent cx="1828800" cy="1828800"/>
                <wp:effectExtent l="0" t="0" r="0" b="0"/>
                <wp:wrapSquare wrapText="bothSides"/>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汕头市商务发展“十五五”规划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（征求意见稿）</w:t>
                            </w:r>
                          </w:p>
                        </w:txbxContent>
                      </wps:txbx>
                      <wps:bodyPr vert="horz" wrap="none" anchor="t" anchorCtr="0" upright="1">
                        <a:spAutoFit/>
                      </wps:bodyPr>
                    </wps:wsp>
                  </a:graphicData>
                </a:graphic>
              </wp:anchor>
            </w:drawing>
          </mc:Choice>
          <mc:Fallback>
            <w:pict>
              <v:shape id="文本框 8" o:spid="_x0000_s1026" o:spt="202" type="#_x0000_t202" style="position:absolute;left:0pt;margin-left:32.55pt;margin-top:226.35pt;height:144pt;width:144pt;mso-wrap-distance-bottom:0pt;mso-wrap-distance-left:9pt;mso-wrap-distance-right:9pt;mso-wrap-distance-top:0pt;mso-wrap-style:none;z-index:251663360;mso-width-relative:page;mso-height-relative:page;" filled="f" stroked="f" coordsize="21600,21600" o:gfxdata="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">
                <v:fill on="f" focussize="0,0"/>
                <v:stroke on="f"/>
                <v:imagedata o:title=""/>
                <o:lock v:ext="edit" aspectratio="f"/>
                <v:textbox style="mso-fit-shape-to-text:t;">
                  <w:txbxContent>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汕头市商务发展“十五五”规划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（征求意见稿）</w:t>
                      </w:r>
                    </w:p>
                  </w:txbxContent>
                </v:textbox>
                <w10:wrap type="square"/>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sectPr>
          <w:pgSz w:w="11906" w:h="16838"/>
          <w:pgMar w:top="1440" w:right="1800" w:bottom="1440" w:left="1800" w:header="851" w:footer="1417"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pPr>
        <w:pStyle w:val="2"/>
        <w:ind w:firstLine="0" w:firstLineChars="0"/>
        <w:rPr>
          <w:rFonts w:hint="eastAsia" w:ascii="方正小标宋简体" w:hAnsi="方正小标宋简体" w:eastAsia="方正小标宋简体" w:cs="方正小标宋简体"/>
          <w:sz w:val="44"/>
          <w:szCs w:val="44"/>
        </w:rPr>
      </w:pPr>
    </w:p>
    <w:p>
      <w:pPr>
        <w:pStyle w:val="8"/>
        <w:tabs>
          <w:tab w:val="right" w:leader="dot" w:pos="8306"/>
        </w:tabs>
        <w:rPr>
          <w:rFonts w:hint="eastAsia" w:ascii="黑体" w:hAnsi="黑体" w:eastAsia="黑体" w:cs="黑体"/>
        </w:rPr>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ascii="黑体" w:hAnsi="黑体" w:eastAsia="黑体" w:cs="黑体"/>
          <w:sz w:val="28"/>
          <w:szCs w:val="28"/>
          <w:lang w:val="en-US" w:eastAsia="zh-CN"/>
        </w:rPr>
        <w:fldChar w:fldCharType="begin"/>
      </w:r>
      <w:r>
        <w:rPr>
          <w:rFonts w:hint="eastAsia" w:ascii="黑体" w:hAnsi="黑体" w:eastAsia="黑体" w:cs="黑体"/>
          <w:sz w:val="28"/>
          <w:szCs w:val="28"/>
          <w:lang w:val="en-US" w:eastAsia="zh-CN"/>
        </w:rPr>
        <w:instrText xml:space="preserve"> HYPERLINK \l _Toc1502255553 </w:instrText>
      </w:r>
      <w:r>
        <w:rPr>
          <w:rFonts w:hint="eastAsia" w:ascii="黑体" w:hAnsi="黑体" w:eastAsia="黑体" w:cs="黑体"/>
          <w:sz w:val="28"/>
          <w:szCs w:val="28"/>
          <w:lang w:val="en-US" w:eastAsia="zh-CN"/>
        </w:rPr>
        <w:fldChar w:fldCharType="separate"/>
      </w:r>
      <w:r>
        <w:rPr>
          <w:rFonts w:hint="eastAsia" w:ascii="黑体" w:hAnsi="黑体" w:eastAsia="黑体" w:cs="黑体"/>
          <w:sz w:val="28"/>
          <w:szCs w:val="28"/>
          <w:highlight w:val="none"/>
          <w:lang w:val="en-US" w:eastAsia="zh-CN"/>
        </w:rPr>
        <w:t>第一章  “十四五”发展成就</w:t>
      </w:r>
      <w:r>
        <w:rPr>
          <w:rFonts w:hint="eastAsia" w:ascii="黑体" w:hAnsi="黑体" w:eastAsia="黑体" w:cs="黑体"/>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_Toc1502255553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w:t>
      </w:r>
      <w:r>
        <w:rPr>
          <w:rFonts w:hint="default" w:ascii="Times New Roman" w:hAnsi="Times New Roman" w:eastAsia="黑体" w:cs="Times New Roman"/>
          <w:sz w:val="28"/>
          <w:szCs w:val="28"/>
        </w:rPr>
        <w:fldChar w:fldCharType="end"/>
      </w:r>
      <w:r>
        <w:rPr>
          <w:rFonts w:hint="eastAsia" w:ascii="黑体" w:hAnsi="黑体" w:eastAsia="黑体" w:cs="黑体"/>
          <w:sz w:val="28"/>
          <w:szCs w:val="28"/>
          <w:lang w:val="en-US" w:eastAsia="zh-CN"/>
        </w:rPr>
        <w:fldChar w:fldCharType="end"/>
      </w:r>
    </w:p>
    <w:p>
      <w:pPr>
        <w:pStyle w:val="8"/>
        <w:tabs>
          <w:tab w:val="right" w:leader="dot" w:pos="8306"/>
        </w:tabs>
        <w:rPr>
          <w:sz w:val="28"/>
          <w:szCs w:val="28"/>
        </w:rPr>
      </w:pPr>
      <w:r>
        <w:rPr>
          <w:rFonts w:hint="eastAsia" w:ascii="黑体" w:hAnsi="黑体" w:eastAsia="黑体" w:cs="黑体"/>
          <w:sz w:val="28"/>
          <w:szCs w:val="28"/>
          <w:lang w:val="en-US" w:eastAsia="zh-CN"/>
        </w:rPr>
        <w:fldChar w:fldCharType="begin"/>
      </w:r>
      <w:r>
        <w:rPr>
          <w:rFonts w:hint="eastAsia" w:ascii="黑体" w:hAnsi="黑体" w:eastAsia="黑体" w:cs="黑体"/>
          <w:sz w:val="28"/>
          <w:szCs w:val="28"/>
          <w:lang w:val="en-US" w:eastAsia="zh-CN"/>
        </w:rPr>
        <w:instrText xml:space="preserve"> HYPERLINK \l _Toc826648793 </w:instrText>
      </w:r>
      <w:r>
        <w:rPr>
          <w:rFonts w:hint="eastAsia" w:ascii="黑体" w:hAnsi="黑体" w:eastAsia="黑体" w:cs="黑体"/>
          <w:sz w:val="28"/>
          <w:szCs w:val="28"/>
          <w:lang w:val="en-US" w:eastAsia="zh-CN"/>
        </w:rPr>
        <w:fldChar w:fldCharType="separate"/>
      </w:r>
      <w:r>
        <w:rPr>
          <w:rFonts w:hint="eastAsia" w:ascii="黑体" w:hAnsi="黑体" w:eastAsia="黑体" w:cs="黑体"/>
          <w:sz w:val="28"/>
          <w:szCs w:val="28"/>
          <w:highlight w:val="none"/>
          <w:lang w:val="en-US" w:eastAsia="zh-CN"/>
        </w:rPr>
        <w:t>第二章  “十五五”发展形势及主要目标</w:t>
      </w:r>
      <w:r>
        <w:rPr>
          <w:rFonts w:hint="eastAsia" w:ascii="黑体" w:hAnsi="黑体" w:eastAsia="黑体" w:cs="黑体"/>
          <w:sz w:val="28"/>
          <w:szCs w:val="28"/>
        </w:rPr>
        <w:tab/>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PAGEREF _Toc826648793 \h </w:instrText>
      </w:r>
      <w:r>
        <w:rPr>
          <w:rFonts w:hint="default" w:ascii="Times New Roman" w:hAnsi="Times New Roman" w:eastAsia="黑体" w:cs="Times New Roman"/>
          <w:sz w:val="28"/>
          <w:szCs w:val="28"/>
        </w:rPr>
        <w:fldChar w:fldCharType="separate"/>
      </w:r>
      <w:r>
        <w:rPr>
          <w:rFonts w:hint="default" w:ascii="Times New Roman" w:hAnsi="Times New Roman" w:eastAsia="黑体" w:cs="Times New Roman"/>
          <w:sz w:val="28"/>
          <w:szCs w:val="28"/>
        </w:rPr>
        <w:t>10</w:t>
      </w:r>
      <w:r>
        <w:rPr>
          <w:rFonts w:hint="default" w:ascii="Times New Roman" w:hAnsi="Times New Roman" w:eastAsia="黑体" w:cs="Times New Roman"/>
          <w:sz w:val="28"/>
          <w:szCs w:val="28"/>
        </w:rPr>
        <w:fldChar w:fldCharType="end"/>
      </w:r>
      <w:r>
        <w:rPr>
          <w:rFonts w:hint="eastAsia" w:ascii="黑体" w:hAnsi="黑体" w:eastAsia="黑体" w:cs="黑体"/>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_Toc1713251535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第一节  发展机遇</w:t>
      </w:r>
      <w:r>
        <w:rPr>
          <w:sz w:val="28"/>
          <w:szCs w:val="28"/>
        </w:rPr>
        <w:tab/>
      </w:r>
      <w:r>
        <w:rPr>
          <w:sz w:val="28"/>
          <w:szCs w:val="28"/>
        </w:rPr>
        <w:fldChar w:fldCharType="begin"/>
      </w:r>
      <w:r>
        <w:rPr>
          <w:sz w:val="28"/>
          <w:szCs w:val="28"/>
        </w:rPr>
        <w:instrText xml:space="preserve"> PAGEREF _Toc1713251535 \h </w:instrText>
      </w:r>
      <w:r>
        <w:rPr>
          <w:sz w:val="28"/>
          <w:szCs w:val="28"/>
        </w:rPr>
        <w:fldChar w:fldCharType="separate"/>
      </w:r>
      <w:r>
        <w:rPr>
          <w:sz w:val="28"/>
          <w:szCs w:val="28"/>
        </w:rPr>
        <w:t>10</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_Toc469133874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第二节  面临挑战</w:t>
      </w:r>
      <w:r>
        <w:rPr>
          <w:sz w:val="28"/>
          <w:szCs w:val="28"/>
        </w:rPr>
        <w:tab/>
      </w:r>
      <w:r>
        <w:rPr>
          <w:sz w:val="28"/>
          <w:szCs w:val="28"/>
        </w:rPr>
        <w:fldChar w:fldCharType="begin"/>
      </w:r>
      <w:r>
        <w:rPr>
          <w:sz w:val="28"/>
          <w:szCs w:val="28"/>
        </w:rPr>
        <w:instrText xml:space="preserve"> PAGEREF _Toc469133874 \h </w:instrText>
      </w:r>
      <w:r>
        <w:rPr>
          <w:sz w:val="28"/>
          <w:szCs w:val="28"/>
        </w:rPr>
        <w:fldChar w:fldCharType="separate"/>
      </w:r>
      <w:r>
        <w:rPr>
          <w:sz w:val="28"/>
          <w:szCs w:val="28"/>
        </w:rPr>
        <w:t>12</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_Toc332123258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第三节  指导思想</w:t>
      </w:r>
      <w:r>
        <w:rPr>
          <w:sz w:val="28"/>
          <w:szCs w:val="28"/>
        </w:rPr>
        <w:tab/>
      </w:r>
      <w:r>
        <w:rPr>
          <w:sz w:val="28"/>
          <w:szCs w:val="28"/>
        </w:rPr>
        <w:fldChar w:fldCharType="begin"/>
      </w:r>
      <w:r>
        <w:rPr>
          <w:sz w:val="28"/>
          <w:szCs w:val="28"/>
        </w:rPr>
        <w:instrText xml:space="preserve"> PAGEREF _Toc332123258 \h </w:instrText>
      </w:r>
      <w:r>
        <w:rPr>
          <w:sz w:val="28"/>
          <w:szCs w:val="28"/>
        </w:rPr>
        <w:fldChar w:fldCharType="separate"/>
      </w:r>
      <w:r>
        <w:rPr>
          <w:sz w:val="28"/>
          <w:szCs w:val="28"/>
        </w:rPr>
        <w:t>13</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_Toc1004694542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 xml:space="preserve">第四节  </w:t>
      </w:r>
      <w:r>
        <w:rPr>
          <w:rFonts w:hint="default" w:ascii="楷体" w:hAnsi="楷体" w:eastAsia="楷体" w:cs="楷体"/>
          <w:bCs/>
          <w:spacing w:val="0"/>
          <w:kern w:val="10"/>
          <w:sz w:val="28"/>
          <w:szCs w:val="28"/>
          <w:highlight w:val="none"/>
          <w:lang w:val="en-US" w:eastAsia="zh-CN" w:bidi="ar-SA"/>
        </w:rPr>
        <w:t>基本原则</w:t>
      </w:r>
      <w:r>
        <w:rPr>
          <w:sz w:val="28"/>
          <w:szCs w:val="28"/>
        </w:rPr>
        <w:tab/>
      </w:r>
      <w:r>
        <w:rPr>
          <w:sz w:val="28"/>
          <w:szCs w:val="28"/>
        </w:rPr>
        <w:fldChar w:fldCharType="begin"/>
      </w:r>
      <w:r>
        <w:rPr>
          <w:sz w:val="28"/>
          <w:szCs w:val="28"/>
        </w:rPr>
        <w:instrText xml:space="preserve"> PAGEREF _Toc1004694542 \h </w:instrText>
      </w:r>
      <w:r>
        <w:rPr>
          <w:sz w:val="28"/>
          <w:szCs w:val="28"/>
        </w:rPr>
        <w:fldChar w:fldCharType="separate"/>
      </w:r>
      <w:r>
        <w:rPr>
          <w:sz w:val="28"/>
          <w:szCs w:val="28"/>
        </w:rPr>
        <w:t>13</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_Toc1019012002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第五节  主要目标</w:t>
      </w:r>
      <w:r>
        <w:rPr>
          <w:sz w:val="28"/>
          <w:szCs w:val="28"/>
        </w:rPr>
        <w:tab/>
      </w:r>
      <w:r>
        <w:rPr>
          <w:sz w:val="28"/>
          <w:szCs w:val="28"/>
        </w:rPr>
        <w:fldChar w:fldCharType="begin"/>
      </w:r>
      <w:r>
        <w:rPr>
          <w:sz w:val="28"/>
          <w:szCs w:val="28"/>
        </w:rPr>
        <w:instrText xml:space="preserve"> PAGEREF _Toc1019012002 \h </w:instrText>
      </w:r>
      <w:r>
        <w:rPr>
          <w:sz w:val="28"/>
          <w:szCs w:val="28"/>
        </w:rPr>
        <w:fldChar w:fldCharType="separate"/>
      </w:r>
      <w:r>
        <w:rPr>
          <w:sz w:val="28"/>
          <w:szCs w:val="28"/>
        </w:rPr>
        <w:t>14</w:t>
      </w:r>
      <w:r>
        <w:rPr>
          <w:sz w:val="28"/>
          <w:szCs w:val="28"/>
        </w:rPr>
        <w:fldChar w:fldCharType="end"/>
      </w:r>
      <w:r>
        <w:rPr>
          <w:rFonts w:hint="eastAsia"/>
          <w:sz w:val="28"/>
          <w:szCs w:val="28"/>
          <w:lang w:val="en-US" w:eastAsia="zh-CN"/>
        </w:rPr>
        <w:fldChar w:fldCharType="end"/>
      </w:r>
    </w:p>
    <w:p>
      <w:pPr>
        <w:pStyle w:val="8"/>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_Toc1366990970 </w:instrText>
      </w:r>
      <w:r>
        <w:rPr>
          <w:rFonts w:hint="eastAsia"/>
          <w:sz w:val="28"/>
          <w:szCs w:val="28"/>
          <w:lang w:val="en-US" w:eastAsia="zh-CN"/>
        </w:rPr>
        <w:fldChar w:fldCharType="separate"/>
      </w:r>
      <w:r>
        <w:rPr>
          <w:rFonts w:hint="eastAsia" w:ascii="黑体" w:hAnsi="黑体" w:eastAsia="黑体" w:cs="黑体"/>
          <w:sz w:val="28"/>
          <w:szCs w:val="28"/>
          <w:highlight w:val="none"/>
          <w:lang w:val="en-US" w:eastAsia="zh-CN"/>
        </w:rPr>
        <w:t>第三章  促进消费扩容提质</w:t>
      </w:r>
      <w:r>
        <w:rPr>
          <w:sz w:val="28"/>
          <w:szCs w:val="28"/>
        </w:rPr>
        <w:tab/>
      </w:r>
      <w:r>
        <w:rPr>
          <w:sz w:val="28"/>
          <w:szCs w:val="28"/>
        </w:rPr>
        <w:fldChar w:fldCharType="begin"/>
      </w:r>
      <w:r>
        <w:rPr>
          <w:sz w:val="28"/>
          <w:szCs w:val="28"/>
        </w:rPr>
        <w:instrText xml:space="preserve"> PAGEREF _Toc1366990970 \h </w:instrText>
      </w:r>
      <w:r>
        <w:rPr>
          <w:sz w:val="28"/>
          <w:szCs w:val="28"/>
        </w:rPr>
        <w:fldChar w:fldCharType="separate"/>
      </w:r>
      <w:r>
        <w:rPr>
          <w:sz w:val="28"/>
          <w:szCs w:val="28"/>
        </w:rPr>
        <w:t>16</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_Toc1994886070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第一节  建强区域消费中心城市</w:t>
      </w:r>
      <w:r>
        <w:rPr>
          <w:sz w:val="28"/>
          <w:szCs w:val="28"/>
        </w:rPr>
        <w:tab/>
      </w:r>
      <w:r>
        <w:rPr>
          <w:sz w:val="28"/>
          <w:szCs w:val="28"/>
        </w:rPr>
        <w:fldChar w:fldCharType="begin"/>
      </w:r>
      <w:r>
        <w:rPr>
          <w:sz w:val="28"/>
          <w:szCs w:val="28"/>
        </w:rPr>
        <w:instrText xml:space="preserve"> PAGEREF _Toc1994886070 \h </w:instrText>
      </w:r>
      <w:r>
        <w:rPr>
          <w:sz w:val="28"/>
          <w:szCs w:val="28"/>
        </w:rPr>
        <w:fldChar w:fldCharType="separate"/>
      </w:r>
      <w:r>
        <w:rPr>
          <w:sz w:val="28"/>
          <w:szCs w:val="28"/>
        </w:rPr>
        <w:t>16</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_Toc207920772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第二节  优化消费供给</w:t>
      </w:r>
      <w:r>
        <w:rPr>
          <w:sz w:val="28"/>
          <w:szCs w:val="28"/>
        </w:rPr>
        <w:tab/>
      </w:r>
      <w:r>
        <w:rPr>
          <w:sz w:val="28"/>
          <w:szCs w:val="28"/>
        </w:rPr>
        <w:fldChar w:fldCharType="begin"/>
      </w:r>
      <w:r>
        <w:rPr>
          <w:sz w:val="28"/>
          <w:szCs w:val="28"/>
        </w:rPr>
        <w:instrText xml:space="preserve"> PAGEREF _Toc207920772 \h </w:instrText>
      </w:r>
      <w:r>
        <w:rPr>
          <w:sz w:val="28"/>
          <w:szCs w:val="28"/>
        </w:rPr>
        <w:fldChar w:fldCharType="separate"/>
      </w:r>
      <w:r>
        <w:rPr>
          <w:sz w:val="28"/>
          <w:szCs w:val="28"/>
        </w:rPr>
        <w:t>17</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_Toc481405181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第三节  拓展消费新业态</w:t>
      </w:r>
      <w:r>
        <w:rPr>
          <w:sz w:val="28"/>
          <w:szCs w:val="28"/>
        </w:rPr>
        <w:tab/>
      </w:r>
      <w:r>
        <w:rPr>
          <w:sz w:val="28"/>
          <w:szCs w:val="28"/>
        </w:rPr>
        <w:fldChar w:fldCharType="begin"/>
      </w:r>
      <w:r>
        <w:rPr>
          <w:sz w:val="28"/>
          <w:szCs w:val="28"/>
        </w:rPr>
        <w:instrText xml:space="preserve"> PAGEREF _Toc481405181 \h </w:instrText>
      </w:r>
      <w:r>
        <w:rPr>
          <w:sz w:val="28"/>
          <w:szCs w:val="28"/>
        </w:rPr>
        <w:fldChar w:fldCharType="separate"/>
      </w:r>
      <w:r>
        <w:rPr>
          <w:sz w:val="28"/>
          <w:szCs w:val="28"/>
        </w:rPr>
        <w:t>18</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_Toc1764158524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第四节  推动城乡消费协调发展</w:t>
      </w:r>
      <w:r>
        <w:rPr>
          <w:sz w:val="28"/>
          <w:szCs w:val="28"/>
        </w:rPr>
        <w:tab/>
      </w:r>
      <w:r>
        <w:rPr>
          <w:sz w:val="28"/>
          <w:szCs w:val="28"/>
        </w:rPr>
        <w:fldChar w:fldCharType="begin"/>
      </w:r>
      <w:r>
        <w:rPr>
          <w:sz w:val="28"/>
          <w:szCs w:val="28"/>
        </w:rPr>
        <w:instrText xml:space="preserve"> PAGEREF _Toc1764158524 \h </w:instrText>
      </w:r>
      <w:r>
        <w:rPr>
          <w:sz w:val="28"/>
          <w:szCs w:val="28"/>
        </w:rPr>
        <w:fldChar w:fldCharType="separate"/>
      </w:r>
      <w:r>
        <w:rPr>
          <w:sz w:val="28"/>
          <w:szCs w:val="28"/>
        </w:rPr>
        <w:t>19</w:t>
      </w:r>
      <w:r>
        <w:rPr>
          <w:sz w:val="28"/>
          <w:szCs w:val="28"/>
        </w:rPr>
        <w:fldChar w:fldCharType="end"/>
      </w:r>
      <w:r>
        <w:rPr>
          <w:rFonts w:hint="eastAsia"/>
          <w:sz w:val="28"/>
          <w:szCs w:val="28"/>
          <w:lang w:val="en-US" w:eastAsia="zh-CN"/>
        </w:rPr>
        <w:fldChar w:fldCharType="end"/>
      </w:r>
    </w:p>
    <w:p>
      <w:pPr>
        <w:pStyle w:val="8"/>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_Toc219775784 </w:instrText>
      </w:r>
      <w:r>
        <w:rPr>
          <w:rFonts w:hint="eastAsia"/>
          <w:sz w:val="28"/>
          <w:szCs w:val="28"/>
          <w:lang w:val="en-US" w:eastAsia="zh-CN"/>
        </w:rPr>
        <w:fldChar w:fldCharType="separate"/>
      </w:r>
      <w:r>
        <w:rPr>
          <w:rFonts w:hint="eastAsia" w:ascii="黑体" w:hAnsi="黑体" w:eastAsia="黑体" w:cs="黑体"/>
          <w:sz w:val="28"/>
          <w:szCs w:val="28"/>
          <w:highlight w:val="none"/>
          <w:lang w:val="en-US" w:eastAsia="zh-CN"/>
        </w:rPr>
        <w:t>第四章  加快建设粤东贸易强市</w:t>
      </w:r>
      <w:r>
        <w:rPr>
          <w:sz w:val="28"/>
          <w:szCs w:val="28"/>
        </w:rPr>
        <w:tab/>
      </w:r>
      <w:r>
        <w:rPr>
          <w:sz w:val="28"/>
          <w:szCs w:val="28"/>
        </w:rPr>
        <w:fldChar w:fldCharType="begin"/>
      </w:r>
      <w:r>
        <w:rPr>
          <w:sz w:val="28"/>
          <w:szCs w:val="28"/>
        </w:rPr>
        <w:instrText xml:space="preserve"> PAGEREF _Toc219775784 \h </w:instrText>
      </w:r>
      <w:r>
        <w:rPr>
          <w:sz w:val="28"/>
          <w:szCs w:val="28"/>
        </w:rPr>
        <w:fldChar w:fldCharType="separate"/>
      </w:r>
      <w:r>
        <w:rPr>
          <w:sz w:val="28"/>
          <w:szCs w:val="28"/>
        </w:rPr>
        <w:t>20</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_Toc1116428686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第一节  推动货物贸易稳量提质</w:t>
      </w:r>
      <w:r>
        <w:rPr>
          <w:sz w:val="28"/>
          <w:szCs w:val="28"/>
        </w:rPr>
        <w:tab/>
      </w:r>
      <w:r>
        <w:rPr>
          <w:sz w:val="28"/>
          <w:szCs w:val="28"/>
        </w:rPr>
        <w:fldChar w:fldCharType="begin"/>
      </w:r>
      <w:r>
        <w:rPr>
          <w:sz w:val="28"/>
          <w:szCs w:val="28"/>
        </w:rPr>
        <w:instrText xml:space="preserve"> PAGEREF _Toc1116428686 \h </w:instrText>
      </w:r>
      <w:r>
        <w:rPr>
          <w:sz w:val="28"/>
          <w:szCs w:val="28"/>
        </w:rPr>
        <w:fldChar w:fldCharType="separate"/>
      </w:r>
      <w:r>
        <w:rPr>
          <w:sz w:val="28"/>
          <w:szCs w:val="28"/>
        </w:rPr>
        <w:t>21</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_Toc1988572855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第二节  培育外贸新动能</w:t>
      </w:r>
      <w:r>
        <w:rPr>
          <w:sz w:val="28"/>
          <w:szCs w:val="28"/>
        </w:rPr>
        <w:tab/>
      </w:r>
      <w:r>
        <w:rPr>
          <w:sz w:val="28"/>
          <w:szCs w:val="28"/>
        </w:rPr>
        <w:fldChar w:fldCharType="begin"/>
      </w:r>
      <w:r>
        <w:rPr>
          <w:sz w:val="28"/>
          <w:szCs w:val="28"/>
        </w:rPr>
        <w:instrText xml:space="preserve"> PAGEREF _Toc1988572855 \h </w:instrText>
      </w:r>
      <w:r>
        <w:rPr>
          <w:sz w:val="28"/>
          <w:szCs w:val="28"/>
        </w:rPr>
        <w:fldChar w:fldCharType="separate"/>
      </w:r>
      <w:r>
        <w:rPr>
          <w:sz w:val="28"/>
          <w:szCs w:val="28"/>
        </w:rPr>
        <w:t>23</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_Toc2098251297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第三节  打造高水平商贸平台</w:t>
      </w:r>
      <w:r>
        <w:rPr>
          <w:sz w:val="28"/>
          <w:szCs w:val="28"/>
        </w:rPr>
        <w:tab/>
      </w:r>
      <w:r>
        <w:rPr>
          <w:sz w:val="28"/>
          <w:szCs w:val="28"/>
        </w:rPr>
        <w:fldChar w:fldCharType="begin"/>
      </w:r>
      <w:r>
        <w:rPr>
          <w:sz w:val="28"/>
          <w:szCs w:val="28"/>
        </w:rPr>
        <w:instrText xml:space="preserve"> PAGEREF _Toc2098251297 \h </w:instrText>
      </w:r>
      <w:r>
        <w:rPr>
          <w:sz w:val="28"/>
          <w:szCs w:val="28"/>
        </w:rPr>
        <w:fldChar w:fldCharType="separate"/>
      </w:r>
      <w:r>
        <w:rPr>
          <w:sz w:val="28"/>
          <w:szCs w:val="28"/>
        </w:rPr>
        <w:t>24</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_Toc1426570662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第四节  促进内外贸一体化</w:t>
      </w:r>
      <w:r>
        <w:rPr>
          <w:sz w:val="28"/>
          <w:szCs w:val="28"/>
        </w:rPr>
        <w:tab/>
      </w:r>
      <w:r>
        <w:rPr>
          <w:sz w:val="28"/>
          <w:szCs w:val="28"/>
        </w:rPr>
        <w:fldChar w:fldCharType="begin"/>
      </w:r>
      <w:r>
        <w:rPr>
          <w:sz w:val="28"/>
          <w:szCs w:val="28"/>
        </w:rPr>
        <w:instrText xml:space="preserve"> PAGEREF _Toc1426570662 \h </w:instrText>
      </w:r>
      <w:r>
        <w:rPr>
          <w:sz w:val="28"/>
          <w:szCs w:val="28"/>
        </w:rPr>
        <w:fldChar w:fldCharType="separate"/>
      </w:r>
      <w:r>
        <w:rPr>
          <w:sz w:val="28"/>
          <w:szCs w:val="28"/>
        </w:rPr>
        <w:t>25</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_Toc446783147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第五节  加快培育服务贸易</w:t>
      </w:r>
      <w:r>
        <w:rPr>
          <w:sz w:val="28"/>
          <w:szCs w:val="28"/>
        </w:rPr>
        <w:tab/>
      </w:r>
      <w:r>
        <w:rPr>
          <w:sz w:val="28"/>
          <w:szCs w:val="28"/>
        </w:rPr>
        <w:fldChar w:fldCharType="begin"/>
      </w:r>
      <w:r>
        <w:rPr>
          <w:sz w:val="28"/>
          <w:szCs w:val="28"/>
        </w:rPr>
        <w:instrText xml:space="preserve"> PAGEREF _Toc446783147 \h </w:instrText>
      </w:r>
      <w:r>
        <w:rPr>
          <w:sz w:val="28"/>
          <w:szCs w:val="28"/>
        </w:rPr>
        <w:fldChar w:fldCharType="separate"/>
      </w:r>
      <w:r>
        <w:rPr>
          <w:sz w:val="28"/>
          <w:szCs w:val="28"/>
        </w:rPr>
        <w:t>26</w:t>
      </w:r>
      <w:r>
        <w:rPr>
          <w:sz w:val="28"/>
          <w:szCs w:val="28"/>
        </w:rPr>
        <w:fldChar w:fldCharType="end"/>
      </w:r>
      <w:r>
        <w:rPr>
          <w:rFonts w:hint="eastAsia"/>
          <w:sz w:val="28"/>
          <w:szCs w:val="28"/>
          <w:lang w:val="en-US" w:eastAsia="zh-CN"/>
        </w:rPr>
        <w:fldChar w:fldCharType="end"/>
      </w:r>
    </w:p>
    <w:p>
      <w:pPr>
        <w:pStyle w:val="8"/>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_Toc1638527067 </w:instrText>
      </w:r>
      <w:r>
        <w:rPr>
          <w:rFonts w:hint="eastAsia"/>
          <w:sz w:val="28"/>
          <w:szCs w:val="28"/>
          <w:lang w:val="en-US" w:eastAsia="zh-CN"/>
        </w:rPr>
        <w:fldChar w:fldCharType="separate"/>
      </w:r>
      <w:r>
        <w:rPr>
          <w:rFonts w:hint="eastAsia" w:ascii="黑体" w:hAnsi="黑体" w:eastAsia="黑体" w:cs="黑体"/>
          <w:sz w:val="28"/>
          <w:szCs w:val="28"/>
          <w:highlight w:val="none"/>
          <w:lang w:val="en-US" w:eastAsia="zh-CN"/>
        </w:rPr>
        <w:t>第五章  高质量招商引资</w:t>
      </w:r>
      <w:r>
        <w:rPr>
          <w:sz w:val="28"/>
          <w:szCs w:val="28"/>
        </w:rPr>
        <w:tab/>
      </w:r>
      <w:r>
        <w:rPr>
          <w:sz w:val="28"/>
          <w:szCs w:val="28"/>
        </w:rPr>
        <w:fldChar w:fldCharType="begin"/>
      </w:r>
      <w:r>
        <w:rPr>
          <w:sz w:val="28"/>
          <w:szCs w:val="28"/>
        </w:rPr>
        <w:instrText xml:space="preserve"> PAGEREF _Toc1638527067 \h </w:instrText>
      </w:r>
      <w:r>
        <w:rPr>
          <w:sz w:val="28"/>
          <w:szCs w:val="28"/>
        </w:rPr>
        <w:fldChar w:fldCharType="separate"/>
      </w:r>
      <w:r>
        <w:rPr>
          <w:sz w:val="28"/>
          <w:szCs w:val="28"/>
        </w:rPr>
        <w:t>27</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_Toc1234614326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第一节  建强招商工作体系</w:t>
      </w:r>
      <w:r>
        <w:rPr>
          <w:sz w:val="28"/>
          <w:szCs w:val="28"/>
        </w:rPr>
        <w:tab/>
      </w:r>
      <w:r>
        <w:rPr>
          <w:sz w:val="28"/>
          <w:szCs w:val="28"/>
        </w:rPr>
        <w:fldChar w:fldCharType="begin"/>
      </w:r>
      <w:r>
        <w:rPr>
          <w:sz w:val="28"/>
          <w:szCs w:val="28"/>
        </w:rPr>
        <w:instrText xml:space="preserve"> PAGEREF _Toc1234614326 \h </w:instrText>
      </w:r>
      <w:r>
        <w:rPr>
          <w:sz w:val="28"/>
          <w:szCs w:val="28"/>
        </w:rPr>
        <w:fldChar w:fldCharType="separate"/>
      </w:r>
      <w:r>
        <w:rPr>
          <w:sz w:val="28"/>
          <w:szCs w:val="28"/>
        </w:rPr>
        <w:t>28</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_Toc734008244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第二节  提升招商引资质量</w:t>
      </w:r>
      <w:r>
        <w:rPr>
          <w:sz w:val="28"/>
          <w:szCs w:val="28"/>
        </w:rPr>
        <w:tab/>
      </w:r>
      <w:r>
        <w:rPr>
          <w:sz w:val="28"/>
          <w:szCs w:val="28"/>
        </w:rPr>
        <w:fldChar w:fldCharType="begin"/>
      </w:r>
      <w:r>
        <w:rPr>
          <w:sz w:val="28"/>
          <w:szCs w:val="28"/>
        </w:rPr>
        <w:instrText xml:space="preserve"> PAGEREF _Toc734008244 \h </w:instrText>
      </w:r>
      <w:r>
        <w:rPr>
          <w:sz w:val="28"/>
          <w:szCs w:val="28"/>
        </w:rPr>
        <w:fldChar w:fldCharType="separate"/>
      </w:r>
      <w:r>
        <w:rPr>
          <w:sz w:val="28"/>
          <w:szCs w:val="28"/>
        </w:rPr>
        <w:t>29</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_Toc1564020466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第三节  打造多元招商模式</w:t>
      </w:r>
      <w:r>
        <w:rPr>
          <w:sz w:val="28"/>
          <w:szCs w:val="28"/>
        </w:rPr>
        <w:tab/>
      </w:r>
      <w:r>
        <w:rPr>
          <w:sz w:val="28"/>
          <w:szCs w:val="28"/>
        </w:rPr>
        <w:fldChar w:fldCharType="begin"/>
      </w:r>
      <w:r>
        <w:rPr>
          <w:sz w:val="28"/>
          <w:szCs w:val="28"/>
        </w:rPr>
        <w:instrText xml:space="preserve"> PAGEREF _Toc1564020466 \h </w:instrText>
      </w:r>
      <w:r>
        <w:rPr>
          <w:sz w:val="28"/>
          <w:szCs w:val="28"/>
        </w:rPr>
        <w:fldChar w:fldCharType="separate"/>
      </w:r>
      <w:r>
        <w:rPr>
          <w:sz w:val="28"/>
          <w:szCs w:val="28"/>
        </w:rPr>
        <w:t>30</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_Toc1081770463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第四节  筑牢招商引资平台</w:t>
      </w:r>
      <w:r>
        <w:rPr>
          <w:sz w:val="28"/>
          <w:szCs w:val="28"/>
        </w:rPr>
        <w:tab/>
      </w:r>
      <w:r>
        <w:rPr>
          <w:sz w:val="28"/>
          <w:szCs w:val="28"/>
        </w:rPr>
        <w:fldChar w:fldCharType="begin"/>
      </w:r>
      <w:r>
        <w:rPr>
          <w:sz w:val="28"/>
          <w:szCs w:val="28"/>
        </w:rPr>
        <w:instrText xml:space="preserve"> PAGEREF _Toc1081770463 \h </w:instrText>
      </w:r>
      <w:r>
        <w:rPr>
          <w:sz w:val="28"/>
          <w:szCs w:val="28"/>
        </w:rPr>
        <w:fldChar w:fldCharType="separate"/>
      </w:r>
      <w:r>
        <w:rPr>
          <w:sz w:val="28"/>
          <w:szCs w:val="28"/>
        </w:rPr>
        <w:t>31</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_Toc873987128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第五节  健全外商投资服务体系</w:t>
      </w:r>
      <w:r>
        <w:rPr>
          <w:sz w:val="28"/>
          <w:szCs w:val="28"/>
        </w:rPr>
        <w:tab/>
      </w:r>
      <w:r>
        <w:rPr>
          <w:sz w:val="28"/>
          <w:szCs w:val="28"/>
        </w:rPr>
        <w:fldChar w:fldCharType="begin"/>
      </w:r>
      <w:r>
        <w:rPr>
          <w:sz w:val="28"/>
          <w:szCs w:val="28"/>
        </w:rPr>
        <w:instrText xml:space="preserve"> PAGEREF _Toc873987128 \h </w:instrText>
      </w:r>
      <w:r>
        <w:rPr>
          <w:sz w:val="28"/>
          <w:szCs w:val="28"/>
        </w:rPr>
        <w:fldChar w:fldCharType="separate"/>
      </w:r>
      <w:r>
        <w:rPr>
          <w:sz w:val="28"/>
          <w:szCs w:val="28"/>
        </w:rPr>
        <w:t>31</w:t>
      </w:r>
      <w:r>
        <w:rPr>
          <w:sz w:val="28"/>
          <w:szCs w:val="28"/>
        </w:rPr>
        <w:fldChar w:fldCharType="end"/>
      </w:r>
      <w:r>
        <w:rPr>
          <w:rFonts w:hint="eastAsia"/>
          <w:sz w:val="28"/>
          <w:szCs w:val="28"/>
          <w:lang w:val="en-US" w:eastAsia="zh-CN"/>
        </w:rPr>
        <w:fldChar w:fldCharType="end"/>
      </w:r>
    </w:p>
    <w:p>
      <w:pPr>
        <w:pStyle w:val="8"/>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_Toc543419342 </w:instrText>
      </w:r>
      <w:r>
        <w:rPr>
          <w:rFonts w:hint="eastAsia"/>
          <w:sz w:val="28"/>
          <w:szCs w:val="28"/>
          <w:lang w:val="en-US" w:eastAsia="zh-CN"/>
        </w:rPr>
        <w:fldChar w:fldCharType="separate"/>
      </w:r>
      <w:r>
        <w:rPr>
          <w:rFonts w:hint="eastAsia" w:ascii="黑体" w:hAnsi="黑体" w:eastAsia="黑体" w:cs="黑体"/>
          <w:sz w:val="28"/>
          <w:szCs w:val="28"/>
          <w:highlight w:val="none"/>
          <w:lang w:val="en-US" w:eastAsia="zh-CN"/>
        </w:rPr>
        <w:t>第六章  提升境外经贸交流合作新高度</w:t>
      </w:r>
      <w:r>
        <w:rPr>
          <w:sz w:val="28"/>
          <w:szCs w:val="28"/>
        </w:rPr>
        <w:tab/>
      </w:r>
      <w:r>
        <w:rPr>
          <w:sz w:val="28"/>
          <w:szCs w:val="28"/>
        </w:rPr>
        <w:fldChar w:fldCharType="begin"/>
      </w:r>
      <w:r>
        <w:rPr>
          <w:sz w:val="28"/>
          <w:szCs w:val="28"/>
        </w:rPr>
        <w:instrText xml:space="preserve"> PAGEREF _Toc543419342 \h </w:instrText>
      </w:r>
      <w:r>
        <w:rPr>
          <w:sz w:val="28"/>
          <w:szCs w:val="28"/>
        </w:rPr>
        <w:fldChar w:fldCharType="separate"/>
      </w:r>
      <w:r>
        <w:rPr>
          <w:sz w:val="28"/>
          <w:szCs w:val="28"/>
        </w:rPr>
        <w:t>33</w:t>
      </w:r>
      <w:r>
        <w:rPr>
          <w:sz w:val="28"/>
          <w:szCs w:val="28"/>
        </w:rPr>
        <w:fldChar w:fldCharType="end"/>
      </w:r>
      <w:r>
        <w:rPr>
          <w:rFonts w:hint="eastAsia"/>
          <w:sz w:val="28"/>
          <w:szCs w:val="28"/>
          <w:lang w:val="en-US" w:eastAsia="zh-CN"/>
        </w:rPr>
        <w:fldChar w:fldCharType="end"/>
      </w:r>
    </w:p>
    <w:p>
      <w:pPr>
        <w:pStyle w:val="8"/>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_Toc223946126 </w:instrText>
      </w:r>
      <w:r>
        <w:rPr>
          <w:rFonts w:hint="eastAsia"/>
          <w:sz w:val="28"/>
          <w:szCs w:val="28"/>
          <w:lang w:val="en-US" w:eastAsia="zh-CN"/>
        </w:rPr>
        <w:fldChar w:fldCharType="separate"/>
      </w:r>
      <w:r>
        <w:rPr>
          <w:rFonts w:hint="eastAsia" w:ascii="黑体" w:hAnsi="黑体" w:eastAsia="黑体" w:cs="黑体"/>
          <w:sz w:val="28"/>
          <w:szCs w:val="28"/>
          <w:highlight w:val="none"/>
          <w:lang w:val="en-US" w:eastAsia="zh-CN"/>
        </w:rPr>
        <w:t>第七章  促进高水平对外开放</w:t>
      </w:r>
      <w:r>
        <w:rPr>
          <w:sz w:val="28"/>
          <w:szCs w:val="28"/>
        </w:rPr>
        <w:tab/>
      </w:r>
      <w:r>
        <w:rPr>
          <w:sz w:val="28"/>
          <w:szCs w:val="28"/>
        </w:rPr>
        <w:fldChar w:fldCharType="begin"/>
      </w:r>
      <w:r>
        <w:rPr>
          <w:sz w:val="28"/>
          <w:szCs w:val="28"/>
        </w:rPr>
        <w:instrText xml:space="preserve"> PAGEREF _Toc223946126 \h </w:instrText>
      </w:r>
      <w:r>
        <w:rPr>
          <w:sz w:val="28"/>
          <w:szCs w:val="28"/>
        </w:rPr>
        <w:fldChar w:fldCharType="separate"/>
      </w:r>
      <w:r>
        <w:rPr>
          <w:sz w:val="28"/>
          <w:szCs w:val="28"/>
        </w:rPr>
        <w:t>34</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_Toc836227209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第一节  提升口岸开放水平</w:t>
      </w:r>
      <w:r>
        <w:rPr>
          <w:sz w:val="28"/>
          <w:szCs w:val="28"/>
        </w:rPr>
        <w:tab/>
      </w:r>
      <w:r>
        <w:rPr>
          <w:sz w:val="28"/>
          <w:szCs w:val="28"/>
        </w:rPr>
        <w:fldChar w:fldCharType="begin"/>
      </w:r>
      <w:r>
        <w:rPr>
          <w:sz w:val="28"/>
          <w:szCs w:val="28"/>
        </w:rPr>
        <w:instrText xml:space="preserve"> PAGEREF _Toc836227209 \h </w:instrText>
      </w:r>
      <w:r>
        <w:rPr>
          <w:sz w:val="28"/>
          <w:szCs w:val="28"/>
        </w:rPr>
        <w:fldChar w:fldCharType="separate"/>
      </w:r>
      <w:r>
        <w:rPr>
          <w:sz w:val="28"/>
          <w:szCs w:val="28"/>
        </w:rPr>
        <w:t>34</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_Toc1938706237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第二节  深化制度型开放</w:t>
      </w:r>
      <w:r>
        <w:rPr>
          <w:sz w:val="28"/>
          <w:szCs w:val="28"/>
        </w:rPr>
        <w:tab/>
      </w:r>
      <w:r>
        <w:rPr>
          <w:sz w:val="28"/>
          <w:szCs w:val="28"/>
        </w:rPr>
        <w:fldChar w:fldCharType="begin"/>
      </w:r>
      <w:r>
        <w:rPr>
          <w:sz w:val="28"/>
          <w:szCs w:val="28"/>
        </w:rPr>
        <w:instrText xml:space="preserve"> PAGEREF _Toc1938706237 \h </w:instrText>
      </w:r>
      <w:r>
        <w:rPr>
          <w:sz w:val="28"/>
          <w:szCs w:val="28"/>
        </w:rPr>
        <w:fldChar w:fldCharType="separate"/>
      </w:r>
      <w:r>
        <w:rPr>
          <w:sz w:val="28"/>
          <w:szCs w:val="28"/>
        </w:rPr>
        <w:t>35</w:t>
      </w:r>
      <w:r>
        <w:rPr>
          <w:sz w:val="28"/>
          <w:szCs w:val="28"/>
        </w:rPr>
        <w:fldChar w:fldCharType="end"/>
      </w:r>
      <w:r>
        <w:rPr>
          <w:rFonts w:hint="eastAsia"/>
          <w:sz w:val="28"/>
          <w:szCs w:val="28"/>
          <w:lang w:val="en-US" w:eastAsia="zh-CN"/>
        </w:rPr>
        <w:fldChar w:fldCharType="end"/>
      </w:r>
    </w:p>
    <w:p>
      <w:pPr>
        <w:pStyle w:val="8"/>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_Toc565479225 </w:instrText>
      </w:r>
      <w:r>
        <w:rPr>
          <w:rFonts w:hint="eastAsia"/>
          <w:sz w:val="28"/>
          <w:szCs w:val="28"/>
          <w:lang w:val="en-US" w:eastAsia="zh-CN"/>
        </w:rPr>
        <w:fldChar w:fldCharType="separate"/>
      </w:r>
      <w:r>
        <w:rPr>
          <w:rFonts w:hint="eastAsia" w:ascii="黑体" w:hAnsi="黑体" w:eastAsia="黑体" w:cs="黑体"/>
          <w:sz w:val="28"/>
          <w:szCs w:val="28"/>
          <w:highlight w:val="none"/>
          <w:lang w:val="en-US" w:eastAsia="zh-CN"/>
        </w:rPr>
        <w:t>第八章  统筹发展与安全</w:t>
      </w:r>
      <w:r>
        <w:rPr>
          <w:sz w:val="28"/>
          <w:szCs w:val="28"/>
        </w:rPr>
        <w:tab/>
      </w:r>
      <w:r>
        <w:rPr>
          <w:sz w:val="28"/>
          <w:szCs w:val="28"/>
        </w:rPr>
        <w:fldChar w:fldCharType="begin"/>
      </w:r>
      <w:r>
        <w:rPr>
          <w:sz w:val="28"/>
          <w:szCs w:val="28"/>
        </w:rPr>
        <w:instrText xml:space="preserve"> PAGEREF _Toc565479225 \h </w:instrText>
      </w:r>
      <w:r>
        <w:rPr>
          <w:sz w:val="28"/>
          <w:szCs w:val="28"/>
        </w:rPr>
        <w:fldChar w:fldCharType="separate"/>
      </w:r>
      <w:r>
        <w:rPr>
          <w:sz w:val="28"/>
          <w:szCs w:val="28"/>
        </w:rPr>
        <w:t>37</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_Toc1959317177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第一节  保障国内市场安全稳定</w:t>
      </w:r>
      <w:r>
        <w:rPr>
          <w:sz w:val="28"/>
          <w:szCs w:val="28"/>
        </w:rPr>
        <w:tab/>
      </w:r>
      <w:r>
        <w:rPr>
          <w:sz w:val="28"/>
          <w:szCs w:val="28"/>
        </w:rPr>
        <w:fldChar w:fldCharType="begin"/>
      </w:r>
      <w:r>
        <w:rPr>
          <w:sz w:val="28"/>
          <w:szCs w:val="28"/>
        </w:rPr>
        <w:instrText xml:space="preserve"> PAGEREF _Toc1959317177 \h </w:instrText>
      </w:r>
      <w:r>
        <w:rPr>
          <w:sz w:val="28"/>
          <w:szCs w:val="28"/>
        </w:rPr>
        <w:fldChar w:fldCharType="separate"/>
      </w:r>
      <w:r>
        <w:rPr>
          <w:sz w:val="28"/>
          <w:szCs w:val="28"/>
        </w:rPr>
        <w:t>37</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_Toc1774395696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第二节  防范应对国际经贸风险</w:t>
      </w:r>
      <w:r>
        <w:rPr>
          <w:sz w:val="28"/>
          <w:szCs w:val="28"/>
        </w:rPr>
        <w:tab/>
      </w:r>
      <w:r>
        <w:rPr>
          <w:sz w:val="28"/>
          <w:szCs w:val="28"/>
        </w:rPr>
        <w:fldChar w:fldCharType="begin"/>
      </w:r>
      <w:r>
        <w:rPr>
          <w:sz w:val="28"/>
          <w:szCs w:val="28"/>
        </w:rPr>
        <w:instrText xml:space="preserve"> PAGEREF _Toc1774395696 \h </w:instrText>
      </w:r>
      <w:r>
        <w:rPr>
          <w:sz w:val="28"/>
          <w:szCs w:val="28"/>
        </w:rPr>
        <w:fldChar w:fldCharType="separate"/>
      </w:r>
      <w:r>
        <w:rPr>
          <w:sz w:val="28"/>
          <w:szCs w:val="28"/>
        </w:rPr>
        <w:t>37</w:t>
      </w:r>
      <w:r>
        <w:rPr>
          <w:sz w:val="28"/>
          <w:szCs w:val="28"/>
        </w:rPr>
        <w:fldChar w:fldCharType="end"/>
      </w:r>
      <w:r>
        <w:rPr>
          <w:rFonts w:hint="eastAsia"/>
          <w:sz w:val="28"/>
          <w:szCs w:val="28"/>
          <w:lang w:val="en-US" w:eastAsia="zh-CN"/>
        </w:rPr>
        <w:fldChar w:fldCharType="end"/>
      </w:r>
    </w:p>
    <w:p>
      <w:pPr>
        <w:pStyle w:val="8"/>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_Toc2067734778 </w:instrText>
      </w:r>
      <w:r>
        <w:rPr>
          <w:rFonts w:hint="eastAsia"/>
          <w:sz w:val="28"/>
          <w:szCs w:val="28"/>
          <w:lang w:val="en-US" w:eastAsia="zh-CN"/>
        </w:rPr>
        <w:fldChar w:fldCharType="separate"/>
      </w:r>
      <w:r>
        <w:rPr>
          <w:rFonts w:hint="eastAsia" w:ascii="黑体" w:hAnsi="黑体" w:eastAsia="黑体" w:cs="黑体"/>
          <w:sz w:val="28"/>
          <w:szCs w:val="28"/>
          <w:highlight w:val="none"/>
          <w:lang w:val="en-US" w:eastAsia="zh-CN"/>
        </w:rPr>
        <w:t>第九章  保障措施</w:t>
      </w:r>
      <w:r>
        <w:rPr>
          <w:sz w:val="28"/>
          <w:szCs w:val="28"/>
        </w:rPr>
        <w:tab/>
      </w:r>
      <w:r>
        <w:rPr>
          <w:sz w:val="28"/>
          <w:szCs w:val="28"/>
        </w:rPr>
        <w:fldChar w:fldCharType="begin"/>
      </w:r>
      <w:r>
        <w:rPr>
          <w:sz w:val="28"/>
          <w:szCs w:val="28"/>
        </w:rPr>
        <w:instrText xml:space="preserve"> PAGEREF _Toc2067734778 \h </w:instrText>
      </w:r>
      <w:r>
        <w:rPr>
          <w:sz w:val="28"/>
          <w:szCs w:val="28"/>
        </w:rPr>
        <w:fldChar w:fldCharType="separate"/>
      </w:r>
      <w:r>
        <w:rPr>
          <w:sz w:val="28"/>
          <w:szCs w:val="28"/>
        </w:rPr>
        <w:t>38</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_Toc638482322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第一节  加强党对商务工作的全面领导</w:t>
      </w:r>
      <w:r>
        <w:rPr>
          <w:sz w:val="28"/>
          <w:szCs w:val="28"/>
        </w:rPr>
        <w:tab/>
      </w:r>
      <w:r>
        <w:rPr>
          <w:sz w:val="28"/>
          <w:szCs w:val="28"/>
        </w:rPr>
        <w:fldChar w:fldCharType="begin"/>
      </w:r>
      <w:r>
        <w:rPr>
          <w:sz w:val="28"/>
          <w:szCs w:val="28"/>
        </w:rPr>
        <w:instrText xml:space="preserve"> PAGEREF _Toc638482322 \h </w:instrText>
      </w:r>
      <w:r>
        <w:rPr>
          <w:sz w:val="28"/>
          <w:szCs w:val="28"/>
        </w:rPr>
        <w:fldChar w:fldCharType="separate"/>
      </w:r>
      <w:r>
        <w:rPr>
          <w:sz w:val="28"/>
          <w:szCs w:val="28"/>
        </w:rPr>
        <w:t>38</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_Toc1340163583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第二节  强化高素质商务人才队伍建设</w:t>
      </w:r>
      <w:r>
        <w:rPr>
          <w:sz w:val="28"/>
          <w:szCs w:val="28"/>
        </w:rPr>
        <w:tab/>
      </w:r>
      <w:r>
        <w:rPr>
          <w:sz w:val="28"/>
          <w:szCs w:val="28"/>
        </w:rPr>
        <w:fldChar w:fldCharType="begin"/>
      </w:r>
      <w:r>
        <w:rPr>
          <w:sz w:val="28"/>
          <w:szCs w:val="28"/>
        </w:rPr>
        <w:instrText xml:space="preserve"> PAGEREF _Toc1340163583 \h </w:instrText>
      </w:r>
      <w:r>
        <w:rPr>
          <w:sz w:val="28"/>
          <w:szCs w:val="28"/>
        </w:rPr>
        <w:fldChar w:fldCharType="separate"/>
      </w:r>
      <w:r>
        <w:rPr>
          <w:sz w:val="28"/>
          <w:szCs w:val="28"/>
        </w:rPr>
        <w:t>38</w:t>
      </w:r>
      <w:r>
        <w:rPr>
          <w:sz w:val="28"/>
          <w:szCs w:val="28"/>
        </w:rPr>
        <w:fldChar w:fldCharType="end"/>
      </w:r>
      <w:r>
        <w:rPr>
          <w:rFonts w:hint="eastAsia"/>
          <w:sz w:val="28"/>
          <w:szCs w:val="28"/>
          <w:lang w:val="en-US" w:eastAsia="zh-CN"/>
        </w:rPr>
        <w:fldChar w:fldCharType="end"/>
      </w:r>
    </w:p>
    <w:p>
      <w:pPr>
        <w:pStyle w:val="9"/>
        <w:tabs>
          <w:tab w:val="right" w:leader="dot" w:pos="8306"/>
        </w:tabs>
        <w:rPr>
          <w:sz w:val="28"/>
          <w:szCs w:val="28"/>
        </w:rPr>
      </w:pPr>
      <w:r>
        <w:rPr>
          <w:rFonts w:hint="eastAsia"/>
          <w:sz w:val="28"/>
          <w:szCs w:val="28"/>
          <w:lang w:val="en-US" w:eastAsia="zh-CN"/>
        </w:rPr>
        <w:fldChar w:fldCharType="begin"/>
      </w:r>
      <w:r>
        <w:rPr>
          <w:rFonts w:hint="eastAsia"/>
          <w:sz w:val="28"/>
          <w:szCs w:val="28"/>
          <w:lang w:val="en-US" w:eastAsia="zh-CN"/>
        </w:rPr>
        <w:instrText xml:space="preserve"> HYPERLINK \l _Toc389385004 </w:instrText>
      </w:r>
      <w:r>
        <w:rPr>
          <w:rFonts w:hint="eastAsia"/>
          <w:sz w:val="28"/>
          <w:szCs w:val="28"/>
          <w:lang w:val="en-US" w:eastAsia="zh-CN"/>
        </w:rPr>
        <w:fldChar w:fldCharType="separate"/>
      </w:r>
      <w:r>
        <w:rPr>
          <w:rFonts w:hint="eastAsia" w:ascii="楷体" w:hAnsi="楷体" w:eastAsia="楷体" w:cs="楷体"/>
          <w:bCs/>
          <w:spacing w:val="0"/>
          <w:kern w:val="10"/>
          <w:sz w:val="28"/>
          <w:szCs w:val="28"/>
          <w:highlight w:val="none"/>
          <w:lang w:val="en-US" w:eastAsia="zh-CN" w:bidi="ar-SA"/>
        </w:rPr>
        <w:t>第三节  健全规划运行机制</w:t>
      </w:r>
      <w:r>
        <w:rPr>
          <w:sz w:val="28"/>
          <w:szCs w:val="28"/>
        </w:rPr>
        <w:tab/>
      </w:r>
      <w:r>
        <w:rPr>
          <w:sz w:val="28"/>
          <w:szCs w:val="28"/>
        </w:rPr>
        <w:fldChar w:fldCharType="begin"/>
      </w:r>
      <w:r>
        <w:rPr>
          <w:sz w:val="28"/>
          <w:szCs w:val="28"/>
        </w:rPr>
        <w:instrText xml:space="preserve"> PAGEREF _Toc389385004 \h </w:instrText>
      </w:r>
      <w:r>
        <w:rPr>
          <w:sz w:val="28"/>
          <w:szCs w:val="28"/>
        </w:rPr>
        <w:fldChar w:fldCharType="separate"/>
      </w:r>
      <w:r>
        <w:rPr>
          <w:sz w:val="28"/>
          <w:szCs w:val="28"/>
        </w:rPr>
        <w:t>39</w:t>
      </w:r>
      <w:r>
        <w:rPr>
          <w:sz w:val="28"/>
          <w:szCs w:val="28"/>
        </w:rPr>
        <w:fldChar w:fldCharType="end"/>
      </w:r>
      <w:r>
        <w:rPr>
          <w:rFonts w:hint="eastAsia"/>
          <w:sz w:val="28"/>
          <w:szCs w:val="28"/>
          <w:lang w:val="en-US" w:eastAsia="zh-CN"/>
        </w:rPr>
        <w:fldChar w:fldCharType="end"/>
      </w:r>
    </w:p>
    <w:p>
      <w:pPr>
        <w:pStyle w:val="2"/>
        <w:rPr>
          <w:rFonts w:hint="eastAsia"/>
          <w:lang w:val="en-US" w:eastAsia="zh-CN"/>
        </w:rPr>
        <w:sectPr>
          <w:footerReference r:id="rId3" w:type="default"/>
          <w:pgSz w:w="11906" w:h="16838"/>
          <w:pgMar w:top="1440" w:right="1800" w:bottom="1440" w:left="1800" w:header="851" w:footer="1417" w:gutter="0"/>
          <w:pgNumType w:fmt="decimal" w:start="1"/>
          <w:cols w:space="720" w:num="1"/>
          <w:docGrid w:type="lines" w:linePitch="312" w:charSpace="0"/>
        </w:sectPr>
      </w:pPr>
      <w:r>
        <w:rPr>
          <w:rFonts w:hint="eastAsia"/>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仿宋_GB2312" w:hAnsi="仿宋_GB2312" w:eastAsia="仿宋_GB2312" w:cs="仿宋_GB2312"/>
          <w:color w:val="auto"/>
          <w:spacing w:val="-6"/>
          <w:kern w:val="10"/>
          <w:sz w:val="32"/>
          <w:szCs w:val="32"/>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仿宋_GB2312" w:hAnsi="仿宋_GB2312" w:eastAsia="仿宋_GB2312" w:cs="仿宋_GB2312"/>
          <w:color w:val="auto"/>
          <w:spacing w:val="-6"/>
          <w:kern w:val="10"/>
          <w:sz w:val="32"/>
          <w:szCs w:val="32"/>
          <w:highlight w:val="none"/>
          <w:u w:val="none"/>
          <w:lang w:val="en-US" w:eastAsia="zh-CN" w:bidi="ar-SA"/>
        </w:rPr>
      </w:pPr>
      <w:r>
        <w:rPr>
          <w:rFonts w:hint="eastAsia" w:ascii="仿宋_GB2312" w:hAnsi="仿宋_GB2312" w:eastAsia="仿宋_GB2312" w:cs="仿宋_GB2312"/>
          <w:color w:val="auto"/>
          <w:spacing w:val="-6"/>
          <w:kern w:val="10"/>
          <w:sz w:val="32"/>
          <w:szCs w:val="32"/>
          <w:u w:val="none"/>
          <w:lang w:val="en-US" w:eastAsia="zh-CN" w:bidi="ar-SA"/>
        </w:rPr>
        <w:t>“十四五”时期，汕头商务部门坚持以习近平新时代中国特色社会主义思想为指导，深入贯彻落实党的二十大和二十届历次全会精神，在市委、市政府的坚强领导下，坚持“贸”字当先，“工”字为本，以贸促工、以工兴</w:t>
      </w:r>
      <w:r>
        <w:rPr>
          <w:rFonts w:hint="eastAsia" w:ascii="仿宋_GB2312" w:hAnsi="仿宋_GB2312" w:eastAsia="仿宋_GB2312" w:cs="仿宋_GB2312"/>
          <w:color w:val="auto"/>
          <w:spacing w:val="-6"/>
          <w:kern w:val="10"/>
          <w:sz w:val="32"/>
          <w:szCs w:val="32"/>
          <w:highlight w:val="none"/>
          <w:u w:val="none"/>
          <w:lang w:val="en-US" w:eastAsia="zh-CN" w:bidi="ar-SA"/>
        </w:rPr>
        <w:t>贸、工商并举，走好“工业立市、产业强市”发展道路，不断</w:t>
      </w:r>
      <w:r>
        <w:rPr>
          <w:rFonts w:hint="eastAsia" w:ascii="Times New Roman" w:hAnsi="Times New Roman" w:eastAsia="仿宋_GB2312" w:cs="Times New Roman"/>
          <w:b w:val="0"/>
          <w:bCs w:val="0"/>
          <w:color w:val="auto"/>
          <w:spacing w:val="-6"/>
          <w:kern w:val="2"/>
          <w:sz w:val="32"/>
          <w:szCs w:val="32"/>
          <w:highlight w:val="none"/>
          <w:u w:val="none"/>
          <w:lang w:val="en-US" w:eastAsia="zh-CN" w:bidi="ar-SA"/>
        </w:rPr>
        <w:t>推动汕头</w:t>
      </w:r>
      <w:r>
        <w:rPr>
          <w:rFonts w:hint="eastAsia" w:ascii="仿宋_GB2312" w:hAnsi="仿宋_GB2312" w:eastAsia="仿宋_GB2312" w:cs="仿宋_GB2312"/>
          <w:color w:val="auto"/>
          <w:spacing w:val="-6"/>
          <w:kern w:val="10"/>
          <w:sz w:val="32"/>
          <w:szCs w:val="32"/>
          <w:highlight w:val="none"/>
          <w:u w:val="none"/>
          <w:lang w:val="en-US" w:eastAsia="zh-CN" w:bidi="ar-SA"/>
        </w:rPr>
        <w:t>商务经济高质量发展。</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黑体" w:hAnsi="黑体" w:eastAsia="黑体" w:cs="黑体"/>
          <w:color w:val="auto"/>
          <w:sz w:val="36"/>
          <w:szCs w:val="36"/>
          <w:highlight w:val="none"/>
          <w:u w:val="none"/>
          <w:lang w:val="en-US" w:eastAsia="zh-CN"/>
        </w:rPr>
      </w:pPr>
      <w:bookmarkStart w:id="0" w:name="_Toc1502255553"/>
      <w:r>
        <w:rPr>
          <w:rFonts w:hint="eastAsia" w:ascii="黑体" w:hAnsi="黑体" w:eastAsia="黑体" w:cs="黑体"/>
          <w:color w:val="auto"/>
          <w:sz w:val="36"/>
          <w:szCs w:val="36"/>
          <w:highlight w:val="none"/>
          <w:u w:val="none"/>
          <w:lang w:val="en-US" w:eastAsia="zh-CN"/>
        </w:rPr>
        <w:t>第一章  “十四五”发展成就</w:t>
      </w:r>
      <w:bookmarkEnd w:id="0"/>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drawing>
          <wp:anchor distT="0" distB="0" distL="114300" distR="114300" simplePos="0" relativeHeight="251662336" behindDoc="0" locked="0" layoutInCell="1" allowOverlap="1">
            <wp:simplePos x="0" y="0"/>
            <wp:positionH relativeFrom="column">
              <wp:posOffset>94615</wp:posOffset>
            </wp:positionH>
            <wp:positionV relativeFrom="page">
              <wp:posOffset>5435600</wp:posOffset>
            </wp:positionV>
            <wp:extent cx="5105400" cy="3352800"/>
            <wp:effectExtent l="4445" t="4445" r="14605" b="14605"/>
            <wp:wrapTopAndBottom/>
            <wp:docPr id="4"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楷体" w:hAnsi="楷体" w:eastAsia="楷体" w:cs="楷体"/>
          <w:b/>
          <w:bCs/>
          <w:color w:val="auto"/>
          <w:spacing w:val="0"/>
          <w:kern w:val="10"/>
          <w:sz w:val="32"/>
          <w:szCs w:val="32"/>
          <w:highlight w:val="none"/>
          <w:u w:val="none"/>
          <w:lang w:val="en-US" w:eastAsia="zh-CN" w:bidi="ar-SA"/>
        </w:rPr>
        <w:t>第一节 区域消费中心城市初步建成</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default" w:ascii="黑体" w:hAnsi="黑体" w:eastAsia="黑体" w:cs="黑体"/>
          <w:color w:val="auto"/>
          <w:sz w:val="36"/>
          <w:szCs w:val="36"/>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eastAsia="仿宋_GB2312" w:cs="Times New Roman"/>
          <w:b/>
          <w:bCs/>
          <w:color w:val="auto"/>
          <w:spacing w:val="0"/>
          <w:kern w:val="10"/>
          <w:sz w:val="32"/>
          <w:szCs w:val="32"/>
          <w:highlight w:val="none"/>
          <w:u w:val="none"/>
          <w:lang w:val="en-US" w:eastAsia="zh-CN" w:bidi="ar-SA"/>
        </w:rPr>
      </w:pPr>
      <w:r>
        <w:rPr>
          <w:rFonts w:hint="eastAsia" w:ascii="仿宋_GB2312" w:hAnsi="仿宋_GB2312" w:eastAsia="仿宋_GB2312" w:cs="仿宋_GB2312"/>
          <w:b/>
          <w:bCs/>
          <w:color w:val="auto"/>
          <w:spacing w:val="0"/>
          <w:kern w:val="10"/>
          <w:sz w:val="32"/>
          <w:szCs w:val="32"/>
          <w:highlight w:val="none"/>
          <w:u w:val="none"/>
          <w:lang w:val="en-US" w:eastAsia="zh-CN" w:bidi="ar-SA"/>
        </w:rPr>
        <w:t>消费活力不断释放。</w:t>
      </w:r>
      <w:r>
        <w:rPr>
          <w:rFonts w:hint="eastAsia" w:ascii="Times New Roman" w:hAnsi="Times New Roman" w:eastAsia="仿宋_GB2312" w:cs="Times New Roman"/>
          <w:color w:val="auto"/>
          <w:sz w:val="32"/>
          <w:u w:val="none"/>
          <w:lang w:val="en-US" w:eastAsia="zh-CN"/>
        </w:rPr>
        <w:t>“十四五”期间，</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汕头</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累计实现社会消费品零售总额7569.6亿元，年均增长</w:t>
      </w:r>
      <w:r>
        <w:rPr>
          <w:rFonts w:hint="eastAsia" w:eastAsia="仿宋_GB2312" w:cs="Times New Roman"/>
          <w:b w:val="0"/>
          <w:bCs w:val="0"/>
          <w:color w:val="auto"/>
          <w:spacing w:val="0"/>
          <w:kern w:val="10"/>
          <w:sz w:val="32"/>
          <w:szCs w:val="32"/>
          <w:highlight w:val="none"/>
          <w:u w:val="none"/>
          <w:lang w:val="en-US" w:eastAsia="zh-CN" w:bidi="ar-SA"/>
        </w:rPr>
        <w:t>1.3</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持续打造</w:t>
      </w:r>
      <w:r>
        <w:rPr>
          <w:rFonts w:hint="default" w:ascii="仿宋_GB2312" w:hAnsi="仿宋_GB2312" w:eastAsia="仿宋_GB2312" w:cs="仿宋_GB2312"/>
          <w:b w:val="0"/>
          <w:bCs w:val="0"/>
          <w:color w:val="auto"/>
          <w:spacing w:val="0"/>
          <w:kern w:val="10"/>
          <w:sz w:val="32"/>
          <w:szCs w:val="32"/>
          <w:highlight w:val="none"/>
          <w:u w:val="none"/>
          <w:lang w:eastAsia="zh-CN" w:bidi="ar-SA"/>
        </w:rPr>
        <w:t>“锦汕添花”</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促消费活动品牌，累计发放“汕头欢乐购”系列消费券</w:t>
      </w:r>
      <w:r>
        <w:rPr>
          <w:rFonts w:hint="eastAsia" w:eastAsia="仿宋_GB2312" w:cs="Times New Roman"/>
          <w:b w:val="0"/>
          <w:bCs w:val="0"/>
          <w:color w:val="auto"/>
          <w:spacing w:val="0"/>
          <w:kern w:val="10"/>
          <w:sz w:val="32"/>
          <w:szCs w:val="32"/>
          <w:highlight w:val="none"/>
          <w:u w:val="none"/>
          <w:lang w:val="en-US" w:eastAsia="zh-CN" w:bidi="ar-SA"/>
        </w:rPr>
        <w:t>6900</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万元，累计拉动消费超</w:t>
      </w:r>
      <w:r>
        <w:rPr>
          <w:rFonts w:hint="eastAsia" w:eastAsia="仿宋_GB2312" w:cs="Times New Roman"/>
          <w:b w:val="0"/>
          <w:bCs w:val="0"/>
          <w:color w:val="auto"/>
          <w:spacing w:val="0"/>
          <w:kern w:val="10"/>
          <w:sz w:val="32"/>
          <w:szCs w:val="32"/>
          <w:highlight w:val="none"/>
          <w:u w:val="none"/>
          <w:lang w:val="en-US" w:eastAsia="zh-CN" w:bidi="ar-SA"/>
        </w:rPr>
        <w:t>16.1</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亿</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元。用好用足“两新”政策促进大宗商品消费，消费品“以旧换新”</w:t>
      </w:r>
      <w:r>
        <w:rPr>
          <w:rFonts w:hint="eastAsia" w:eastAsia="仿宋_GB2312" w:cs="Times New Roman"/>
          <w:kern w:val="2"/>
          <w:sz w:val="32"/>
          <w:szCs w:val="24"/>
          <w:highlight w:val="none"/>
          <w:u w:val="none"/>
          <w:lang w:val="en-US" w:eastAsia="zh-CN" w:bidi="ar-SA"/>
        </w:rPr>
        <w:t>累计核销金额共7.7亿元，直接拉动消费70.9亿元。</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eastAsia="仿宋_GB2312" w:cs="Times New Roman"/>
          <w:b/>
          <w:bCs/>
          <w:color w:val="auto"/>
          <w:spacing w:val="0"/>
          <w:kern w:val="10"/>
          <w:sz w:val="32"/>
          <w:szCs w:val="32"/>
          <w:highlight w:val="none"/>
          <w:u w:val="none"/>
          <w:lang w:val="en-US" w:eastAsia="zh-CN" w:bidi="ar-SA"/>
        </w:rPr>
        <w:t>城市商圈体系基本形成。</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十四五”期间，汕头持续推进商圈建设，“长平路—时代广场”核心商圈和小公园特色步行街商圈人气愈发旺盛，龙眼南、珠江路等美食商圈及其他片区级商圈日臻成熟，全市商圈体量与密度领跑粤东。华润万象城、万象汇、领荟湾广场等一批商业综合体建成开业，万象城引进粤东首店、汕头首店超</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200</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个。华润万象城、小公园步行街入选省级示范特色步行街（商圈），“珠江路美食街”和“十一合艺术村美食街”获评“广东省粤菜美食街（城）”。</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Times New Roman" w:hAnsi="Times New Roman" w:eastAsia="仿宋_GB2312" w:cs="Times New Roman"/>
          <w:b w:val="0"/>
          <w:bCs w:val="0"/>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消费场景推陈出新。</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“十四五”期间，服博会、玩博会等大型展会和薛之谦、林忆莲等明星个人演唱会在汕头“轮番上演”，焰火晚会、马拉松等文旅体育活动连年举办，促进文商旅体融合发展，带动住宿和餐饮消费增长。</w:t>
      </w:r>
      <w:r>
        <w:rPr>
          <w:rFonts w:hint="eastAsia" w:eastAsia="仿宋_GB2312" w:cs="Times New Roman"/>
          <w:b w:val="0"/>
          <w:bCs w:val="0"/>
          <w:color w:val="auto"/>
          <w:spacing w:val="0"/>
          <w:kern w:val="10"/>
          <w:sz w:val="32"/>
          <w:szCs w:val="32"/>
          <w:highlight w:val="none"/>
          <w:u w:val="none"/>
          <w:lang w:val="en-US" w:eastAsia="zh-CN" w:bidi="ar-SA"/>
        </w:rPr>
        <w:t>“十四五”时期</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全市限额以上住宿业和餐饮业营业额</w:t>
      </w:r>
      <w:r>
        <w:rPr>
          <w:rFonts w:hint="eastAsia" w:eastAsia="仿宋_GB2312" w:cs="Times New Roman"/>
          <w:b w:val="0"/>
          <w:bCs w:val="0"/>
          <w:color w:val="auto"/>
          <w:spacing w:val="0"/>
          <w:kern w:val="10"/>
          <w:sz w:val="32"/>
          <w:szCs w:val="32"/>
          <w:highlight w:val="none"/>
          <w:u w:val="none"/>
          <w:lang w:val="en-US" w:eastAsia="zh-CN" w:bidi="ar-SA"/>
        </w:rPr>
        <w:t>累计180.4亿元</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，持续将文旅“流量”转化为商贸“留量”。</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“老字号”品牌</w:t>
      </w:r>
      <w:r>
        <w:rPr>
          <w:rFonts w:hint="eastAsia" w:eastAsia="仿宋_GB2312" w:cs="Times New Roman"/>
          <w:b/>
          <w:bCs/>
          <w:color w:val="auto"/>
          <w:spacing w:val="0"/>
          <w:kern w:val="10"/>
          <w:sz w:val="32"/>
          <w:szCs w:val="32"/>
          <w:highlight w:val="none"/>
          <w:u w:val="none"/>
          <w:lang w:val="en-US" w:eastAsia="zh-CN" w:bidi="ar-SA"/>
        </w:rPr>
        <w:t>效应增强</w:t>
      </w:r>
      <w:r>
        <w:rPr>
          <w:rFonts w:hint="eastAsia" w:ascii="Times New Roman" w:hAnsi="Times New Roman" w:eastAsia="仿宋_GB2312" w:cs="Times New Roman"/>
          <w:b/>
          <w:bCs/>
          <w:color w:val="auto"/>
          <w:spacing w:val="0"/>
          <w:kern w:val="10"/>
          <w:sz w:val="32"/>
          <w:szCs w:val="32"/>
          <w:highlight w:val="none"/>
          <w:u w:val="none"/>
          <w:lang w:val="en-US" w:eastAsia="zh-CN" w:bidi="ar-SA"/>
        </w:rPr>
        <w:t>。</w:t>
      </w:r>
      <w:r>
        <w:rPr>
          <w:rFonts w:hint="eastAsia" w:eastAsia="仿宋_GB2312" w:cs="Times New Roman"/>
          <w:b w:val="0"/>
          <w:bCs w:val="0"/>
          <w:color w:val="auto"/>
          <w:spacing w:val="0"/>
          <w:kern w:val="10"/>
          <w:sz w:val="32"/>
          <w:szCs w:val="32"/>
          <w:highlight w:val="none"/>
          <w:u w:val="none"/>
          <w:lang w:val="en-US" w:eastAsia="zh-CN" w:bidi="ar-SA"/>
        </w:rPr>
        <w:t>出台《汕头老字号认定管理</w:t>
      </w:r>
      <w:r>
        <w:drawing>
          <wp:anchor distT="0" distB="0" distL="114300" distR="114300" simplePos="0" relativeHeight="251659264" behindDoc="0" locked="0" layoutInCell="1" allowOverlap="1">
            <wp:simplePos x="0" y="0"/>
            <wp:positionH relativeFrom="column">
              <wp:posOffset>52705</wp:posOffset>
            </wp:positionH>
            <wp:positionV relativeFrom="page">
              <wp:posOffset>3238500</wp:posOffset>
            </wp:positionV>
            <wp:extent cx="5314950" cy="2724150"/>
            <wp:effectExtent l="4445" t="4445" r="14605" b="14605"/>
            <wp:wrapTopAndBottom/>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eastAsia="仿宋_GB2312" w:cs="Times New Roman"/>
          <w:b w:val="0"/>
          <w:bCs w:val="0"/>
          <w:color w:val="auto"/>
          <w:spacing w:val="0"/>
          <w:kern w:val="10"/>
          <w:sz w:val="32"/>
          <w:szCs w:val="32"/>
          <w:highlight w:val="none"/>
          <w:u w:val="none"/>
          <w:lang w:val="en-US" w:eastAsia="zh-CN" w:bidi="ar-SA"/>
        </w:rPr>
        <w:t>办法》，</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广东万年青制药股份有限公司入选“中华老字号”企业，老潮兴食品、万年青制药、张长合乐器等19家企业入选广东省商务厅</w:t>
      </w:r>
      <w:r>
        <w:rPr>
          <w:rFonts w:hint="eastAsia" w:eastAsia="仿宋_GB2312" w:cs="Times New Roman"/>
          <w:b w:val="0"/>
          <w:bCs w:val="0"/>
          <w:color w:val="auto"/>
          <w:spacing w:val="0"/>
          <w:kern w:val="10"/>
          <w:sz w:val="32"/>
          <w:szCs w:val="32"/>
          <w:highlight w:val="none"/>
          <w:u w:val="none"/>
          <w:lang w:val="en-US" w:eastAsia="zh-CN" w:bidi="ar-SA"/>
        </w:rPr>
        <w:t>首</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批“广东老字号”名单，进一步打响“汕头品牌”。</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rPr>
          <w:rFonts w:hint="eastAsia" w:ascii="楷体" w:hAnsi="楷体" w:eastAsia="楷体" w:cs="楷体"/>
          <w:b/>
          <w:bCs/>
          <w:color w:val="auto"/>
          <w:spacing w:val="0"/>
          <w:kern w:val="10"/>
          <w:sz w:val="32"/>
          <w:szCs w:val="32"/>
          <w:highlight w:val="none"/>
          <w:u w:val="none"/>
          <w:lang w:val="en-US" w:eastAsia="zh-CN" w:bidi="ar-SA"/>
        </w:rPr>
        <w:t>第二节 对外贸易质升量稳</w:t>
      </w:r>
    </w:p>
    <w:p>
      <w:pPr>
        <w:keepNext w:val="0"/>
        <w:keepLines w:val="0"/>
        <w:pageBreakBefore w:val="0"/>
        <w:widowControl w:val="0"/>
        <w:kinsoku/>
        <w:wordWrap/>
        <w:overflowPunct/>
        <w:topLinePunct w:val="0"/>
        <w:autoSpaceDE/>
        <w:autoSpaceDN/>
        <w:bidi w:val="0"/>
        <w:adjustRightInd/>
        <w:snapToGrid w:val="0"/>
        <w:spacing w:line="600" w:lineRule="exact"/>
        <w:ind w:firstLine="960" w:firstLineChars="300"/>
        <w:jc w:val="both"/>
        <w:textAlignment w:val="auto"/>
        <w:rPr>
          <w:rFonts w:hint="default" w:ascii="Times New Roman" w:hAnsi="Times New Roman" w:eastAsia="仿宋_GB2312" w:cs="Times New Roman"/>
          <w:b w:val="0"/>
          <w:bCs w:val="0"/>
          <w:color w:val="auto"/>
          <w:spacing w:val="0"/>
          <w:kern w:val="10"/>
          <w:sz w:val="32"/>
          <w:szCs w:val="32"/>
          <w:highlight w:val="none"/>
          <w:u w:val="none"/>
          <w:lang w:val="en-US" w:eastAsia="zh-CN" w:bidi="ar-SA"/>
        </w:rPr>
      </w:pPr>
      <w:r>
        <w:rPr>
          <w:rFonts w:hint="eastAsia" w:eastAsia="仿宋_GB2312" w:cs="Times New Roman"/>
          <w:b w:val="0"/>
          <w:bCs w:val="0"/>
          <w:color w:val="auto"/>
          <w:spacing w:val="0"/>
          <w:kern w:val="10"/>
          <w:sz w:val="32"/>
          <w:szCs w:val="32"/>
          <w:highlight w:val="none"/>
          <w:u w:val="none"/>
          <w:lang w:val="en-US" w:eastAsia="zh-CN" w:bidi="ar-SA"/>
        </w:rPr>
        <w:t>“十四五”期间</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，汕头市外贸进出口总额</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累计</w:t>
      </w:r>
      <w:r>
        <w:rPr>
          <w:rFonts w:hint="eastAsia" w:eastAsia="仿宋_GB2312" w:cs="Times New Roman"/>
          <w:b w:val="0"/>
          <w:bCs w:val="0"/>
          <w:color w:val="auto"/>
          <w:spacing w:val="0"/>
          <w:kern w:val="10"/>
          <w:sz w:val="32"/>
          <w:szCs w:val="32"/>
          <w:highlight w:val="none"/>
          <w:u w:val="none"/>
          <w:lang w:val="en-US" w:eastAsia="zh-CN" w:bidi="ar-SA"/>
        </w:rPr>
        <w:t>3245.7</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亿元</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，其中，出口累计</w:t>
      </w:r>
      <w:r>
        <w:rPr>
          <w:rFonts w:hint="eastAsia" w:eastAsia="仿宋_GB2312" w:cs="Times New Roman"/>
          <w:b w:val="0"/>
          <w:bCs w:val="0"/>
          <w:color w:val="auto"/>
          <w:spacing w:val="0"/>
          <w:kern w:val="10"/>
          <w:sz w:val="32"/>
          <w:szCs w:val="32"/>
          <w:highlight w:val="none"/>
          <w:u w:val="none"/>
          <w:lang w:val="en-US" w:eastAsia="zh-CN" w:bidi="ar-SA"/>
        </w:rPr>
        <w:t>2639.5</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亿元，进口累计</w:t>
      </w:r>
      <w:r>
        <w:rPr>
          <w:rFonts w:hint="eastAsia" w:eastAsia="仿宋_GB2312" w:cs="Times New Roman"/>
          <w:b w:val="0"/>
          <w:bCs w:val="0"/>
          <w:color w:val="auto"/>
          <w:spacing w:val="0"/>
          <w:kern w:val="10"/>
          <w:sz w:val="32"/>
          <w:szCs w:val="32"/>
          <w:highlight w:val="none"/>
          <w:u w:val="none"/>
          <w:lang w:val="en-US" w:eastAsia="zh-CN" w:bidi="ar-SA"/>
        </w:rPr>
        <w:t>606.2</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亿元。受前期疫情叠加国际贸易形势紧张影响，外贸进出口总额有所回落。</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eastAsia="仿宋_GB2312" w:cs="Times New Roman"/>
          <w:b/>
          <w:bCs/>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外贸结构不断</w:t>
      </w:r>
      <w:r>
        <w:rPr>
          <w:rFonts w:hint="eastAsia" w:eastAsia="仿宋_GB2312" w:cs="Times New Roman"/>
          <w:b/>
          <w:bCs/>
          <w:color w:val="auto"/>
          <w:spacing w:val="0"/>
          <w:kern w:val="10"/>
          <w:sz w:val="32"/>
          <w:szCs w:val="32"/>
          <w:highlight w:val="none"/>
          <w:u w:val="none"/>
          <w:lang w:val="en-US" w:eastAsia="zh-CN" w:bidi="ar-SA"/>
        </w:rPr>
        <w:t>优化</w:t>
      </w:r>
      <w:r>
        <w:rPr>
          <w:rFonts w:hint="eastAsia" w:ascii="Times New Roman" w:hAnsi="Times New Roman" w:eastAsia="仿宋_GB2312" w:cs="Times New Roman"/>
          <w:b/>
          <w:bCs/>
          <w:color w:val="auto"/>
          <w:spacing w:val="0"/>
          <w:kern w:val="10"/>
          <w:sz w:val="32"/>
          <w:szCs w:val="32"/>
          <w:highlight w:val="none"/>
          <w:u w:val="none"/>
          <w:lang w:val="en-US" w:eastAsia="zh-CN" w:bidi="ar-SA"/>
        </w:rPr>
        <w:t>。</w:t>
      </w:r>
      <w:r>
        <w:rPr>
          <w:rFonts w:hint="eastAsia" w:ascii="Times New Roman" w:hAnsi="Times New Roman" w:eastAsia="仿宋_GB2312" w:cs="Times New Roman"/>
          <w:color w:val="auto"/>
          <w:sz w:val="32"/>
          <w:u w:val="none"/>
          <w:lang w:val="en-US" w:eastAsia="zh-CN"/>
        </w:rPr>
        <w:t>“十四五”期间，汕头市外贸发展结构不断优化。从贸易方式来看，贸易方式</w:t>
      </w:r>
      <w:r>
        <w:rPr>
          <w:rFonts w:hint="eastAsia" w:eastAsia="仿宋_GB2312" w:cs="Times New Roman"/>
          <w:color w:val="auto"/>
          <w:sz w:val="32"/>
          <w:u w:val="none"/>
          <w:lang w:val="en-US" w:eastAsia="zh-CN"/>
        </w:rPr>
        <w:t>保持</w:t>
      </w:r>
      <w:r>
        <w:rPr>
          <w:rFonts w:hint="eastAsia" w:ascii="Times New Roman" w:hAnsi="Times New Roman" w:eastAsia="仿宋_GB2312" w:cs="Times New Roman"/>
          <w:color w:val="auto"/>
          <w:sz w:val="32"/>
          <w:u w:val="none"/>
          <w:lang w:val="en-US" w:eastAsia="zh-CN"/>
        </w:rPr>
        <w:t>传统单一型</w:t>
      </w:r>
      <w:r>
        <w:rPr>
          <w:rFonts w:hint="eastAsia" w:eastAsia="仿宋_GB2312" w:cs="Times New Roman"/>
          <w:color w:val="auto"/>
          <w:sz w:val="32"/>
          <w:u w:val="none"/>
          <w:lang w:val="en-US" w:eastAsia="zh-CN"/>
        </w:rPr>
        <w:t>结构</w:t>
      </w:r>
      <w:r>
        <w:rPr>
          <w:rFonts w:hint="eastAsia" w:ascii="Times New Roman" w:hAnsi="Times New Roman" w:eastAsia="仿宋_GB2312" w:cs="Times New Roman"/>
          <w:color w:val="auto"/>
          <w:sz w:val="32"/>
          <w:u w:val="none"/>
          <w:lang w:val="en-US" w:eastAsia="zh-CN"/>
        </w:rPr>
        <w:t>，一般贸易进出口占比达80%以上；外贸新业态快速崛起，市场采购实现从无到有的突破，“十四五”期间</w:t>
      </w:r>
      <w:r>
        <w:rPr>
          <w:rFonts w:hint="default" w:ascii="Times New Roman" w:hAnsi="Times New Roman" w:eastAsia="仿宋_GB2312" w:cs="Times New Roman"/>
          <w:color w:val="auto"/>
          <w:sz w:val="32"/>
          <w:u w:val="none"/>
          <w:lang w:val="en-US" w:eastAsia="zh-CN"/>
        </w:rPr>
        <w:t>市场采购出口额累计超</w:t>
      </w:r>
      <w:r>
        <w:rPr>
          <w:rFonts w:hint="eastAsia" w:eastAsia="仿宋_GB2312" w:cs="Times New Roman"/>
          <w:color w:val="auto"/>
          <w:sz w:val="32"/>
          <w:u w:val="none"/>
          <w:lang w:val="en-US" w:eastAsia="zh-CN"/>
        </w:rPr>
        <w:t>152</w:t>
      </w:r>
      <w:r>
        <w:rPr>
          <w:rFonts w:hint="default" w:ascii="Times New Roman" w:hAnsi="Times New Roman" w:eastAsia="仿宋_GB2312" w:cs="Times New Roman"/>
          <w:color w:val="auto"/>
          <w:sz w:val="32"/>
          <w:u w:val="none"/>
          <w:lang w:val="en-US" w:eastAsia="zh-CN"/>
        </w:rPr>
        <w:t>亿元</w:t>
      </w:r>
      <w:r>
        <w:rPr>
          <w:rFonts w:hint="eastAsia" w:ascii="Times New Roman" w:hAnsi="Times New Roman" w:eastAsia="仿宋_GB2312" w:cs="Times New Roman"/>
          <w:color w:val="auto"/>
          <w:sz w:val="32"/>
          <w:u w:val="none"/>
          <w:lang w:val="en-US" w:eastAsia="zh-CN"/>
        </w:rPr>
        <w:t>，成为外贸增长新动能。从产品结构来看，产品结构多元化升级，玩具、纺织服装等传统产业加快品牌化、智能化转型，电子元器件、高端化工材料等中间品出口稳步提升。从外贸市场结构来看，在深耕欧美传统市场的同时，紧抓 RCEP 实施机遇拓展东盟等新兴市场，欧盟、东盟已超越美国成为我市前两大出口地区，外贸抗风险能力大幅提升。</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Times New Roman" w:hAnsi="Times New Roman" w:eastAsia="仿宋_GB2312" w:cs="Times New Roman"/>
          <w:color w:val="auto"/>
          <w:sz w:val="32"/>
          <w:u w:val="none"/>
          <w:lang w:val="en-US" w:eastAsia="zh-CN"/>
        </w:rPr>
      </w:pPr>
      <w:r>
        <w:rPr>
          <w:rFonts w:hint="eastAsia" w:eastAsia="仿宋_GB2312" w:cs="Times New Roman"/>
          <w:b/>
          <w:bCs/>
          <w:color w:val="auto"/>
          <w:spacing w:val="0"/>
          <w:kern w:val="10"/>
          <w:sz w:val="32"/>
          <w:szCs w:val="32"/>
          <w:highlight w:val="none"/>
          <w:u w:val="none"/>
          <w:lang w:val="en-US" w:eastAsia="zh-CN" w:bidi="ar-SA"/>
        </w:rPr>
        <w:t>外贸企业“扬帆出海”。</w:t>
      </w:r>
      <w:r>
        <w:rPr>
          <w:rFonts w:hint="eastAsia" w:ascii="Times New Roman" w:hAnsi="Times New Roman" w:eastAsia="仿宋_GB2312" w:cs="Times New Roman"/>
          <w:color w:val="auto"/>
          <w:sz w:val="32"/>
          <w:u w:val="none"/>
          <w:lang w:val="en-US" w:eastAsia="zh-CN"/>
        </w:rPr>
        <w:t>“十四五”期间，</w:t>
      </w:r>
      <w:r>
        <w:rPr>
          <w:rFonts w:hint="default" w:ascii="Times New Roman" w:hAnsi="Times New Roman" w:eastAsia="仿宋_GB2312" w:cs="Times New Roman"/>
          <w:color w:val="auto"/>
          <w:sz w:val="32"/>
          <w:u w:val="none"/>
          <w:lang w:val="en-US" w:eastAsia="zh-CN"/>
        </w:rPr>
        <w:t>开展</w:t>
      </w:r>
      <w:r>
        <w:rPr>
          <w:rFonts w:hint="eastAsia" w:ascii="仿宋_GB2312" w:hAnsi="仿宋_GB2312" w:eastAsia="仿宋_GB2312" w:cs="仿宋_GB2312"/>
          <w:color w:val="auto"/>
          <w:sz w:val="32"/>
          <w:u w:val="none"/>
          <w:lang w:val="en-US" w:eastAsia="zh-CN"/>
        </w:rPr>
        <w:t>“百团千企出海抢订单”</w:t>
      </w:r>
      <w:r>
        <w:rPr>
          <w:rFonts w:hint="default" w:ascii="Times New Roman" w:hAnsi="Times New Roman" w:eastAsia="仿宋_GB2312" w:cs="Times New Roman"/>
          <w:color w:val="auto"/>
          <w:sz w:val="32"/>
          <w:u w:val="none"/>
          <w:lang w:val="en-US" w:eastAsia="zh-CN"/>
        </w:rPr>
        <w:t>行动，组织疫情后全国规模最大、全省首个境外</w:t>
      </w:r>
      <w:r>
        <w:rPr>
          <w:rFonts w:hint="eastAsia" w:ascii="仿宋_GB2312" w:hAnsi="仿宋_GB2312" w:eastAsia="仿宋_GB2312" w:cs="仿宋_GB2312"/>
          <w:color w:val="auto"/>
          <w:sz w:val="32"/>
          <w:u w:val="none"/>
          <w:lang w:val="en-US" w:eastAsia="zh-CN"/>
        </w:rPr>
        <w:t>“百企千人”参</w:t>
      </w:r>
      <w:r>
        <w:rPr>
          <w:rFonts w:hint="default" w:ascii="Times New Roman" w:hAnsi="Times New Roman" w:eastAsia="仿宋_GB2312" w:cs="Times New Roman"/>
          <w:color w:val="auto"/>
          <w:sz w:val="32"/>
          <w:u w:val="none"/>
          <w:lang w:val="en-US" w:eastAsia="zh-CN"/>
        </w:rPr>
        <w:t>展团赴港开展经贸活动，获中央、省级等主流媒体高度关注。组织企业参加广交会、进博会、华交会等重点国际展会</w:t>
      </w:r>
      <w:r>
        <w:rPr>
          <w:rFonts w:hint="eastAsia" w:ascii="Times New Roman" w:hAnsi="Times New Roman" w:eastAsia="仿宋_GB2312" w:cs="Times New Roman"/>
          <w:color w:val="auto"/>
          <w:sz w:val="32"/>
          <w:u w:val="none"/>
          <w:lang w:val="en-US" w:eastAsia="zh-CN"/>
        </w:rPr>
        <w:t>，</w:t>
      </w:r>
      <w:r>
        <w:rPr>
          <w:rFonts w:hint="eastAsia" w:ascii="仿宋_GB2312" w:hAnsi="仿宋_GB2312" w:eastAsia="仿宋_GB2312" w:cs="仿宋_GB2312"/>
          <w:color w:val="auto"/>
          <w:sz w:val="32"/>
          <w:u w:val="none"/>
          <w:lang w:val="en-US" w:eastAsia="zh-CN"/>
        </w:rPr>
        <w:t>“十四五”期</w:t>
      </w:r>
      <w:r>
        <w:rPr>
          <w:rFonts w:hint="default" w:ascii="Times New Roman" w:hAnsi="Times New Roman" w:eastAsia="仿宋_GB2312" w:cs="Times New Roman"/>
          <w:color w:val="auto"/>
          <w:sz w:val="32"/>
          <w:u w:val="none"/>
          <w:lang w:val="en-US" w:eastAsia="zh-CN"/>
        </w:rPr>
        <w:t>间</w:t>
      </w:r>
      <w:r>
        <w:rPr>
          <w:rFonts w:hint="eastAsia" w:ascii="Times New Roman" w:hAnsi="Times New Roman" w:eastAsia="仿宋_GB2312" w:cs="Times New Roman"/>
          <w:color w:val="auto"/>
          <w:sz w:val="32"/>
          <w:u w:val="none"/>
          <w:lang w:val="en-US" w:eastAsia="zh-CN"/>
        </w:rPr>
        <w:t>，</w:t>
      </w:r>
      <w:r>
        <w:rPr>
          <w:rFonts w:hint="default" w:ascii="Times New Roman" w:hAnsi="Times New Roman" w:eastAsia="仿宋_GB2312" w:cs="Times New Roman"/>
          <w:color w:val="auto"/>
          <w:sz w:val="32"/>
          <w:u w:val="none"/>
          <w:lang w:val="en-US" w:eastAsia="zh-CN"/>
        </w:rPr>
        <w:t>广交会汕头分团参展企业</w:t>
      </w:r>
      <w:r>
        <w:rPr>
          <w:rFonts w:hint="eastAsia" w:ascii="Times New Roman" w:hAnsi="Times New Roman" w:eastAsia="仿宋_GB2312" w:cs="Times New Roman"/>
          <w:color w:val="auto"/>
          <w:sz w:val="32"/>
          <w:u w:val="none"/>
          <w:lang w:val="en-US" w:eastAsia="zh-CN"/>
        </w:rPr>
        <w:t>数及</w:t>
      </w:r>
      <w:r>
        <w:rPr>
          <w:rFonts w:hint="default" w:ascii="Times New Roman" w:hAnsi="Times New Roman" w:eastAsia="仿宋_GB2312" w:cs="Times New Roman"/>
          <w:color w:val="auto"/>
          <w:sz w:val="32"/>
          <w:u w:val="none"/>
          <w:lang w:val="en-US" w:eastAsia="zh-CN"/>
        </w:rPr>
        <w:t>意向成交总额稳中有进，玩具展区展位数连续</w:t>
      </w:r>
      <w:r>
        <w:rPr>
          <w:rFonts w:hint="eastAsia" w:eastAsia="仿宋_GB2312" w:cs="Times New Roman"/>
          <w:color w:val="auto"/>
          <w:sz w:val="32"/>
          <w:u w:val="none"/>
          <w:lang w:val="en-US" w:eastAsia="zh-CN"/>
        </w:rPr>
        <w:t>5</w:t>
      </w:r>
      <w:r>
        <w:rPr>
          <w:rFonts w:hint="default" w:ascii="Times New Roman" w:hAnsi="Times New Roman" w:eastAsia="仿宋_GB2312" w:cs="Times New Roman"/>
          <w:color w:val="auto"/>
          <w:sz w:val="32"/>
          <w:u w:val="none"/>
          <w:lang w:val="en-US" w:eastAsia="zh-CN"/>
        </w:rPr>
        <w:t>届位居全国第二，玩具品牌展位数居全国第一</w:t>
      </w:r>
      <w:r>
        <w:rPr>
          <w:rFonts w:hint="eastAsia" w:ascii="Times New Roman" w:hAnsi="Times New Roman" w:eastAsia="仿宋_GB2312" w:cs="Times New Roman"/>
          <w:color w:val="auto"/>
          <w:sz w:val="32"/>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Times New Roman" w:hAnsi="Times New Roman" w:eastAsia="仿宋_GB2312" w:cs="Times New Roman"/>
          <w:b w:val="0"/>
          <w:bCs w:val="0"/>
          <w:color w:val="auto"/>
          <w:sz w:val="32"/>
          <w:szCs w:val="32"/>
          <w:highlight w:val="none"/>
          <w:u w:val="none"/>
          <w:lang w:eastAsia="zh-CN"/>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服务贸易</w:t>
      </w:r>
      <w:r>
        <w:rPr>
          <w:rFonts w:hint="eastAsia" w:eastAsia="仿宋_GB2312" w:cs="Times New Roman"/>
          <w:b/>
          <w:bCs/>
          <w:color w:val="auto"/>
          <w:spacing w:val="0"/>
          <w:kern w:val="10"/>
          <w:sz w:val="32"/>
          <w:szCs w:val="32"/>
          <w:highlight w:val="none"/>
          <w:u w:val="none"/>
          <w:lang w:val="en-US" w:eastAsia="zh-CN" w:bidi="ar-SA"/>
        </w:rPr>
        <w:t>稳健前行。</w:t>
      </w:r>
      <w:r>
        <w:rPr>
          <w:rFonts w:hint="eastAsia" w:eastAsia="仿宋_GB2312" w:cs="Times New Roman"/>
          <w:color w:val="auto"/>
          <w:sz w:val="32"/>
          <w:u w:val="none"/>
          <w:lang w:val="en-US" w:eastAsia="zh-CN"/>
        </w:rPr>
        <w:t>“</w:t>
      </w:r>
      <w:r>
        <w:rPr>
          <w:rFonts w:hint="eastAsia" w:ascii="Times New Roman" w:hAnsi="Times New Roman" w:eastAsia="仿宋_GB2312" w:cs="Times New Roman"/>
          <w:color w:val="auto"/>
          <w:sz w:val="32"/>
          <w:u w:val="none"/>
          <w:lang w:val="en-US" w:eastAsia="zh-CN"/>
        </w:rPr>
        <w:t>十四五</w:t>
      </w:r>
      <w:r>
        <w:rPr>
          <w:rFonts w:hint="eastAsia" w:eastAsia="仿宋_GB2312" w:cs="Times New Roman"/>
          <w:color w:val="auto"/>
          <w:sz w:val="32"/>
          <w:u w:val="none"/>
          <w:lang w:val="en-US" w:eastAsia="zh-CN"/>
        </w:rPr>
        <w:t>”</w:t>
      </w:r>
      <w:r>
        <w:rPr>
          <w:rFonts w:hint="eastAsia" w:ascii="Times New Roman" w:hAnsi="Times New Roman" w:eastAsia="仿宋_GB2312" w:cs="Times New Roman"/>
          <w:color w:val="auto"/>
          <w:sz w:val="32"/>
          <w:u w:val="none"/>
          <w:lang w:val="en-US" w:eastAsia="zh-CN"/>
        </w:rPr>
        <w:t>期间，汕头服务外包合同签约总额累计约3.7亿美元，执行总额累计约1.48亿美元。其中，汕头技术进出口总额共1394.59万美元</w:t>
      </w:r>
      <w:r>
        <w:rPr>
          <w:rFonts w:hint="eastAsia" w:eastAsia="仿宋_GB2312" w:cs="Times New Roman"/>
          <w:color w:val="auto"/>
          <w:sz w:val="32"/>
          <w:u w:val="none"/>
          <w:lang w:val="en-US" w:eastAsia="zh-CN"/>
        </w:rPr>
        <w:t>，</w:t>
      </w:r>
      <w:r>
        <w:rPr>
          <w:rFonts w:hint="eastAsia" w:ascii="Times New Roman" w:hAnsi="Times New Roman" w:eastAsia="仿宋_GB2312" w:cs="Times New Roman"/>
          <w:color w:val="auto"/>
          <w:sz w:val="32"/>
          <w:u w:val="none"/>
          <w:lang w:val="en-US" w:eastAsia="zh-CN"/>
        </w:rPr>
        <w:t>登记技术和进口设备合同共60份，合同金额共计1319.28万美元；登记技术出口合同共16份，合同金额共计265.09万美元。</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Times New Roman" w:hAnsi="Times New Roman" w:eastAsia="仿宋_GB2312" w:cs="Times New Roman"/>
          <w:color w:val="auto"/>
          <w:kern w:val="2"/>
          <w:sz w:val="32"/>
          <w:szCs w:val="32"/>
          <w:u w:val="none"/>
          <w:lang w:val="en-US" w:eastAsia="zh-CN" w:bidi="ar-SA"/>
        </w:rPr>
      </w:pPr>
      <w:r>
        <w:rPr>
          <w:rFonts w:hint="default" w:ascii="Times New Roman" w:hAnsi="Times New Roman" w:eastAsia="仿宋_GB2312" w:cs="Times New Roman"/>
          <w:b/>
          <w:bCs/>
          <w:color w:val="auto"/>
          <w:spacing w:val="0"/>
          <w:kern w:val="10"/>
          <w:sz w:val="32"/>
          <w:szCs w:val="32"/>
          <w:highlight w:val="none"/>
          <w:u w:val="none"/>
          <w:lang w:val="en-US" w:eastAsia="zh-CN" w:bidi="ar-SA"/>
        </w:rPr>
        <w:t>外贸转型升级基地</w:t>
      </w:r>
      <w:r>
        <w:rPr>
          <w:rFonts w:hint="eastAsia" w:ascii="Times New Roman" w:hAnsi="Times New Roman" w:eastAsia="仿宋_GB2312" w:cs="Times New Roman"/>
          <w:b/>
          <w:bCs/>
          <w:color w:val="auto"/>
          <w:spacing w:val="0"/>
          <w:kern w:val="10"/>
          <w:sz w:val="32"/>
          <w:szCs w:val="32"/>
          <w:highlight w:val="none"/>
          <w:u w:val="none"/>
          <w:lang w:val="en-US" w:eastAsia="zh-CN" w:bidi="ar-SA"/>
        </w:rPr>
        <w:t>高质量发展。</w:t>
      </w:r>
      <w:r>
        <w:rPr>
          <w:rFonts w:hint="eastAsia" w:ascii="仿宋_GB2312" w:hAnsi="仿宋_GB2312" w:eastAsia="仿宋_GB2312" w:cs="仿宋_GB2312"/>
          <w:color w:val="auto"/>
          <w:kern w:val="2"/>
          <w:sz w:val="32"/>
          <w:szCs w:val="32"/>
          <w:u w:val="none"/>
          <w:lang w:val="en-US" w:eastAsia="zh-CN" w:bidi="ar-SA"/>
        </w:rPr>
        <w:t>“十四五”期间，汕头大力</w:t>
      </w:r>
      <w:r>
        <w:rPr>
          <w:rFonts w:hint="default" w:ascii="仿宋_GB2312" w:hAnsi="仿宋_GB2312" w:eastAsia="仿宋_GB2312" w:cs="仿宋_GB2312"/>
          <w:color w:val="auto"/>
          <w:kern w:val="2"/>
          <w:sz w:val="32"/>
          <w:szCs w:val="32"/>
          <w:u w:val="none"/>
          <w:lang w:val="en-US" w:eastAsia="zh-CN" w:bidi="ar-SA"/>
        </w:rPr>
        <w:t>支持外</w:t>
      </w:r>
      <w:r>
        <w:rPr>
          <w:rFonts w:hint="default" w:ascii="Times New Roman" w:hAnsi="Times New Roman" w:eastAsia="仿宋_GB2312" w:cs="Times New Roman"/>
          <w:color w:val="auto"/>
          <w:kern w:val="2"/>
          <w:sz w:val="32"/>
          <w:szCs w:val="32"/>
          <w:u w:val="none"/>
          <w:lang w:val="en-US" w:eastAsia="zh-CN" w:bidi="ar-SA"/>
        </w:rPr>
        <w:t>贸企业加大自主品牌建设力度，</w:t>
      </w:r>
      <w:r>
        <w:rPr>
          <w:rFonts w:hint="eastAsia" w:ascii="Times New Roman" w:hAnsi="Times New Roman" w:eastAsia="仿宋_GB2312" w:cs="Times New Roman"/>
          <w:color w:val="auto"/>
          <w:kern w:val="2"/>
          <w:sz w:val="32"/>
          <w:szCs w:val="32"/>
          <w:u w:val="none"/>
          <w:lang w:val="en-US" w:eastAsia="zh-CN" w:bidi="ar-SA"/>
        </w:rPr>
        <w:t>提升产业集群化发展水平。目前，汕头拥有国家级外贸基地1个，省级外贸基地4个，初步形成玩具、纺织服装、水产品、轻工装备、光机电产业集群创新发展的新格局。</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rPr>
          <w:rFonts w:hint="eastAsia" w:ascii="楷体" w:hAnsi="楷体" w:eastAsia="楷体" w:cs="楷体"/>
          <w:b/>
          <w:bCs/>
          <w:color w:val="auto"/>
          <w:spacing w:val="0"/>
          <w:kern w:val="10"/>
          <w:sz w:val="32"/>
          <w:szCs w:val="32"/>
          <w:highlight w:val="none"/>
          <w:u w:val="none"/>
          <w:lang w:val="en-US" w:eastAsia="zh-CN" w:bidi="ar-SA"/>
        </w:rPr>
        <w:t>第三节  跨境电商综试区成效明显</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sz w:val="32"/>
          <w:u w:val="none"/>
          <w:lang w:val="en-US" w:eastAsia="zh-CN"/>
        </w:rPr>
        <w:t>“十四五”期间，</w:t>
      </w:r>
      <w:r>
        <w:rPr>
          <w:rFonts w:hint="eastAsia" w:ascii="Times New Roman" w:hAnsi="Times New Roman" w:eastAsia="仿宋_GB2312" w:cs="Times New Roman"/>
          <w:b w:val="0"/>
          <w:bCs w:val="0"/>
          <w:color w:val="auto"/>
          <w:kern w:val="2"/>
          <w:sz w:val="32"/>
          <w:szCs w:val="32"/>
          <w:u w:val="none"/>
          <w:lang w:val="en-US" w:eastAsia="zh-CN" w:bidi="ar-SA"/>
        </w:rPr>
        <w:t>汕头</w:t>
      </w:r>
      <w:r>
        <w:rPr>
          <w:rFonts w:hint="default" w:ascii="Times New Roman" w:hAnsi="Times New Roman" w:eastAsia="仿宋_GB2312" w:cs="Times New Roman"/>
          <w:b w:val="0"/>
          <w:bCs w:val="0"/>
          <w:color w:val="auto"/>
          <w:kern w:val="2"/>
          <w:sz w:val="32"/>
          <w:szCs w:val="32"/>
          <w:u w:val="none"/>
          <w:lang w:val="en-US" w:eastAsia="zh-CN" w:bidi="ar-SA"/>
        </w:rPr>
        <w:t>累计完成跨境电商进出口额653.39亿元</w:t>
      </w:r>
      <w:r>
        <w:rPr>
          <w:rFonts w:hint="eastAsia" w:ascii="Times New Roman" w:hAnsi="Times New Roman" w:eastAsia="仿宋_GB2312" w:cs="Times New Roman"/>
          <w:b w:val="0"/>
          <w:bCs w:val="0"/>
          <w:color w:val="auto"/>
          <w:kern w:val="2"/>
          <w:sz w:val="32"/>
          <w:szCs w:val="32"/>
          <w:u w:val="none"/>
          <w:lang w:val="en-US" w:eastAsia="zh-CN" w:bidi="ar-SA"/>
        </w:rPr>
        <w:t>，</w:t>
      </w:r>
      <w:r>
        <w:rPr>
          <w:rFonts w:hint="eastAsia" w:ascii="Times New Roman" w:hAnsi="Times New Roman" w:eastAsia="仿宋_GB2312" w:cs="Times New Roman"/>
          <w:color w:val="auto"/>
          <w:kern w:val="2"/>
          <w:sz w:val="32"/>
          <w:szCs w:val="32"/>
          <w:u w:val="none"/>
          <w:lang w:val="en-US" w:eastAsia="zh-CN" w:bidi="ar-SA"/>
        </w:rPr>
        <w:t>汕头跨境电商综试区连续三年获评全国“成效较好”</w:t>
      </w:r>
      <w:r>
        <w:rPr>
          <w:rFonts w:hint="eastAsia" w:eastAsia="仿宋_GB2312" w:cs="Times New Roman"/>
          <w:color w:val="auto"/>
          <w:kern w:val="2"/>
          <w:sz w:val="32"/>
          <w:szCs w:val="32"/>
          <w:u w:val="none"/>
          <w:lang w:val="en-US" w:eastAsia="zh-CN" w:bidi="ar-SA"/>
        </w:rPr>
        <w:t>考核</w:t>
      </w:r>
      <w:r>
        <w:rPr>
          <w:rFonts w:hint="eastAsia" w:ascii="Times New Roman" w:hAnsi="Times New Roman" w:eastAsia="仿宋_GB2312" w:cs="Times New Roman"/>
          <w:color w:val="auto"/>
          <w:kern w:val="2"/>
          <w:sz w:val="32"/>
          <w:szCs w:val="32"/>
          <w:u w:val="none"/>
          <w:lang w:val="en-US" w:eastAsia="zh-CN" w:bidi="ar-SA"/>
        </w:rPr>
        <w:t>等次。起草出台全省第一个、全国第二个跨境电商促进条例《汕头经济特区跨境电子商务促进条例》。</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eastAsia="仿宋_GB2312" w:cs="Times New Roman"/>
          <w:b/>
          <w:bCs/>
          <w:color w:val="auto"/>
          <w:spacing w:val="0"/>
          <w:kern w:val="10"/>
          <w:sz w:val="32"/>
          <w:szCs w:val="32"/>
          <w:highlight w:val="none"/>
          <w:u w:val="none"/>
          <w:lang w:val="en-US" w:eastAsia="zh-CN" w:bidi="ar-SA"/>
        </w:rPr>
        <w:t>电商</w:t>
      </w:r>
      <w:r>
        <w:rPr>
          <w:rFonts w:hint="default" w:eastAsia="仿宋_GB2312" w:cs="Times New Roman"/>
          <w:b/>
          <w:bCs/>
          <w:color w:val="auto"/>
          <w:spacing w:val="0"/>
          <w:kern w:val="10"/>
          <w:sz w:val="32"/>
          <w:szCs w:val="32"/>
          <w:highlight w:val="none"/>
          <w:u w:val="none"/>
          <w:lang w:val="en-US" w:eastAsia="zh-CN" w:bidi="ar-SA"/>
        </w:rPr>
        <w:t>平台体系不断健全</w:t>
      </w:r>
      <w:r>
        <w:rPr>
          <w:rFonts w:hint="eastAsia" w:eastAsia="仿宋_GB2312" w:cs="Times New Roman"/>
          <w:b/>
          <w:bCs/>
          <w:color w:val="auto"/>
          <w:spacing w:val="0"/>
          <w:kern w:val="10"/>
          <w:sz w:val="32"/>
          <w:szCs w:val="32"/>
          <w:highlight w:val="none"/>
          <w:u w:val="none"/>
          <w:lang w:val="en-US" w:eastAsia="zh-CN" w:bidi="ar-SA"/>
        </w:rPr>
        <w:t>。</w:t>
      </w:r>
      <w:r>
        <w:rPr>
          <w:rFonts w:hint="eastAsia" w:ascii="Times New Roman" w:hAnsi="Times New Roman" w:eastAsia="仿宋_GB2312" w:cs="Times New Roman"/>
          <w:color w:val="auto"/>
          <w:kern w:val="2"/>
          <w:sz w:val="32"/>
          <w:szCs w:val="32"/>
          <w:u w:val="none"/>
          <w:lang w:val="en-US" w:eastAsia="zh-CN" w:bidi="ar-SA"/>
        </w:rPr>
        <w:t>实现“1210”“9610”“9710”“9810”跨境电商业务模式全覆盖，建成汕头综保区保税物流中心、澄海宝奥城、汕头（濠江）象屿跨境电商产业园，打造“一区多园”的跨境电子商务园区服务体系。</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跨境电商业态创新发展。</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在粤东西北首创“前展后仓”模式，以“跨境电商+保税展示”模式，引进新生活前店后仓、启呈惠氏O2O、京东自履约跨境云仓等项目。阿里巴巴</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1688</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全国首个玩具选品中心、首个跨境选品中心、</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SHEIN</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（汕头）选品中心和阿里国际站汕头玩具选品中心先后落地，潮汕电商直播中心、圆通速递广东（汕头）智创园开工建设。</w:t>
      </w:r>
      <w:r>
        <w:rPr>
          <w:rFonts w:hint="eastAsia" w:ascii="仿宋_GB2312" w:hAnsi="仿宋_GB2312" w:eastAsia="仿宋_GB2312" w:cs="仿宋_GB2312"/>
          <w:color w:val="auto"/>
          <w:kern w:val="10"/>
          <w:sz w:val="32"/>
          <w:szCs w:val="32"/>
          <w:highlight w:val="none"/>
        </w:rPr>
        <w:t>澄海玩具创意产业带入选全省“跨境电商＋产业带”首批试点</w:t>
      </w:r>
      <w:r>
        <w:rPr>
          <w:rFonts w:hint="eastAsia" w:ascii="仿宋_GB2312" w:hAnsi="仿宋_GB2312" w:eastAsia="仿宋_GB2312" w:cs="仿宋_GB2312"/>
          <w:color w:val="auto"/>
          <w:kern w:val="1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Times New Roman" w:eastAsia="仿宋_GB2312" w:cs="Times New Roman"/>
          <w:b w:val="0"/>
          <w:bCs w:val="0"/>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农村电商促消费增动能。</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“十四五”期间，依托县域特色，打造龙湖外砂、潮阳和平等一批电商小镇，</w:t>
      </w:r>
      <w:r>
        <w:rPr>
          <w:rFonts w:hint="eastAsia" w:ascii="仿宋_GB2312" w:hAnsi="仿宋_GB2312" w:eastAsia="仿宋_GB2312" w:cs="仿宋_GB2312"/>
          <w:color w:val="auto"/>
          <w:kern w:val="2"/>
          <w:sz w:val="32"/>
          <w:szCs w:val="32"/>
          <w:u w:val="none"/>
          <w:lang w:val="en-US" w:eastAsia="zh-CN" w:bidi="ar-SA"/>
        </w:rPr>
        <w:t>举办</w:t>
      </w:r>
      <w:r>
        <w:rPr>
          <w:rFonts w:hint="eastAsia" w:ascii="仿宋_GB2312" w:hAnsi="Times New Roman" w:eastAsia="仿宋_GB2312" w:cs="Times New Roman"/>
          <w:b w:val="0"/>
          <w:bCs w:val="0"/>
          <w:color w:val="auto"/>
          <w:spacing w:val="0"/>
          <w:kern w:val="10"/>
          <w:sz w:val="32"/>
          <w:szCs w:val="32"/>
          <w:highlight w:val="none"/>
          <w:u w:val="none"/>
          <w:lang w:val="en-US" w:eastAsia="zh-CN" w:bidi="ar-SA"/>
        </w:rPr>
        <w:t>“汕头美食电商节”</w:t>
      </w:r>
      <w:r>
        <w:rPr>
          <w:rFonts w:hint="eastAsia" w:ascii="仿宋_GB2312" w:eastAsia="仿宋_GB2312" w:cs="Times New Roman"/>
          <w:b w:val="0"/>
          <w:bCs w:val="0"/>
          <w:color w:val="auto"/>
          <w:spacing w:val="0"/>
          <w:kern w:val="10"/>
          <w:sz w:val="32"/>
          <w:szCs w:val="32"/>
          <w:highlight w:val="none"/>
          <w:u w:val="none"/>
          <w:lang w:val="en-US" w:eastAsia="zh-CN" w:bidi="ar-SA"/>
        </w:rPr>
        <w:t>“全国网上年货节”</w:t>
      </w:r>
      <w:r>
        <w:rPr>
          <w:rFonts w:hint="eastAsia" w:ascii="仿宋_GB2312" w:hAnsi="Times New Roman" w:eastAsia="仿宋_GB2312" w:cs="Times New Roman"/>
          <w:b w:val="0"/>
          <w:bCs w:val="0"/>
          <w:color w:val="auto"/>
          <w:spacing w:val="0"/>
          <w:kern w:val="10"/>
          <w:sz w:val="32"/>
          <w:szCs w:val="32"/>
          <w:highlight w:val="none"/>
          <w:u w:val="none"/>
          <w:lang w:val="en-US" w:eastAsia="zh-CN" w:bidi="ar-SA"/>
        </w:rPr>
        <w:t>“汕头</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719</w:t>
      </w:r>
      <w:r>
        <w:rPr>
          <w:rFonts w:hint="eastAsia" w:ascii="仿宋_GB2312" w:hAnsi="Times New Roman" w:eastAsia="仿宋_GB2312" w:cs="Times New Roman"/>
          <w:b w:val="0"/>
          <w:bCs w:val="0"/>
          <w:color w:val="auto"/>
          <w:spacing w:val="0"/>
          <w:kern w:val="10"/>
          <w:sz w:val="32"/>
          <w:szCs w:val="32"/>
          <w:highlight w:val="none"/>
          <w:u w:val="none"/>
          <w:lang w:val="en-US" w:eastAsia="zh-CN" w:bidi="ar-SA"/>
        </w:rPr>
        <w:t>电商节”“</w:t>
      </w:r>
      <w:r>
        <w:rPr>
          <w:rFonts w:hint="eastAsia" w:ascii="仿宋_GB2312" w:eastAsia="仿宋_GB2312" w:cs="Times New Roman"/>
          <w:b w:val="0"/>
          <w:bCs w:val="0"/>
          <w:color w:val="auto"/>
          <w:spacing w:val="0"/>
          <w:kern w:val="10"/>
          <w:sz w:val="32"/>
          <w:szCs w:val="32"/>
          <w:highlight w:val="none"/>
          <w:u w:val="none"/>
          <w:lang w:val="en-US" w:eastAsia="zh-CN" w:bidi="ar-SA"/>
        </w:rPr>
        <w:t>心动汕头</w:t>
      </w:r>
      <w:r>
        <w:rPr>
          <w:rFonts w:hint="eastAsia" w:ascii="仿宋_GB2312" w:hAnsi="Times New Roman" w:eastAsia="仿宋_GB2312" w:cs="Times New Roman"/>
          <w:b w:val="0"/>
          <w:bCs w:val="0"/>
          <w:color w:val="auto"/>
          <w:spacing w:val="0"/>
          <w:kern w:val="10"/>
          <w:sz w:val="32"/>
          <w:szCs w:val="32"/>
          <w:highlight w:val="none"/>
          <w:u w:val="none"/>
          <w:lang w:val="en-US" w:eastAsia="zh-CN" w:bidi="ar-SA"/>
        </w:rPr>
        <w:t>”</w:t>
      </w:r>
      <w:r>
        <w:rPr>
          <w:rFonts w:hint="eastAsia" w:ascii="仿宋_GB2312" w:hAnsi="仿宋_GB2312" w:eastAsia="仿宋_GB2312" w:cs="仿宋_GB2312"/>
          <w:b w:val="0"/>
          <w:bCs w:val="0"/>
          <w:color w:val="auto"/>
          <w:kern w:val="2"/>
          <w:sz w:val="32"/>
          <w:szCs w:val="32"/>
          <w:u w:val="none"/>
          <w:lang w:val="en-US" w:eastAsia="zh-CN" w:bidi="ar-SA"/>
        </w:rPr>
        <w:t>等</w:t>
      </w:r>
      <w:r>
        <w:rPr>
          <w:rFonts w:hint="default" w:ascii="Times New Roman" w:hAnsi="Times New Roman" w:eastAsia="仿宋_GB2312" w:cs="Times New Roman"/>
          <w:b w:val="0"/>
          <w:bCs w:val="0"/>
          <w:color w:val="auto"/>
          <w:kern w:val="2"/>
          <w:sz w:val="32"/>
          <w:szCs w:val="32"/>
          <w:u w:val="none"/>
          <w:lang w:val="en-US" w:eastAsia="zh-CN" w:bidi="ar-SA"/>
        </w:rPr>
        <w:t>特色活动，带动</w:t>
      </w:r>
      <w:r>
        <w:rPr>
          <w:rFonts w:hint="eastAsia" w:ascii="仿宋_GB2312" w:hAnsi="仿宋_GB2312" w:eastAsia="仿宋_GB2312" w:cs="仿宋_GB2312"/>
          <w:b w:val="0"/>
          <w:bCs w:val="0"/>
          <w:color w:val="auto"/>
          <w:kern w:val="2"/>
          <w:sz w:val="32"/>
          <w:szCs w:val="32"/>
          <w:u w:val="none"/>
          <w:lang w:val="en-US" w:eastAsia="zh-CN" w:bidi="ar-SA"/>
        </w:rPr>
        <w:t>“汕货”闯出</w:t>
      </w:r>
      <w:r>
        <w:rPr>
          <w:rFonts w:hint="default" w:ascii="Times New Roman" w:hAnsi="Times New Roman" w:eastAsia="仿宋_GB2312" w:cs="Times New Roman"/>
          <w:b w:val="0"/>
          <w:bCs w:val="0"/>
          <w:color w:val="auto"/>
          <w:kern w:val="2"/>
          <w:sz w:val="32"/>
          <w:szCs w:val="32"/>
          <w:u w:val="none"/>
          <w:lang w:val="en-US" w:eastAsia="zh-CN" w:bidi="ar-SA"/>
        </w:rPr>
        <w:t>大市场。</w:t>
      </w:r>
      <w:r>
        <w:rPr>
          <w:rFonts w:hint="eastAsia" w:ascii="仿宋_GB2312" w:hAnsi="Times New Roman" w:eastAsia="仿宋_GB2312" w:cs="Times New Roman"/>
          <w:b w:val="0"/>
          <w:bCs w:val="0"/>
          <w:color w:val="auto"/>
          <w:spacing w:val="0"/>
          <w:kern w:val="10"/>
          <w:sz w:val="32"/>
          <w:szCs w:val="32"/>
          <w:highlight w:val="none"/>
          <w:u w:val="none"/>
          <w:lang w:val="en-US" w:eastAsia="zh-CN" w:bidi="ar-SA"/>
        </w:rPr>
        <w:t>全市网络零售</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额</w:t>
      </w:r>
      <w:r>
        <w:rPr>
          <w:rFonts w:hint="eastAsia" w:ascii="仿宋_GB2312" w:hAnsi="Times New Roman" w:eastAsia="仿宋_GB2312" w:cs="Times New Roman"/>
          <w:b w:val="0"/>
          <w:bCs w:val="0"/>
          <w:color w:val="auto"/>
          <w:spacing w:val="0"/>
          <w:kern w:val="10"/>
          <w:sz w:val="32"/>
          <w:szCs w:val="32"/>
          <w:highlight w:val="none"/>
          <w:u w:val="none"/>
          <w:lang w:val="en-US" w:eastAsia="zh-CN" w:bidi="ar-SA"/>
        </w:rPr>
        <w:t>累计</w:t>
      </w:r>
      <w:r>
        <w:rPr>
          <w:rFonts w:hint="eastAsia" w:eastAsia="仿宋_GB2312" w:cs="Times New Roman"/>
          <w:b w:val="0"/>
          <w:bCs w:val="0"/>
          <w:color w:val="auto"/>
          <w:spacing w:val="0"/>
          <w:kern w:val="10"/>
          <w:sz w:val="32"/>
          <w:szCs w:val="32"/>
          <w:highlight w:val="none"/>
          <w:u w:val="none"/>
          <w:lang w:val="en-US" w:eastAsia="zh-CN" w:bidi="ar-SA"/>
        </w:rPr>
        <w:t>3272.1</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亿元，年均增长</w:t>
      </w:r>
      <w:r>
        <w:rPr>
          <w:rFonts w:hint="eastAsia" w:eastAsia="仿宋_GB2312" w:cs="Times New Roman"/>
          <w:b w:val="0"/>
          <w:bCs w:val="0"/>
          <w:color w:val="auto"/>
          <w:spacing w:val="0"/>
          <w:kern w:val="10"/>
          <w:sz w:val="32"/>
          <w:szCs w:val="32"/>
          <w:highlight w:val="none"/>
          <w:u w:val="none"/>
          <w:lang w:val="en-US" w:eastAsia="zh-CN" w:bidi="ar-SA"/>
        </w:rPr>
        <w:t>7.7</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w:t>
      </w:r>
      <w:r>
        <w:rPr>
          <w:rFonts w:hint="eastAsia" w:ascii="仿宋_GB2312" w:hAnsi="Times New Roman" w:eastAsia="仿宋_GB2312" w:cs="Times New Roman"/>
          <w:b w:val="0"/>
          <w:bCs w:val="0"/>
          <w:color w:val="auto"/>
          <w:spacing w:val="0"/>
          <w:kern w:val="1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lang w:val="en-US" w:eastAsia="zh-CN"/>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drawing>
          <wp:anchor distT="0" distB="0" distL="114300" distR="114300" simplePos="0" relativeHeight="251660288" behindDoc="0" locked="0" layoutInCell="1" allowOverlap="1">
            <wp:simplePos x="0" y="0"/>
            <wp:positionH relativeFrom="column">
              <wp:posOffset>-40005</wp:posOffset>
            </wp:positionH>
            <wp:positionV relativeFrom="page">
              <wp:posOffset>2997835</wp:posOffset>
            </wp:positionV>
            <wp:extent cx="5257800" cy="2552700"/>
            <wp:effectExtent l="4445" t="4445" r="14605" b="14605"/>
            <wp:wrapTopAndBottom/>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Times New Roman"/>
          <w:b/>
          <w:bCs/>
          <w:color w:val="auto"/>
          <w:spacing w:val="0"/>
          <w:kern w:val="10"/>
          <w:sz w:val="32"/>
          <w:szCs w:val="32"/>
          <w:highlight w:val="none"/>
          <w:u w:val="none"/>
          <w:lang w:val="en-US" w:eastAsia="zh-CN" w:bidi="ar-SA"/>
        </w:rPr>
        <w:t>电商助力内外贸一体化发展。</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举办跨境电商展会、选品会、资源对接会、培训会等活动，打造汇聚“汕头制造”优质制造商、跨境电商卖家、跨境电商全生态服务链的合作交流平台，引导企业利用跨境电商新业态开拓海外市场。</w:t>
      </w:r>
      <w:r>
        <w:rPr>
          <w:rFonts w:hint="eastAsia" w:eastAsia="仿宋_GB2312" w:cs="Times New Roman"/>
          <w:b w:val="0"/>
          <w:bCs w:val="0"/>
          <w:color w:val="auto"/>
          <w:spacing w:val="0"/>
          <w:kern w:val="10"/>
          <w:sz w:val="32"/>
          <w:szCs w:val="32"/>
          <w:highlight w:val="none"/>
          <w:u w:val="none"/>
          <w:lang w:val="en-US" w:eastAsia="zh-CN" w:bidi="ar-SA"/>
        </w:rPr>
        <w:t>“十四五”期间</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，全市累计开展线上线下联合营销、产业对接、选品会、政策推广等活动超</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200</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场。</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rPr>
          <w:rFonts w:hint="eastAsia" w:ascii="楷体" w:hAnsi="楷体" w:eastAsia="楷体" w:cs="楷体"/>
          <w:b/>
          <w:bCs/>
          <w:color w:val="auto"/>
          <w:spacing w:val="0"/>
          <w:kern w:val="10"/>
          <w:sz w:val="32"/>
          <w:szCs w:val="32"/>
          <w:highlight w:val="none"/>
          <w:u w:val="none"/>
          <w:lang w:val="en-US" w:eastAsia="zh-CN" w:bidi="ar-SA"/>
        </w:rPr>
        <w:t>第四节 利用外资质效提升</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仿宋_GB2312" w:cs="Times New Roman"/>
          <w:b/>
          <w:bCs/>
          <w:color w:val="auto"/>
          <w:spacing w:val="0"/>
          <w:kern w:val="10"/>
          <w:sz w:val="32"/>
          <w:szCs w:val="32"/>
          <w:highlight w:val="none"/>
          <w:u w:val="none"/>
          <w:lang w:val="en-US" w:eastAsia="zh-CN" w:bidi="ar-SA"/>
        </w:rPr>
      </w:pPr>
      <w:r>
        <w:rPr>
          <w:rFonts w:hint="eastAsia" w:ascii="Times New Roman" w:hAnsi="Times New Roman" w:eastAsia="仿宋_GB2312" w:cs="Times New Roman"/>
          <w:b w:val="0"/>
          <w:bCs w:val="0"/>
          <w:color w:val="auto"/>
          <w:kern w:val="2"/>
          <w:sz w:val="32"/>
          <w:szCs w:val="32"/>
          <w:u w:val="none"/>
          <w:lang w:val="en-US" w:eastAsia="zh-CN" w:bidi="ar-SA"/>
        </w:rPr>
        <w:t>“十四五”期间，</w:t>
      </w:r>
      <w:r>
        <w:rPr>
          <w:rFonts w:hint="eastAsia" w:ascii="Times New Roman" w:hAnsi="Times New Roman" w:eastAsia="仿宋_GB2312" w:cs="Times New Roman"/>
          <w:color w:val="auto"/>
          <w:kern w:val="2"/>
          <w:sz w:val="32"/>
          <w:szCs w:val="32"/>
          <w:u w:val="none"/>
          <w:lang w:val="en-US" w:eastAsia="zh-CN" w:bidi="ar-SA"/>
        </w:rPr>
        <w:t>全市实际利用外资超31亿元，年均增长43.3%，新增外资企业302个，其中投资金额超500万美元的项目共31个。</w:t>
      </w:r>
    </w:p>
    <w:p>
      <w:pPr>
        <w:keepNext w:val="0"/>
        <w:keepLines w:val="0"/>
        <w:pageBreakBefore w:val="0"/>
        <w:widowControl w:val="0"/>
        <w:kinsoku/>
        <w:wordWrap/>
        <w:overflowPunct/>
        <w:topLinePunct w:val="0"/>
        <w:autoSpaceDE/>
        <w:autoSpaceDN/>
        <w:bidi w:val="0"/>
        <w:snapToGrid w:val="0"/>
        <w:spacing w:line="600" w:lineRule="exact"/>
        <w:ind w:firstLine="643" w:firstLineChars="200"/>
        <w:jc w:val="both"/>
        <w:textAlignment w:val="auto"/>
        <w:rPr>
          <w:rFonts w:hint="eastAsia" w:ascii="Times New Roman" w:hAnsi="Times New Roman" w:eastAsia="仿宋_GB2312" w:cs="Times New Roman"/>
          <w:b/>
          <w:bCs/>
          <w:color w:val="auto"/>
          <w:kern w:val="2"/>
          <w:sz w:val="32"/>
          <w:szCs w:val="32"/>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drawing>
          <wp:anchor distT="0" distB="0" distL="114300" distR="114300" simplePos="0" relativeHeight="251664384" behindDoc="0" locked="0" layoutInCell="1" allowOverlap="1">
            <wp:simplePos x="0" y="0"/>
            <wp:positionH relativeFrom="column">
              <wp:posOffset>-22225</wp:posOffset>
            </wp:positionH>
            <wp:positionV relativeFrom="page">
              <wp:posOffset>1318895</wp:posOffset>
            </wp:positionV>
            <wp:extent cx="5181600" cy="2838450"/>
            <wp:effectExtent l="4445" t="4445" r="14605" b="14605"/>
            <wp:wrapTopAndBottom/>
            <wp:docPr id="5"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Times New Roman"/>
          <w:b/>
          <w:bCs/>
          <w:color w:val="auto"/>
          <w:kern w:val="2"/>
          <w:sz w:val="32"/>
          <w:szCs w:val="32"/>
          <w:u w:val="none"/>
          <w:lang w:val="en-US" w:eastAsia="zh-CN" w:bidi="ar-SA"/>
        </w:rPr>
        <w:t>“大招商、招大商”成效明显。</w:t>
      </w:r>
    </w:p>
    <w:p>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default" w:ascii="Times New Roman" w:hAnsi="Times New Roman" w:eastAsia="仿宋_GB2312" w:cs="Times New Roman"/>
          <w:color w:val="auto"/>
          <w:kern w:val="2"/>
          <w:sz w:val="32"/>
          <w:szCs w:val="32"/>
          <w:u w:val="none"/>
          <w:lang w:val="en-US" w:eastAsia="zh-CN" w:bidi="ar-SA"/>
        </w:rPr>
        <w:t>世界500强</w:t>
      </w:r>
      <w:r>
        <w:rPr>
          <w:rFonts w:hint="eastAsia" w:eastAsia="仿宋_GB2312" w:cs="Times New Roman"/>
          <w:color w:val="auto"/>
          <w:kern w:val="2"/>
          <w:sz w:val="32"/>
          <w:szCs w:val="32"/>
          <w:u w:val="none"/>
          <w:lang w:val="en-US" w:eastAsia="zh-CN" w:bidi="ar-SA"/>
        </w:rPr>
        <w:t>企业</w:t>
      </w:r>
      <w:r>
        <w:rPr>
          <w:rFonts w:hint="default" w:ascii="Times New Roman" w:hAnsi="Times New Roman" w:eastAsia="仿宋_GB2312" w:cs="Times New Roman"/>
          <w:color w:val="auto"/>
          <w:kern w:val="2"/>
          <w:sz w:val="32"/>
          <w:szCs w:val="32"/>
          <w:u w:val="none"/>
          <w:lang w:val="en-US" w:eastAsia="zh-CN" w:bidi="ar-SA"/>
        </w:rPr>
        <w:t>韩国SK集团化工项目</w:t>
      </w:r>
      <w:r>
        <w:rPr>
          <w:rFonts w:hint="eastAsia" w:ascii="Times New Roman" w:hAnsi="Times New Roman" w:eastAsia="仿宋_GB2312" w:cs="Times New Roman"/>
          <w:color w:val="auto"/>
          <w:kern w:val="2"/>
          <w:sz w:val="32"/>
          <w:szCs w:val="32"/>
          <w:u w:val="none"/>
          <w:lang w:val="en-US" w:eastAsia="zh-CN" w:bidi="ar-SA"/>
        </w:rPr>
        <w:t>、</w:t>
      </w:r>
      <w:r>
        <w:rPr>
          <w:rFonts w:hint="default" w:ascii="Times New Roman" w:hAnsi="Times New Roman" w:eastAsia="仿宋_GB2312" w:cs="Times New Roman"/>
          <w:color w:val="auto"/>
          <w:kern w:val="2"/>
          <w:sz w:val="32"/>
          <w:szCs w:val="32"/>
          <w:u w:val="none"/>
          <w:lang w:val="en-US" w:eastAsia="zh-CN" w:bidi="ar-SA"/>
        </w:rPr>
        <w:t>汕头国际风电创新港协同创新基础设施项目</w:t>
      </w:r>
      <w:r>
        <w:rPr>
          <w:rFonts w:hint="eastAsia" w:ascii="Times New Roman" w:hAnsi="Times New Roman" w:eastAsia="仿宋_GB2312" w:cs="Times New Roman"/>
          <w:color w:val="auto"/>
          <w:kern w:val="2"/>
          <w:sz w:val="32"/>
          <w:szCs w:val="32"/>
          <w:u w:val="none"/>
          <w:lang w:val="en-US" w:eastAsia="zh-CN" w:bidi="ar-SA"/>
        </w:rPr>
        <w:t>等一批重点项目</w:t>
      </w:r>
      <w:r>
        <w:rPr>
          <w:rFonts w:hint="default" w:ascii="Times New Roman" w:hAnsi="Times New Roman" w:eastAsia="仿宋_GB2312" w:cs="Times New Roman"/>
          <w:color w:val="auto"/>
          <w:kern w:val="2"/>
          <w:sz w:val="32"/>
          <w:szCs w:val="32"/>
          <w:u w:val="none"/>
          <w:lang w:val="en-US" w:eastAsia="zh-CN" w:bidi="ar-SA"/>
        </w:rPr>
        <w:t>落地，汕头国际海上风电产业链配套项目、立讯全球电子信息产业中心基地等重点外资项目稳步推进。</w:t>
      </w:r>
      <w:r>
        <w:rPr>
          <w:rFonts w:hint="eastAsia" w:ascii="Times New Roman" w:hAnsi="Times New Roman" w:eastAsia="仿宋_GB2312" w:cs="Times New Roman"/>
          <w:color w:val="auto"/>
          <w:kern w:val="2"/>
          <w:sz w:val="32"/>
          <w:szCs w:val="32"/>
          <w:u w:val="none"/>
          <w:lang w:val="en-US" w:eastAsia="zh-CN" w:bidi="ar-SA"/>
        </w:rPr>
        <w:t>2025年</w:t>
      </w:r>
      <w:r>
        <w:rPr>
          <w:rFonts w:hint="eastAsia" w:ascii="Times New Roman" w:hAnsi="Times New Roman" w:eastAsia="仿宋_GB2312" w:cs="Times New Roman"/>
          <w:sz w:val="32"/>
          <w:szCs w:val="32"/>
          <w:highlight w:val="none"/>
          <w:u w:val="none"/>
          <w:lang w:eastAsia="zh-CN"/>
        </w:rPr>
        <w:t>获评全省“优秀招商地市”，并获得省商务厅投资促进工作奖励资金。</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外商投资环境持续优化。</w:t>
      </w:r>
      <w:r>
        <w:rPr>
          <w:rFonts w:hint="eastAsia" w:ascii="仿宋_GB2312" w:hAnsi="仿宋_GB2312" w:eastAsia="仿宋_GB2312" w:cs="仿宋_GB2312"/>
          <w:color w:val="auto"/>
          <w:kern w:val="2"/>
          <w:sz w:val="32"/>
          <w:szCs w:val="32"/>
          <w:u w:val="none"/>
          <w:lang w:val="en-US" w:eastAsia="zh-CN" w:bidi="ar-SA"/>
        </w:rPr>
        <w:t>全面实施外商投资准入前国民待遇加负面清单管理制度，及时清理取消未纳入负面清单的限制措施，外商投资负面清单限制措施</w:t>
      </w:r>
      <w:r>
        <w:rPr>
          <w:rFonts w:hint="eastAsia" w:ascii="Times New Roman" w:hAnsi="Times New Roman" w:eastAsia="仿宋_GB2312" w:cs="Times New Roman"/>
          <w:color w:val="auto"/>
          <w:spacing w:val="0"/>
          <w:kern w:val="10"/>
          <w:sz w:val="32"/>
          <w:szCs w:val="24"/>
          <w:highlight w:val="none"/>
          <w:u w:val="none"/>
          <w:lang w:val="en-US" w:eastAsia="zh-CN" w:bidi="ar-SA"/>
        </w:rPr>
        <w:t>由</w:t>
      </w:r>
      <w:r>
        <w:rPr>
          <w:rFonts w:hint="eastAsia" w:eastAsia="仿宋_GB2312" w:cs="Times New Roman"/>
          <w:color w:val="auto"/>
          <w:spacing w:val="0"/>
          <w:kern w:val="10"/>
          <w:sz w:val="32"/>
          <w:szCs w:val="24"/>
          <w:highlight w:val="none"/>
          <w:u w:val="none"/>
          <w:lang w:val="en-US" w:eastAsia="zh-CN" w:bidi="ar-SA"/>
        </w:rPr>
        <w:t>33</w:t>
      </w:r>
      <w:r>
        <w:rPr>
          <w:rFonts w:hint="eastAsia" w:ascii="Times New Roman" w:hAnsi="Times New Roman" w:eastAsia="仿宋_GB2312" w:cs="Times New Roman"/>
          <w:color w:val="auto"/>
          <w:spacing w:val="0"/>
          <w:kern w:val="10"/>
          <w:sz w:val="32"/>
          <w:szCs w:val="24"/>
          <w:highlight w:val="none"/>
          <w:u w:val="none"/>
          <w:lang w:val="en-US" w:eastAsia="zh-CN" w:bidi="ar-SA"/>
        </w:rPr>
        <w:t>项减少到29项，压减</w:t>
      </w:r>
      <w:r>
        <w:rPr>
          <w:rFonts w:hint="eastAsia" w:eastAsia="仿宋_GB2312" w:cs="Times New Roman"/>
          <w:color w:val="auto"/>
          <w:spacing w:val="0"/>
          <w:kern w:val="10"/>
          <w:sz w:val="32"/>
          <w:szCs w:val="24"/>
          <w:highlight w:val="none"/>
          <w:u w:val="none"/>
          <w:lang w:val="en-US" w:eastAsia="zh-CN" w:bidi="ar-SA"/>
        </w:rPr>
        <w:t>12.1</w:t>
      </w:r>
      <w:r>
        <w:rPr>
          <w:rFonts w:hint="eastAsia" w:ascii="Times New Roman" w:hAnsi="Times New Roman" w:eastAsia="仿宋_GB2312" w:cs="Times New Roman"/>
          <w:color w:val="auto"/>
          <w:spacing w:val="0"/>
          <w:kern w:val="10"/>
          <w:sz w:val="32"/>
          <w:szCs w:val="24"/>
          <w:highlight w:val="none"/>
          <w:u w:val="none"/>
          <w:lang w:val="en-US" w:eastAsia="zh-CN" w:bidi="ar-SA"/>
        </w:rPr>
        <w:t>%，制</w:t>
      </w:r>
      <w:r>
        <w:rPr>
          <w:rFonts w:hint="eastAsia" w:ascii="仿宋_GB2312" w:hAnsi="仿宋_GB2312" w:eastAsia="仿宋_GB2312" w:cs="仿宋_GB2312"/>
          <w:color w:val="auto"/>
          <w:kern w:val="2"/>
          <w:sz w:val="32"/>
          <w:szCs w:val="32"/>
          <w:u w:val="none"/>
          <w:lang w:val="en-US" w:eastAsia="zh-CN" w:bidi="ar-SA"/>
        </w:rPr>
        <w:t>造业领域外资准入限制措施实现“清零”。</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Times New Roman" w:hAnsi="Times New Roman" w:eastAsia="仿宋_GB2312" w:cs="Times New Roman"/>
          <w:color w:val="auto"/>
          <w:kern w:val="2"/>
          <w:sz w:val="32"/>
          <w:szCs w:val="32"/>
          <w:u w:val="none"/>
          <w:lang w:val="en-US" w:eastAsia="zh-CN" w:bidi="ar-SA"/>
        </w:rPr>
      </w:pPr>
      <w:r>
        <w:rPr>
          <w:rFonts w:hint="default" w:ascii="Times New Roman" w:hAnsi="Times New Roman" w:eastAsia="仿宋_GB2312" w:cs="Times New Roman"/>
          <w:b/>
          <w:bCs/>
          <w:color w:val="auto"/>
          <w:spacing w:val="0"/>
          <w:kern w:val="10"/>
          <w:sz w:val="32"/>
          <w:szCs w:val="32"/>
          <w:highlight w:val="none"/>
          <w:u w:val="none"/>
          <w:lang w:val="en-US" w:eastAsia="zh-CN" w:bidi="ar-SA"/>
        </w:rPr>
        <w:t>外资来源多元化</w:t>
      </w:r>
      <w:r>
        <w:rPr>
          <w:rFonts w:hint="eastAsia" w:ascii="Times New Roman" w:hAnsi="Times New Roman" w:eastAsia="仿宋_GB2312" w:cs="Times New Roman"/>
          <w:b/>
          <w:bCs/>
          <w:color w:val="auto"/>
          <w:spacing w:val="0"/>
          <w:kern w:val="10"/>
          <w:sz w:val="32"/>
          <w:szCs w:val="32"/>
          <w:highlight w:val="none"/>
          <w:u w:val="none"/>
          <w:lang w:val="en-US" w:eastAsia="zh-CN" w:bidi="ar-SA"/>
        </w:rPr>
        <w:t>。</w:t>
      </w:r>
      <w:r>
        <w:rPr>
          <w:rFonts w:hint="eastAsia" w:ascii="Times New Roman" w:hAnsi="Times New Roman" w:eastAsia="仿宋_GB2312" w:cs="Times New Roman"/>
          <w:color w:val="auto"/>
          <w:kern w:val="2"/>
          <w:sz w:val="32"/>
          <w:szCs w:val="32"/>
          <w:u w:val="none"/>
          <w:lang w:val="en-US" w:eastAsia="zh-CN" w:bidi="ar-SA"/>
        </w:rPr>
        <w:t>积极鼓励企业开展投资，促进经贸合作交流。截至</w:t>
      </w:r>
      <w:r>
        <w:rPr>
          <w:rFonts w:hint="eastAsia" w:eastAsia="仿宋_GB2312" w:cs="Times New Roman"/>
          <w:color w:val="auto"/>
          <w:kern w:val="2"/>
          <w:sz w:val="32"/>
          <w:szCs w:val="32"/>
          <w:u w:val="none"/>
          <w:lang w:val="en-US" w:eastAsia="zh-CN" w:bidi="ar-SA"/>
        </w:rPr>
        <w:t>目前</w:t>
      </w:r>
      <w:r>
        <w:rPr>
          <w:rFonts w:hint="eastAsia" w:ascii="Times New Roman" w:hAnsi="Times New Roman" w:eastAsia="仿宋_GB2312" w:cs="Times New Roman"/>
          <w:color w:val="auto"/>
          <w:kern w:val="2"/>
          <w:sz w:val="32"/>
          <w:szCs w:val="32"/>
          <w:u w:val="none"/>
          <w:lang w:val="en-US" w:eastAsia="zh-CN" w:bidi="ar-SA"/>
        </w:rPr>
        <w:t>，汕头市批准外商直接投资企业累计</w:t>
      </w:r>
      <w:r>
        <w:rPr>
          <w:rFonts w:hint="eastAsia" w:eastAsia="仿宋_GB2312" w:cs="Times New Roman"/>
          <w:color w:val="auto"/>
          <w:kern w:val="2"/>
          <w:sz w:val="32"/>
          <w:szCs w:val="32"/>
          <w:u w:val="none"/>
          <w:lang w:val="en-US" w:eastAsia="zh-CN" w:bidi="ar-SA"/>
        </w:rPr>
        <w:t>6505</w:t>
      </w:r>
      <w:r>
        <w:rPr>
          <w:rFonts w:hint="eastAsia" w:ascii="Times New Roman" w:hAnsi="Times New Roman" w:eastAsia="仿宋_GB2312" w:cs="Times New Roman"/>
          <w:color w:val="auto"/>
          <w:kern w:val="2"/>
          <w:sz w:val="32"/>
          <w:szCs w:val="32"/>
          <w:u w:val="none"/>
          <w:lang w:val="en-US" w:eastAsia="zh-CN" w:bidi="ar-SA"/>
        </w:rPr>
        <w:t>家，外资来源</w:t>
      </w:r>
      <w:r>
        <w:rPr>
          <w:rFonts w:hint="default" w:ascii="Times New Roman" w:hAnsi="Times New Roman" w:eastAsia="仿宋_GB2312" w:cs="Times New Roman"/>
          <w:color w:val="auto"/>
          <w:kern w:val="2"/>
          <w:sz w:val="32"/>
          <w:szCs w:val="32"/>
          <w:u w:val="none"/>
          <w:lang w:val="en-US" w:eastAsia="zh-CN" w:bidi="ar-SA"/>
        </w:rPr>
        <w:t>从最初以港澳为主，如今已扩展至香港、台湾、新加坡、泰国和美国等</w:t>
      </w:r>
      <w:r>
        <w:rPr>
          <w:rFonts w:hint="eastAsia" w:ascii="Times New Roman" w:hAnsi="Times New Roman" w:eastAsia="仿宋_GB2312" w:cs="Times New Roman"/>
          <w:color w:val="auto"/>
          <w:kern w:val="2"/>
          <w:sz w:val="32"/>
          <w:szCs w:val="32"/>
          <w:u w:val="none"/>
          <w:lang w:val="en-US" w:eastAsia="zh-CN" w:bidi="ar-SA"/>
        </w:rPr>
        <w:t>48</w:t>
      </w:r>
      <w:r>
        <w:rPr>
          <w:rFonts w:hint="default" w:ascii="Times New Roman" w:hAnsi="Times New Roman" w:eastAsia="仿宋_GB2312" w:cs="Times New Roman"/>
          <w:color w:val="auto"/>
          <w:kern w:val="2"/>
          <w:sz w:val="32"/>
          <w:szCs w:val="32"/>
          <w:u w:val="none"/>
          <w:lang w:val="en-US" w:eastAsia="zh-CN" w:bidi="ar-SA"/>
        </w:rPr>
        <w:t>个国家和地区</w:t>
      </w:r>
      <w:r>
        <w:rPr>
          <w:rFonts w:hint="eastAsia" w:ascii="Times New Roman" w:hAnsi="Times New Roman" w:eastAsia="仿宋_GB2312" w:cs="Times New Roman"/>
          <w:color w:val="auto"/>
          <w:kern w:val="2"/>
          <w:sz w:val="32"/>
          <w:szCs w:val="32"/>
          <w:u w:val="none"/>
          <w:lang w:val="en-US" w:eastAsia="zh-CN" w:bidi="ar-SA"/>
        </w:rPr>
        <w:t>，推动开放型经济发展空间全面拓展。</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rPr>
          <w:rFonts w:hint="eastAsia" w:ascii="楷体" w:hAnsi="楷体" w:eastAsia="楷体" w:cs="楷体"/>
          <w:b/>
          <w:bCs/>
          <w:color w:val="auto"/>
          <w:spacing w:val="0"/>
          <w:kern w:val="10"/>
          <w:sz w:val="32"/>
          <w:szCs w:val="32"/>
          <w:highlight w:val="none"/>
          <w:u w:val="none"/>
          <w:lang w:val="en-US" w:eastAsia="zh-CN" w:bidi="ar-SA"/>
        </w:rPr>
        <w:t>第五节 对外投资合作势头良好</w:t>
      </w:r>
    </w:p>
    <w:p>
      <w:pPr>
        <w:keepNext w:val="0"/>
        <w:keepLines w:val="0"/>
        <w:pageBreakBefore w:val="0"/>
        <w:widowControl w:val="0"/>
        <w:kinsoku/>
        <w:wordWrap/>
        <w:overflowPunct/>
        <w:topLinePunct w:val="0"/>
        <w:autoSpaceDE/>
        <w:autoSpaceDN/>
        <w:bidi w:val="0"/>
        <w:snapToGrid w:val="0"/>
        <w:spacing w:line="600" w:lineRule="exact"/>
        <w:ind w:firstLine="643"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ascii="仿宋_GB2312" w:hAnsi="仿宋_GB2312" w:eastAsia="仿宋_GB2312" w:cs="仿宋_GB2312"/>
          <w:b/>
          <w:bCs/>
          <w:color w:val="auto"/>
          <w:spacing w:val="0"/>
          <w:kern w:val="10"/>
          <w:sz w:val="32"/>
          <w:szCs w:val="32"/>
          <w:highlight w:val="none"/>
          <w:u w:val="none"/>
          <w:lang w:val="en-US" w:eastAsia="zh-CN" w:bidi="ar-SA"/>
        </w:rPr>
        <w:t>经贸合作深入开展。</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“十四五”期间，组织经贸代表团赴泰国、印度尼西亚、马来西亚、俄罗斯、阿联酋及香港等国家和地区开展经贸交流活动，经贸合作不断深化</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用好</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乌兹别克斯坦（花剌子模州）代表团、越南（芹苴）代表团、香港国际经贸合作协会、全俄罗斯中小企业联合会、南南学院等团组莅汕考察契机举办交流座谈会，推动经贸合作关系走深走实。</w:t>
      </w:r>
    </w:p>
    <w:p>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jc w:val="both"/>
        <w:textAlignment w:val="auto"/>
        <w:rPr>
          <w:rFonts w:hint="eastAsia" w:ascii="楷体" w:hAnsi="楷体" w:eastAsia="楷体" w:cs="楷体"/>
          <w:b w:val="0"/>
          <w:bCs w:val="0"/>
          <w:color w:val="auto"/>
          <w:spacing w:val="0"/>
          <w:kern w:val="10"/>
          <w:sz w:val="32"/>
          <w:szCs w:val="32"/>
          <w:highlight w:val="none"/>
          <w:u w:val="none"/>
          <w:lang w:val="en-US" w:eastAsia="zh-CN" w:bidi="ar-SA"/>
        </w:rPr>
      </w:pPr>
      <w:r>
        <w:drawing>
          <wp:anchor distT="0" distB="0" distL="114300" distR="114300" simplePos="0" relativeHeight="251661312" behindDoc="0" locked="0" layoutInCell="1" allowOverlap="1">
            <wp:simplePos x="0" y="0"/>
            <wp:positionH relativeFrom="column">
              <wp:posOffset>59690</wp:posOffset>
            </wp:positionH>
            <wp:positionV relativeFrom="paragraph">
              <wp:posOffset>8255</wp:posOffset>
            </wp:positionV>
            <wp:extent cx="5334000" cy="2743200"/>
            <wp:effectExtent l="4445" t="4445" r="14605" b="14605"/>
            <wp:wrapSquare wrapText="bothSides"/>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Times New Roman" w:hAnsi="Times New Roman" w:eastAsia="仿宋_GB2312" w:cs="Times New Roman"/>
          <w:b/>
          <w:bCs/>
          <w:color w:val="auto"/>
          <w:spacing w:val="0"/>
          <w:kern w:val="10"/>
          <w:sz w:val="32"/>
          <w:szCs w:val="32"/>
          <w:highlight w:val="none"/>
          <w:u w:val="none"/>
          <w:lang w:val="en-US" w:eastAsia="zh-CN" w:bidi="ar-SA"/>
        </w:rPr>
        <w:t>对外投资</w:t>
      </w:r>
      <w:r>
        <w:rPr>
          <w:rFonts w:hint="eastAsia" w:ascii="Times New Roman" w:hAnsi="Times New Roman" w:eastAsia="仿宋_GB2312" w:cs="Times New Roman"/>
          <w:b/>
          <w:bCs/>
          <w:color w:val="auto"/>
          <w:spacing w:val="0"/>
          <w:kern w:val="10"/>
          <w:sz w:val="32"/>
          <w:szCs w:val="32"/>
          <w:highlight w:val="none"/>
          <w:u w:val="none"/>
          <w:lang w:val="en-US" w:eastAsia="zh-CN" w:bidi="ar-SA"/>
        </w:rPr>
        <w:t>稳步发展。</w:t>
      </w:r>
      <w:r>
        <w:rPr>
          <w:rFonts w:hint="eastAsia" w:ascii="Times New Roman" w:hAnsi="Times New Roman" w:eastAsia="仿宋_GB2312" w:cs="Times New Roman"/>
          <w:b w:val="0"/>
          <w:bCs w:val="0"/>
          <w:color w:val="auto"/>
          <w:kern w:val="2"/>
          <w:sz w:val="32"/>
          <w:szCs w:val="32"/>
          <w:u w:val="none"/>
          <w:lang w:val="en-US" w:eastAsia="zh-CN" w:bidi="ar-SA"/>
        </w:rPr>
        <w:t>“十四五”期间</w:t>
      </w:r>
      <w:r>
        <w:rPr>
          <w:rFonts w:hint="eastAsia" w:ascii="Times New Roman" w:hAnsi="Times New Roman" w:eastAsia="仿宋_GB2312" w:cs="Times New Roman"/>
          <w:b w:val="0"/>
          <w:bCs w:val="0"/>
          <w:color w:val="auto"/>
          <w:kern w:val="2"/>
          <w:sz w:val="32"/>
          <w:szCs w:val="32"/>
          <w:highlight w:val="none"/>
          <w:u w:val="none"/>
          <w:lang w:val="en-US" w:eastAsia="zh-CN" w:bidi="ar-SA"/>
        </w:rPr>
        <w:t>，全市</w:t>
      </w:r>
      <w:r>
        <w:rPr>
          <w:rFonts w:hint="eastAsia" w:eastAsia="仿宋_GB2312" w:cs="Times New Roman"/>
          <w:b w:val="0"/>
          <w:bCs w:val="0"/>
          <w:color w:val="auto"/>
          <w:kern w:val="2"/>
          <w:sz w:val="32"/>
          <w:szCs w:val="32"/>
          <w:highlight w:val="none"/>
          <w:u w:val="none"/>
          <w:lang w:val="en-US" w:eastAsia="zh-CN" w:bidi="ar-SA"/>
        </w:rPr>
        <w:t>新增</w:t>
      </w:r>
      <w:r>
        <w:rPr>
          <w:rFonts w:hint="eastAsia" w:ascii="Times New Roman" w:hAnsi="Times New Roman" w:eastAsia="仿宋_GB2312" w:cs="Times New Roman"/>
          <w:b w:val="0"/>
          <w:bCs w:val="0"/>
          <w:color w:val="auto"/>
          <w:kern w:val="2"/>
          <w:sz w:val="32"/>
          <w:szCs w:val="32"/>
          <w:highlight w:val="none"/>
          <w:u w:val="none"/>
          <w:lang w:val="en-US" w:eastAsia="zh-CN" w:bidi="ar-SA"/>
        </w:rPr>
        <w:t>备案境外非金融类直接投资项目</w:t>
      </w:r>
      <w:r>
        <w:rPr>
          <w:rFonts w:hint="eastAsia" w:eastAsia="仿宋_GB2312" w:cs="Times New Roman"/>
          <w:b w:val="0"/>
          <w:bCs w:val="0"/>
          <w:color w:val="auto"/>
          <w:kern w:val="2"/>
          <w:sz w:val="32"/>
          <w:szCs w:val="32"/>
          <w:highlight w:val="none"/>
          <w:u w:val="none"/>
          <w:lang w:val="en-US" w:eastAsia="zh-CN" w:bidi="ar-SA"/>
        </w:rPr>
        <w:t>40</w:t>
      </w:r>
      <w:r>
        <w:rPr>
          <w:rFonts w:hint="eastAsia" w:ascii="Times New Roman" w:hAnsi="Times New Roman" w:eastAsia="仿宋_GB2312" w:cs="Times New Roman"/>
          <w:b w:val="0"/>
          <w:bCs w:val="0"/>
          <w:color w:val="auto"/>
          <w:kern w:val="2"/>
          <w:sz w:val="32"/>
          <w:szCs w:val="32"/>
          <w:highlight w:val="none"/>
          <w:u w:val="none"/>
          <w:lang w:val="en-US" w:eastAsia="zh-CN" w:bidi="ar-SA"/>
        </w:rPr>
        <w:t>个，投资额</w:t>
      </w:r>
      <w:r>
        <w:rPr>
          <w:rFonts w:hint="eastAsia" w:eastAsia="仿宋_GB2312" w:cs="Times New Roman"/>
          <w:b w:val="0"/>
          <w:bCs w:val="0"/>
          <w:color w:val="auto"/>
          <w:kern w:val="2"/>
          <w:sz w:val="32"/>
          <w:szCs w:val="32"/>
          <w:highlight w:val="none"/>
          <w:u w:val="none"/>
          <w:lang w:val="en-US" w:eastAsia="zh-CN" w:bidi="ar-SA"/>
        </w:rPr>
        <w:t>3.8</w:t>
      </w:r>
      <w:r>
        <w:rPr>
          <w:rFonts w:hint="eastAsia" w:ascii="Times New Roman" w:hAnsi="Times New Roman" w:eastAsia="仿宋_GB2312" w:cs="Times New Roman"/>
          <w:b w:val="0"/>
          <w:bCs w:val="0"/>
          <w:color w:val="auto"/>
          <w:kern w:val="2"/>
          <w:sz w:val="32"/>
          <w:szCs w:val="32"/>
          <w:highlight w:val="none"/>
          <w:u w:val="none"/>
          <w:lang w:val="en-US" w:eastAsia="zh-CN" w:bidi="ar-SA"/>
        </w:rPr>
        <w:t>亿美元</w:t>
      </w:r>
      <w:r>
        <w:rPr>
          <w:rFonts w:hint="eastAsia" w:eastAsia="仿宋_GB2312" w:cs="Times New Roman"/>
          <w:b w:val="0"/>
          <w:bCs w:val="0"/>
          <w:color w:val="auto"/>
          <w:kern w:val="2"/>
          <w:sz w:val="32"/>
          <w:szCs w:val="32"/>
          <w:highlight w:val="none"/>
          <w:u w:val="none"/>
          <w:lang w:val="en-US" w:eastAsia="zh-CN" w:bidi="ar-SA"/>
        </w:rPr>
        <w:t>。</w:t>
      </w:r>
      <w:r>
        <w:rPr>
          <w:rFonts w:hint="eastAsia" w:ascii="Times New Roman" w:hAnsi="Times New Roman" w:eastAsia="仿宋_GB2312" w:cs="Times New Roman"/>
          <w:b w:val="0"/>
          <w:bCs w:val="0"/>
          <w:color w:val="auto"/>
          <w:kern w:val="2"/>
          <w:sz w:val="32"/>
          <w:szCs w:val="32"/>
          <w:u w:val="none"/>
          <w:lang w:val="en-US" w:eastAsia="zh-CN" w:bidi="ar-SA"/>
        </w:rPr>
        <w:t>近年来，对外投资区域从亚洲逐步拓展到欧洲、美洲、非洲等32个国家和地区，在“一带一路”沿线国家的投资不断扩大，万基贸易在印度尼西亚设立玩具展厅，潮宏基在马来西亚开设首家门店，仙乐健康在泰国投资建设生产销售基地，潮汕菜产业发展促进会与马来西亚、柬埔寨潮侨社团合作成立中马潮汕菜文化交流中心、中柬潮汕菜文化交流中心，实现产业链延伸与文化输出的双突破。</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rPr>
          <w:rFonts w:hint="eastAsia" w:ascii="楷体" w:hAnsi="楷体" w:eastAsia="楷体" w:cs="楷体"/>
          <w:b/>
          <w:bCs/>
          <w:color w:val="auto"/>
          <w:spacing w:val="0"/>
          <w:kern w:val="10"/>
          <w:sz w:val="32"/>
          <w:szCs w:val="32"/>
          <w:highlight w:val="none"/>
          <w:u w:val="none"/>
          <w:lang w:val="en-US" w:eastAsia="zh-CN" w:bidi="ar-SA"/>
        </w:rPr>
        <w:t>第六节 会展经济蓬勃发展</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仿宋_GB2312" w:cs="Times New Roman"/>
          <w:bCs/>
          <w:color w:val="auto"/>
          <w:kern w:val="2"/>
          <w:sz w:val="32"/>
          <w:szCs w:val="32"/>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多元展会“百花齐放”。</w:t>
      </w:r>
      <w:r>
        <w:rPr>
          <w:rFonts w:hint="eastAsia" w:ascii="Times New Roman" w:hAnsi="Times New Roman" w:eastAsia="仿宋_GB2312" w:cs="Times New Roman"/>
          <w:b w:val="0"/>
          <w:bCs w:val="0"/>
          <w:color w:val="auto"/>
          <w:kern w:val="2"/>
          <w:sz w:val="32"/>
          <w:szCs w:val="32"/>
          <w:u w:val="none"/>
          <w:lang w:val="en-US" w:eastAsia="zh-CN" w:bidi="ar-SA"/>
        </w:rPr>
        <w:t>“十四五”期间，汕头坚持以展促产，</w:t>
      </w:r>
      <w:r>
        <w:rPr>
          <w:rFonts w:hint="eastAsia" w:ascii="Times New Roman" w:hAnsi="Times New Roman" w:eastAsia="仿宋_GB2312" w:cs="Times New Roman"/>
          <w:bCs/>
          <w:color w:val="auto"/>
          <w:kern w:val="2"/>
          <w:sz w:val="32"/>
          <w:szCs w:val="32"/>
          <w:u w:val="none"/>
          <w:lang w:val="en-US" w:eastAsia="zh-CN" w:bidi="ar-SA"/>
        </w:rPr>
        <w:t>成功打响服博会、玩博会、国际风电技术创新大会、中数大会等产业“风向标”级品牌展会，</w:t>
      </w:r>
      <w:r>
        <w:rPr>
          <w:rFonts w:hint="default" w:eastAsia="仿宋_GB2312" w:cs="Times New Roman"/>
          <w:bCs/>
          <w:color w:val="auto"/>
          <w:kern w:val="2"/>
          <w:sz w:val="32"/>
          <w:szCs w:val="32"/>
          <w:u w:val="none"/>
          <w:lang w:eastAsia="zh-CN" w:bidi="ar-SA"/>
        </w:rPr>
        <w:t>培育</w:t>
      </w:r>
      <w:r>
        <w:rPr>
          <w:rFonts w:hint="eastAsia" w:ascii="Times New Roman" w:hAnsi="Times New Roman" w:eastAsia="仿宋_GB2312" w:cs="Times New Roman"/>
          <w:bCs/>
          <w:color w:val="auto"/>
          <w:kern w:val="2"/>
          <w:sz w:val="32"/>
          <w:szCs w:val="32"/>
          <w:u w:val="none"/>
          <w:lang w:val="en-US" w:eastAsia="zh-CN" w:bidi="ar-SA"/>
        </w:rPr>
        <w:t>潮汕菜大会、国际音响展、潮汕食品展览会等一批“小而美”的专业化特色展会。全市办展面积由2021年3.5万平方米跃升</w:t>
      </w:r>
      <w:r>
        <w:rPr>
          <w:rFonts w:hint="eastAsia" w:eastAsia="仿宋_GB2312" w:cs="Times New Roman"/>
          <w:bCs/>
          <w:color w:val="auto"/>
          <w:kern w:val="2"/>
          <w:sz w:val="32"/>
          <w:szCs w:val="32"/>
          <w:u w:val="none"/>
          <w:lang w:val="en-US" w:eastAsia="zh-CN" w:bidi="ar-SA"/>
        </w:rPr>
        <w:t>20</w:t>
      </w:r>
      <w:r>
        <w:rPr>
          <w:rFonts w:hint="eastAsia" w:ascii="Times New Roman" w:hAnsi="Times New Roman" w:eastAsia="仿宋_GB2312" w:cs="Times New Roman"/>
          <w:bCs/>
          <w:color w:val="auto"/>
          <w:kern w:val="2"/>
          <w:sz w:val="32"/>
          <w:szCs w:val="32"/>
          <w:u w:val="none"/>
          <w:lang w:val="en-US" w:eastAsia="zh-CN" w:bidi="ar-SA"/>
        </w:rPr>
        <w:t>倍至20</w:t>
      </w:r>
      <w:r>
        <w:rPr>
          <w:rFonts w:hint="eastAsia" w:eastAsia="仿宋_GB2312" w:cs="Times New Roman"/>
          <w:bCs/>
          <w:color w:val="auto"/>
          <w:kern w:val="2"/>
          <w:sz w:val="32"/>
          <w:szCs w:val="32"/>
          <w:u w:val="none"/>
          <w:lang w:val="en-US" w:eastAsia="zh-CN" w:bidi="ar-SA"/>
        </w:rPr>
        <w:t>25</w:t>
      </w:r>
      <w:r>
        <w:rPr>
          <w:rFonts w:hint="eastAsia" w:ascii="Times New Roman" w:hAnsi="Times New Roman" w:eastAsia="仿宋_GB2312" w:cs="Times New Roman"/>
          <w:bCs/>
          <w:color w:val="auto"/>
          <w:kern w:val="2"/>
          <w:sz w:val="32"/>
          <w:szCs w:val="32"/>
          <w:u w:val="none"/>
          <w:lang w:val="en-US" w:eastAsia="zh-CN" w:bidi="ar-SA"/>
        </w:rPr>
        <w:t>年</w:t>
      </w:r>
      <w:r>
        <w:rPr>
          <w:rFonts w:hint="eastAsia" w:eastAsia="仿宋_GB2312" w:cs="Times New Roman"/>
          <w:bCs/>
          <w:color w:val="auto"/>
          <w:kern w:val="2"/>
          <w:sz w:val="32"/>
          <w:szCs w:val="32"/>
          <w:u w:val="none"/>
          <w:lang w:val="en-US" w:eastAsia="zh-CN" w:bidi="ar-SA"/>
        </w:rPr>
        <w:t>超70</w:t>
      </w:r>
      <w:r>
        <w:rPr>
          <w:rFonts w:hint="eastAsia" w:ascii="Times New Roman" w:hAnsi="Times New Roman" w:eastAsia="仿宋_GB2312" w:cs="Times New Roman"/>
          <w:bCs/>
          <w:color w:val="auto"/>
          <w:kern w:val="2"/>
          <w:sz w:val="32"/>
          <w:szCs w:val="32"/>
          <w:u w:val="none"/>
          <w:lang w:val="en-US" w:eastAsia="zh-CN" w:bidi="ar-SA"/>
        </w:rPr>
        <w:t>万平方米，进入全国展览城市前50强</w:t>
      </w:r>
      <w:r>
        <w:rPr>
          <w:rFonts w:hint="eastAsia" w:eastAsia="仿宋_GB2312" w:cs="Times New Roman"/>
          <w:bCs/>
          <w:color w:val="auto"/>
          <w:kern w:val="2"/>
          <w:sz w:val="32"/>
          <w:szCs w:val="32"/>
          <w:u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品牌展会矩阵加速形成。</w:t>
      </w:r>
      <w:r>
        <w:rPr>
          <w:rFonts w:hint="eastAsia" w:ascii="Times New Roman" w:hAnsi="Times New Roman" w:eastAsia="仿宋_GB2312" w:cs="Times New Roman"/>
          <w:b w:val="0"/>
          <w:bCs w:val="0"/>
          <w:color w:val="auto"/>
          <w:kern w:val="2"/>
          <w:sz w:val="32"/>
          <w:szCs w:val="32"/>
          <w:u w:val="none"/>
          <w:lang w:val="en-US" w:eastAsia="zh-CN" w:bidi="ar-SA"/>
        </w:rPr>
        <w:t>“十四五”期间，</w:t>
      </w:r>
      <w:r>
        <w:rPr>
          <w:rFonts w:hint="eastAsia" w:ascii="Times New Roman" w:hAnsi="Times New Roman" w:eastAsia="仿宋_GB2312" w:cs="Times New Roman"/>
          <w:bCs/>
          <w:color w:val="auto"/>
          <w:kern w:val="2"/>
          <w:sz w:val="32"/>
          <w:szCs w:val="32"/>
          <w:u w:val="none"/>
          <w:lang w:val="en-US" w:eastAsia="zh-CN" w:bidi="ar-SA"/>
        </w:rPr>
        <w:t>重点打造潮汕国际纺织服装博览会、汕头·澄海国际玩具礼品博览会两大品牌展会，两大品牌均列入2024年、2025年“粤贸全国”活动目录</w:t>
      </w:r>
      <w:r>
        <w:rPr>
          <w:rFonts w:hint="eastAsia" w:eastAsia="仿宋_GB2312" w:cs="Times New Roman"/>
          <w:bCs/>
          <w:color w:val="auto"/>
          <w:kern w:val="2"/>
          <w:sz w:val="32"/>
          <w:szCs w:val="32"/>
          <w:u w:val="none"/>
          <w:lang w:val="en-US" w:eastAsia="zh-CN" w:bidi="ar-SA"/>
        </w:rPr>
        <w:t>，并获评2024年广东省会展项目百强</w:t>
      </w:r>
      <w:r>
        <w:rPr>
          <w:rFonts w:hint="eastAsia" w:ascii="Times New Roman" w:hAnsi="Times New Roman" w:eastAsia="仿宋_GB2312" w:cs="Times New Roman"/>
          <w:bCs/>
          <w:color w:val="auto"/>
          <w:kern w:val="2"/>
          <w:sz w:val="32"/>
          <w:szCs w:val="32"/>
          <w:u w:val="none"/>
          <w:lang w:val="en-US" w:eastAsia="zh-CN" w:bidi="ar-SA"/>
        </w:rPr>
        <w:t>。</w:t>
      </w:r>
      <w:r>
        <w:rPr>
          <w:rFonts w:hint="default" w:eastAsia="仿宋_GB2312" w:cs="Times New Roman"/>
          <w:bCs/>
          <w:color w:val="auto"/>
          <w:kern w:val="2"/>
          <w:sz w:val="32"/>
          <w:szCs w:val="32"/>
          <w:u w:val="none"/>
          <w:lang w:eastAsia="zh-CN" w:bidi="ar-SA"/>
        </w:rPr>
        <w:t>其中，</w:t>
      </w:r>
      <w:r>
        <w:rPr>
          <w:rFonts w:hint="eastAsia" w:ascii="Times New Roman" w:hAnsi="Times New Roman" w:eastAsia="仿宋_GB2312" w:cs="Times New Roman"/>
          <w:bCs/>
          <w:color w:val="auto"/>
          <w:kern w:val="2"/>
          <w:sz w:val="32"/>
          <w:szCs w:val="32"/>
          <w:u w:val="none"/>
          <w:lang w:val="en-US" w:eastAsia="zh-CN" w:bidi="ar-SA"/>
        </w:rPr>
        <w:t>服博会规模从首届的3万平方米扩大至</w:t>
      </w:r>
      <w:r>
        <w:rPr>
          <w:rFonts w:hint="default" w:eastAsia="仿宋_GB2312" w:cs="Times New Roman"/>
          <w:bCs/>
          <w:color w:val="auto"/>
          <w:kern w:val="2"/>
          <w:sz w:val="32"/>
          <w:szCs w:val="32"/>
          <w:u w:val="none"/>
          <w:lang w:eastAsia="zh-CN" w:bidi="ar-SA"/>
        </w:rPr>
        <w:t>第四届的</w:t>
      </w:r>
      <w:r>
        <w:rPr>
          <w:rFonts w:hint="eastAsia" w:ascii="Times New Roman" w:hAnsi="Times New Roman" w:eastAsia="仿宋_GB2312" w:cs="Times New Roman"/>
          <w:bCs/>
          <w:color w:val="auto"/>
          <w:kern w:val="2"/>
          <w:sz w:val="32"/>
          <w:szCs w:val="32"/>
          <w:u w:val="none"/>
          <w:lang w:val="en-US" w:eastAsia="zh-CN" w:bidi="ar-SA"/>
        </w:rPr>
        <w:t>13万平方米，成为全国最大贴身服饰原产地展会。</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会展保障服务体系不断完善。</w:t>
      </w:r>
      <w:r>
        <w:rPr>
          <w:rFonts w:hint="eastAsia" w:ascii="Times New Roman" w:hAnsi="Times New Roman" w:eastAsia="仿宋_GB2312" w:cs="Times New Roman"/>
          <w:bCs/>
          <w:color w:val="auto"/>
          <w:kern w:val="2"/>
          <w:sz w:val="32"/>
          <w:szCs w:val="32"/>
          <w:u w:val="none"/>
          <w:lang w:val="en-US" w:eastAsia="zh-CN" w:bidi="ar-SA"/>
        </w:rPr>
        <w:t>粤东规格最高的专业会展场馆——汕头国际会展中心投入运营，会议展览业协会揭牌成立，粤东产业会展联盟正式启动，《汕头市会展业管理暂行办法》</w:t>
      </w:r>
      <w:r>
        <w:rPr>
          <w:rFonts w:hint="eastAsia" w:eastAsia="仿宋_GB2312" w:cs="Times New Roman"/>
          <w:bCs/>
          <w:color w:val="auto"/>
          <w:kern w:val="2"/>
          <w:sz w:val="32"/>
          <w:szCs w:val="32"/>
          <w:u w:val="none"/>
          <w:lang w:val="en-US" w:eastAsia="zh-CN" w:bidi="ar-SA"/>
        </w:rPr>
        <w:t>《汕头市促进会展业发展扶持措施》</w:t>
      </w:r>
      <w:r>
        <w:rPr>
          <w:rFonts w:hint="eastAsia" w:ascii="Times New Roman" w:hAnsi="Times New Roman" w:eastAsia="仿宋_GB2312" w:cs="Times New Roman"/>
          <w:bCs/>
          <w:color w:val="auto"/>
          <w:kern w:val="2"/>
          <w:sz w:val="32"/>
          <w:szCs w:val="32"/>
          <w:u w:val="none"/>
          <w:lang w:val="en-US" w:eastAsia="zh-CN" w:bidi="ar-SA"/>
        </w:rPr>
        <w:t>出台，为汕头市会展经济提质扩容奠定坚实基础。</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rPr>
          <w:rFonts w:hint="eastAsia" w:ascii="楷体" w:hAnsi="楷体" w:eastAsia="楷体" w:cs="楷体"/>
          <w:b/>
          <w:bCs/>
          <w:color w:val="auto"/>
          <w:spacing w:val="0"/>
          <w:kern w:val="10"/>
          <w:sz w:val="32"/>
          <w:szCs w:val="32"/>
          <w:highlight w:val="none"/>
          <w:u w:val="none"/>
          <w:lang w:val="en-US" w:eastAsia="zh-CN" w:bidi="ar-SA"/>
        </w:rPr>
        <w:t>第七节 口岸服务持续优化</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仿宋_GB2312" w:hAnsi="仿宋_GB2312" w:eastAsia="仿宋_GB2312" w:cs="仿宋_GB2312"/>
          <w:color w:val="auto"/>
          <w:kern w:val="2"/>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贸</w:t>
      </w:r>
      <w:r>
        <w:rPr>
          <w:rFonts w:hint="default" w:ascii="Times New Roman" w:hAnsi="Times New Roman" w:eastAsia="仿宋_GB2312" w:cs="Times New Roman"/>
          <w:b/>
          <w:bCs/>
          <w:color w:val="auto"/>
          <w:spacing w:val="0"/>
          <w:kern w:val="10"/>
          <w:sz w:val="32"/>
          <w:szCs w:val="32"/>
          <w:highlight w:val="none"/>
          <w:u w:val="none"/>
          <w:lang w:val="en-US" w:eastAsia="zh-CN" w:bidi="ar-SA"/>
        </w:rPr>
        <w:t>易通道</w:t>
      </w:r>
      <w:r>
        <w:rPr>
          <w:rFonts w:hint="eastAsia" w:ascii="Times New Roman" w:hAnsi="Times New Roman" w:eastAsia="仿宋_GB2312" w:cs="Times New Roman"/>
          <w:b/>
          <w:bCs/>
          <w:color w:val="auto"/>
          <w:spacing w:val="0"/>
          <w:kern w:val="10"/>
          <w:sz w:val="32"/>
          <w:szCs w:val="32"/>
          <w:highlight w:val="none"/>
          <w:u w:val="none"/>
          <w:lang w:val="en-US" w:eastAsia="zh-CN" w:bidi="ar-SA"/>
        </w:rPr>
        <w:t>更加</w:t>
      </w:r>
      <w:r>
        <w:rPr>
          <w:rFonts w:hint="default" w:ascii="Times New Roman" w:hAnsi="Times New Roman" w:eastAsia="仿宋_GB2312" w:cs="Times New Roman"/>
          <w:b/>
          <w:bCs/>
          <w:color w:val="auto"/>
          <w:spacing w:val="0"/>
          <w:kern w:val="10"/>
          <w:sz w:val="32"/>
          <w:szCs w:val="32"/>
          <w:highlight w:val="none"/>
          <w:u w:val="none"/>
          <w:lang w:val="en-US" w:eastAsia="zh-CN" w:bidi="ar-SA"/>
        </w:rPr>
        <w:t>畅通</w:t>
      </w:r>
      <w:r>
        <w:rPr>
          <w:rFonts w:hint="eastAsia" w:ascii="Times New Roman" w:hAnsi="Times New Roman" w:eastAsia="仿宋_GB2312" w:cs="Times New Roman"/>
          <w:b/>
          <w:bCs/>
          <w:color w:val="auto"/>
          <w:spacing w:val="0"/>
          <w:kern w:val="10"/>
          <w:sz w:val="32"/>
          <w:szCs w:val="32"/>
          <w:highlight w:val="none"/>
          <w:u w:val="none"/>
          <w:lang w:val="en-US" w:eastAsia="zh-CN" w:bidi="ar-SA"/>
        </w:rPr>
        <w:t>。</w:t>
      </w:r>
      <w:r>
        <w:rPr>
          <w:rFonts w:hint="eastAsia" w:ascii="仿宋_GB2312" w:hAnsi="仿宋_GB2312" w:eastAsia="仿宋_GB2312" w:cs="仿宋_GB2312"/>
          <w:color w:val="auto"/>
          <w:kern w:val="2"/>
          <w:sz w:val="32"/>
          <w:szCs w:val="32"/>
          <w:u w:val="none"/>
          <w:lang w:val="en-US" w:eastAsia="zh-CN" w:bidi="ar-SA"/>
        </w:rPr>
        <w:t>“十四五”期间，</w:t>
      </w:r>
      <w:r>
        <w:rPr>
          <w:rFonts w:hint="default" w:ascii="仿宋_GB2312" w:hAnsi="仿宋_GB2312" w:eastAsia="仿宋_GB2312" w:cs="仿宋_GB2312"/>
          <w:color w:val="auto"/>
          <w:kern w:val="2"/>
          <w:sz w:val="32"/>
          <w:szCs w:val="32"/>
          <w:u w:val="none"/>
          <w:lang w:val="en-US" w:eastAsia="zh-CN" w:bidi="ar-SA"/>
        </w:rPr>
        <w:t>汕头</w:t>
      </w:r>
      <w:r>
        <w:rPr>
          <w:rFonts w:hint="eastAsia" w:ascii="仿宋_GB2312" w:hAnsi="仿宋_GB2312" w:eastAsia="仿宋_GB2312" w:cs="仿宋_GB2312"/>
          <w:color w:val="auto"/>
          <w:kern w:val="2"/>
          <w:sz w:val="32"/>
          <w:szCs w:val="32"/>
          <w:u w:val="none"/>
          <w:lang w:val="en-US" w:eastAsia="zh-CN" w:bidi="ar-SA"/>
        </w:rPr>
        <w:t>不断畅通对外贸易通道，提升港口吞吐能力，“</w:t>
      </w:r>
      <w:r>
        <w:rPr>
          <w:rFonts w:hint="default" w:ascii="仿宋_GB2312" w:hAnsi="仿宋_GB2312" w:eastAsia="仿宋_GB2312" w:cs="仿宋_GB2312"/>
          <w:color w:val="auto"/>
          <w:kern w:val="2"/>
          <w:sz w:val="32"/>
          <w:szCs w:val="32"/>
          <w:u w:val="none"/>
          <w:lang w:val="en-US" w:eastAsia="zh-CN" w:bidi="ar-SA"/>
        </w:rPr>
        <w:t>广澳—深圳蛇口”组合港</w:t>
      </w:r>
      <w:r>
        <w:rPr>
          <w:rFonts w:hint="eastAsia" w:ascii="仿宋_GB2312" w:hAnsi="仿宋_GB2312" w:eastAsia="仿宋_GB2312" w:cs="仿宋_GB2312"/>
          <w:color w:val="auto"/>
          <w:kern w:val="2"/>
          <w:sz w:val="32"/>
          <w:szCs w:val="32"/>
          <w:u w:val="none"/>
          <w:lang w:val="en-US" w:eastAsia="zh-CN" w:bidi="ar-SA"/>
        </w:rPr>
        <w:t>、“广澳—南沙”组合港（一港通）实现</w:t>
      </w:r>
      <w:r>
        <w:rPr>
          <w:rFonts w:hint="default" w:ascii="仿宋_GB2312" w:hAnsi="仿宋_GB2312" w:eastAsia="仿宋_GB2312" w:cs="仿宋_GB2312"/>
          <w:color w:val="auto"/>
          <w:kern w:val="2"/>
          <w:sz w:val="32"/>
          <w:szCs w:val="32"/>
          <w:u w:val="none"/>
          <w:lang w:val="en-US" w:eastAsia="zh-CN" w:bidi="ar-SA"/>
        </w:rPr>
        <w:t>运作，“</w:t>
      </w:r>
      <w:r>
        <w:rPr>
          <w:rFonts w:hint="default" w:ascii="Times New Roman" w:hAnsi="Times New Roman" w:eastAsia="仿宋_GB2312" w:cs="Times New Roman"/>
          <w:color w:val="auto"/>
          <w:kern w:val="2"/>
          <w:sz w:val="32"/>
          <w:szCs w:val="32"/>
          <w:u w:val="none"/>
          <w:lang w:val="en-US" w:eastAsia="zh-CN" w:bidi="ar-SA"/>
        </w:rPr>
        <w:t>WGO驳运支线</w:t>
      </w:r>
      <w:r>
        <w:rPr>
          <w:rFonts w:hint="default" w:ascii="仿宋_GB2312" w:hAnsi="仿宋_GB2312" w:eastAsia="仿宋_GB2312" w:cs="仿宋_GB2312"/>
          <w:color w:val="auto"/>
          <w:kern w:val="2"/>
          <w:sz w:val="32"/>
          <w:szCs w:val="32"/>
          <w:u w:val="none"/>
          <w:lang w:val="en-US" w:eastAsia="zh-CN" w:bidi="ar-SA"/>
        </w:rPr>
        <w:t>+组合港”新模式落地，“整船换装”“国际中转”等业务持续推进</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，潮阳港口岸广东华电丰盛汕头电厂码头7万吨级煤码头泊位实现对外开放</w:t>
      </w:r>
      <w:r>
        <w:rPr>
          <w:rFonts w:hint="eastAsia" w:ascii="仿宋_GB2312" w:hAnsi="仿宋_GB2312" w:eastAsia="仿宋_GB2312" w:cs="仿宋_GB2312"/>
          <w:color w:val="auto"/>
          <w:kern w:val="2"/>
          <w:sz w:val="32"/>
          <w:szCs w:val="32"/>
          <w:u w:val="none"/>
          <w:lang w:val="en-US" w:eastAsia="zh-CN" w:bidi="ar-SA"/>
        </w:rPr>
        <w:t>。截至目前</w:t>
      </w:r>
      <w:r>
        <w:rPr>
          <w:rFonts w:hint="default" w:ascii="仿宋_GB2312" w:hAnsi="仿宋_GB2312" w:eastAsia="仿宋_GB2312" w:cs="仿宋_GB2312"/>
          <w:color w:val="auto"/>
          <w:kern w:val="2"/>
          <w:sz w:val="32"/>
          <w:szCs w:val="32"/>
          <w:u w:val="none"/>
          <w:lang w:val="en-US" w:eastAsia="zh-CN" w:bidi="ar-SA"/>
        </w:rPr>
        <w:t>广澳港</w:t>
      </w:r>
      <w:r>
        <w:rPr>
          <w:rFonts w:hint="default" w:ascii="仿宋_GB2312" w:hAnsi="仿宋_GB2312" w:eastAsia="仿宋_GB2312" w:cs="仿宋_GB2312"/>
          <w:color w:val="auto"/>
          <w:kern w:val="2"/>
          <w:sz w:val="32"/>
          <w:szCs w:val="32"/>
          <w:highlight w:val="none"/>
          <w:u w:val="none"/>
          <w:lang w:val="en-US" w:eastAsia="zh-CN" w:bidi="ar-SA"/>
        </w:rPr>
        <w:t>区外贸集装箱航线</w:t>
      </w:r>
      <w:r>
        <w:rPr>
          <w:rFonts w:hint="eastAsia" w:ascii="仿宋_GB2312" w:hAnsi="仿宋_GB2312" w:eastAsia="仿宋_GB2312" w:cs="仿宋_GB2312"/>
          <w:color w:val="auto"/>
          <w:kern w:val="2"/>
          <w:sz w:val="32"/>
          <w:szCs w:val="32"/>
          <w:highlight w:val="none"/>
          <w:u w:val="none"/>
          <w:lang w:val="en-US" w:eastAsia="zh-CN" w:bidi="ar-SA"/>
        </w:rPr>
        <w:t>共有</w:t>
      </w:r>
      <w:r>
        <w:rPr>
          <w:rFonts w:hint="eastAsia" w:ascii="Times New Roman" w:hAnsi="Times New Roman" w:eastAsia="仿宋_GB2312" w:cs="Times New Roman"/>
          <w:color w:val="auto"/>
          <w:kern w:val="2"/>
          <w:sz w:val="32"/>
          <w:szCs w:val="32"/>
          <w:highlight w:val="none"/>
          <w:u w:val="none"/>
          <w:lang w:val="en-US" w:eastAsia="zh-CN" w:bidi="ar-SA"/>
        </w:rPr>
        <w:t>24</w:t>
      </w:r>
      <w:r>
        <w:rPr>
          <w:rFonts w:hint="default" w:ascii="Times New Roman" w:hAnsi="Times New Roman" w:eastAsia="仿宋_GB2312" w:cs="Times New Roman"/>
          <w:color w:val="auto"/>
          <w:kern w:val="2"/>
          <w:sz w:val="32"/>
          <w:szCs w:val="32"/>
          <w:highlight w:val="none"/>
          <w:u w:val="none"/>
          <w:lang w:val="en-US" w:eastAsia="zh-CN" w:bidi="ar-SA"/>
        </w:rPr>
        <w:t>条，2025年广澳港区外贸集装箱吞吐量同比增长</w:t>
      </w:r>
      <w:r>
        <w:rPr>
          <w:rFonts w:hint="default" w:ascii="Times New Roman" w:hAnsi="Times New Roman" w:cs="Times New Roman"/>
          <w:b w:val="0"/>
          <w:bCs w:val="0"/>
          <w:color w:val="auto"/>
          <w:kern w:val="2"/>
          <w:sz w:val="32"/>
          <w:szCs w:val="20"/>
          <w:highlight w:val="none"/>
          <w:shd w:val="clear" w:color="auto" w:fill="auto"/>
          <w:lang w:val="en-US" w:eastAsia="zh-CN" w:bidi="ar-SA"/>
        </w:rPr>
        <w:t>28.2</w:t>
      </w:r>
      <w:r>
        <w:rPr>
          <w:rFonts w:hint="default"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b w:val="0"/>
          <w:bCs w:val="0"/>
          <w:color w:val="auto"/>
          <w:kern w:val="2"/>
          <w:sz w:val="32"/>
          <w:szCs w:val="20"/>
          <w:highlight w:val="none"/>
          <w:shd w:val="clear" w:color="auto" w:fill="auto"/>
          <w:lang w:val="en-US" w:eastAsia="zh-CN" w:bidi="ar-SA"/>
        </w:rPr>
        <w:t>外贸</w:t>
      </w:r>
      <w:r>
        <w:rPr>
          <w:rFonts w:hint="eastAsia" w:cs="Times New Roman"/>
          <w:b w:val="0"/>
          <w:bCs w:val="0"/>
          <w:color w:val="auto"/>
          <w:kern w:val="2"/>
          <w:sz w:val="32"/>
          <w:szCs w:val="20"/>
          <w:highlight w:val="none"/>
          <w:shd w:val="clear" w:color="auto" w:fill="auto"/>
          <w:lang w:val="en-US" w:eastAsia="zh-CN" w:bidi="ar-SA"/>
        </w:rPr>
        <w:t>“</w:t>
      </w:r>
      <w:r>
        <w:rPr>
          <w:rFonts w:hint="default" w:ascii="Times New Roman" w:hAnsi="Times New Roman" w:eastAsia="仿宋_GB2312" w:cs="Times New Roman"/>
          <w:b w:val="0"/>
          <w:bCs w:val="0"/>
          <w:color w:val="auto"/>
          <w:kern w:val="2"/>
          <w:sz w:val="32"/>
          <w:szCs w:val="20"/>
          <w:highlight w:val="none"/>
          <w:shd w:val="clear" w:color="auto" w:fill="auto"/>
          <w:lang w:val="en-US" w:eastAsia="zh-CN" w:bidi="ar-SA"/>
        </w:rPr>
        <w:t>优进优出</w:t>
      </w:r>
      <w:r>
        <w:rPr>
          <w:rFonts w:hint="eastAsia" w:cs="Times New Roman"/>
          <w:b w:val="0"/>
          <w:bCs w:val="0"/>
          <w:color w:val="auto"/>
          <w:kern w:val="2"/>
          <w:sz w:val="32"/>
          <w:szCs w:val="20"/>
          <w:highlight w:val="none"/>
          <w:shd w:val="clear" w:color="auto" w:fill="auto"/>
          <w:lang w:val="en-US" w:eastAsia="zh-CN" w:bidi="ar-SA"/>
        </w:rPr>
        <w:t>”</w:t>
      </w:r>
      <w:r>
        <w:rPr>
          <w:rFonts w:hint="default" w:ascii="Times New Roman" w:hAnsi="Times New Roman" w:eastAsia="仿宋_GB2312" w:cs="Times New Roman"/>
          <w:b w:val="0"/>
          <w:bCs w:val="0"/>
          <w:color w:val="auto"/>
          <w:kern w:val="2"/>
          <w:sz w:val="32"/>
          <w:szCs w:val="20"/>
          <w:highlight w:val="none"/>
          <w:shd w:val="clear" w:color="auto" w:fill="auto"/>
          <w:lang w:val="en-US" w:eastAsia="zh-CN" w:bidi="ar-SA"/>
        </w:rPr>
        <w:t>效应明显</w:t>
      </w:r>
      <w:r>
        <w:rPr>
          <w:rFonts w:hint="default" w:ascii="Times New Roman" w:hAnsi="Times New Roman" w:eastAsia="仿宋_GB2312" w:cs="Times New Roman"/>
          <w:color w:val="auto"/>
          <w:kern w:val="2"/>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Times New Roman" w:hAnsi="Times New Roman" w:eastAsia="仿宋_GB2312" w:cs="Times New Roman"/>
          <w:b w:val="0"/>
          <w:bCs/>
          <w:color w:val="auto"/>
          <w:spacing w:val="0"/>
          <w:kern w:val="10"/>
          <w:sz w:val="32"/>
          <w:szCs w:val="32"/>
          <w:highlight w:val="none"/>
          <w:u w:val="none"/>
          <w:lang w:val="en-US" w:eastAsia="zh-CN" w:bidi="ar-SA"/>
        </w:rPr>
      </w:pPr>
      <w:r>
        <w:rPr>
          <w:rFonts w:hint="eastAsia" w:ascii="Times New Roman" w:hAnsi="Times New Roman" w:eastAsia="仿宋_GB2312" w:cs="Times New Roman"/>
          <w:b/>
          <w:bCs/>
          <w:color w:val="auto"/>
          <w:spacing w:val="0"/>
          <w:kern w:val="10"/>
          <w:sz w:val="32"/>
          <w:szCs w:val="32"/>
          <w:highlight w:val="none"/>
          <w:u w:val="none"/>
          <w:lang w:val="en-US" w:eastAsia="zh-CN" w:bidi="ar-SA"/>
        </w:rPr>
        <w:t>通关便利化水平持续提升。</w:t>
      </w:r>
      <w:r>
        <w:rPr>
          <w:rFonts w:hint="eastAsia" w:ascii="仿宋_GB2312" w:hAnsi="仿宋_GB2312" w:eastAsia="仿宋_GB2312" w:cs="仿宋_GB2312"/>
          <w:color w:val="auto"/>
          <w:kern w:val="2"/>
          <w:sz w:val="32"/>
          <w:szCs w:val="32"/>
          <w:u w:val="none"/>
          <w:lang w:val="en-US" w:eastAsia="zh-CN" w:bidi="ar-SA"/>
        </w:rPr>
        <w:t>“十四五”期间，</w:t>
      </w:r>
      <w:r>
        <w:rPr>
          <w:rFonts w:hint="eastAsia" w:ascii="Times New Roman" w:hAnsi="Times New Roman" w:eastAsia="仿宋_GB2312" w:cs="Times New Roman"/>
          <w:b w:val="0"/>
          <w:bCs w:val="0"/>
          <w:color w:val="auto"/>
          <w:spacing w:val="0"/>
          <w:kern w:val="10"/>
          <w:sz w:val="32"/>
          <w:szCs w:val="32"/>
          <w:highlight w:val="none"/>
          <w:u w:val="none"/>
          <w:lang w:val="en-US" w:eastAsia="zh-CN" w:bidi="ar-SA"/>
        </w:rPr>
        <w:t>汕头口岸物流协同平台（二期）上线使用，进一步打通口岸物流数据信息壁垒，为多方主体提供全流程口岸物流信息服务。推进跨港区货物“先进区、后报关”试点，</w:t>
      </w:r>
      <w:r>
        <w:rPr>
          <w:rFonts w:hint="default" w:ascii="Times New Roman" w:hAnsi="Times New Roman" w:eastAsia="仿宋_GB2312" w:cs="Times New Roman"/>
          <w:b w:val="0"/>
          <w:bCs/>
          <w:color w:val="auto"/>
          <w:spacing w:val="0"/>
          <w:kern w:val="10"/>
          <w:sz w:val="32"/>
          <w:szCs w:val="32"/>
          <w:highlight w:val="none"/>
          <w:u w:val="none"/>
          <w:lang w:val="en-US" w:eastAsia="zh-CN" w:bidi="ar-SA"/>
        </w:rPr>
        <w:t>持续推</w:t>
      </w:r>
      <w:r>
        <w:rPr>
          <w:rFonts w:hint="eastAsia" w:ascii="仿宋_GB2312" w:hAnsi="仿宋_GB2312" w:eastAsia="仿宋_GB2312" w:cs="仿宋_GB2312"/>
          <w:b w:val="0"/>
          <w:bCs/>
          <w:color w:val="auto"/>
          <w:spacing w:val="0"/>
          <w:kern w:val="10"/>
          <w:sz w:val="32"/>
          <w:szCs w:val="32"/>
          <w:highlight w:val="none"/>
          <w:u w:val="none"/>
          <w:lang w:val="en-US" w:eastAsia="zh-CN" w:bidi="ar-SA"/>
        </w:rPr>
        <w:t>广“提前申报”、“两步申报”等通关</w:t>
      </w:r>
      <w:r>
        <w:rPr>
          <w:rFonts w:hint="default" w:ascii="Times New Roman" w:hAnsi="Times New Roman" w:eastAsia="仿宋_GB2312" w:cs="Times New Roman"/>
          <w:b w:val="0"/>
          <w:bCs/>
          <w:color w:val="auto"/>
          <w:spacing w:val="0"/>
          <w:kern w:val="10"/>
          <w:sz w:val="32"/>
          <w:szCs w:val="32"/>
          <w:highlight w:val="none"/>
          <w:u w:val="none"/>
          <w:lang w:val="en-US" w:eastAsia="zh-CN" w:bidi="ar-SA"/>
        </w:rPr>
        <w:t>模式，整体通关时间</w:t>
      </w:r>
      <w:r>
        <w:rPr>
          <w:rFonts w:hint="eastAsia" w:ascii="Times New Roman" w:hAnsi="Times New Roman" w:eastAsia="仿宋_GB2312" w:cs="Times New Roman"/>
          <w:b w:val="0"/>
          <w:bCs/>
          <w:color w:val="auto"/>
          <w:spacing w:val="0"/>
          <w:kern w:val="10"/>
          <w:sz w:val="32"/>
          <w:szCs w:val="32"/>
          <w:highlight w:val="none"/>
          <w:u w:val="none"/>
          <w:lang w:val="en-US" w:eastAsia="zh-CN" w:bidi="ar-SA"/>
        </w:rPr>
        <w:t>得到</w:t>
      </w:r>
      <w:r>
        <w:rPr>
          <w:rFonts w:hint="default" w:ascii="Times New Roman" w:hAnsi="Times New Roman" w:eastAsia="仿宋_GB2312" w:cs="Times New Roman"/>
          <w:b w:val="0"/>
          <w:bCs/>
          <w:color w:val="auto"/>
          <w:spacing w:val="0"/>
          <w:kern w:val="10"/>
          <w:sz w:val="32"/>
          <w:szCs w:val="32"/>
          <w:highlight w:val="none"/>
          <w:u w:val="none"/>
          <w:lang w:val="en-US" w:eastAsia="zh-CN" w:bidi="ar-SA"/>
        </w:rPr>
        <w:t>巩固压缩</w:t>
      </w:r>
      <w:r>
        <w:rPr>
          <w:rFonts w:hint="eastAsia" w:ascii="Times New Roman" w:hAnsi="Times New Roman" w:eastAsia="仿宋_GB2312" w:cs="Times New Roman"/>
          <w:b w:val="0"/>
          <w:bCs/>
          <w:color w:val="auto"/>
          <w:spacing w:val="0"/>
          <w:kern w:val="1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2"/>
        <w:rPr>
          <w:rFonts w:hint="eastAsia" w:ascii="楷体" w:hAnsi="楷体" w:eastAsia="楷体" w:cs="楷体"/>
          <w:b/>
          <w:bCs/>
          <w:color w:val="auto"/>
          <w:spacing w:val="0"/>
          <w:kern w:val="10"/>
          <w:sz w:val="32"/>
          <w:szCs w:val="32"/>
          <w:highlight w:val="none"/>
          <w:u w:val="none"/>
          <w:lang w:val="en-US" w:eastAsia="zh-CN" w:bidi="ar-SA"/>
        </w:rPr>
      </w:pPr>
      <w:r>
        <w:rPr>
          <w:rFonts w:hint="eastAsia" w:ascii="楷体" w:hAnsi="楷体" w:eastAsia="楷体" w:cs="楷体"/>
          <w:b/>
          <w:bCs/>
          <w:color w:val="auto"/>
          <w:spacing w:val="0"/>
          <w:kern w:val="10"/>
          <w:sz w:val="32"/>
          <w:szCs w:val="32"/>
          <w:highlight w:val="none"/>
          <w:u w:val="none"/>
          <w:lang w:val="en-US" w:eastAsia="zh-CN" w:bidi="ar-SA"/>
        </w:rPr>
        <w:t>第八节  制度型开放水平</w:t>
      </w:r>
      <w:r>
        <w:rPr>
          <w:rFonts w:hint="default" w:ascii="楷体" w:hAnsi="楷体" w:eastAsia="楷体" w:cs="楷体"/>
          <w:b/>
          <w:bCs/>
          <w:color w:val="auto"/>
          <w:spacing w:val="0"/>
          <w:kern w:val="10"/>
          <w:sz w:val="32"/>
          <w:szCs w:val="32"/>
          <w:highlight w:val="none"/>
          <w:u w:val="none"/>
          <w:lang w:val="en-US" w:eastAsia="zh-CN" w:bidi="ar-SA"/>
        </w:rPr>
        <w:t>提升</w:t>
      </w:r>
    </w:p>
    <w:p>
      <w:pPr>
        <w:keepNext w:val="0"/>
        <w:keepLines w:val="0"/>
        <w:pageBreakBefore w:val="0"/>
        <w:widowControl w:val="0"/>
        <w:suppressLineNumbers w:val="0"/>
        <w:suppressAutoHyphens/>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w:hAnsi="Times New Roman" w:eastAsia="仿宋_GB2312" w:cs="Times New Roman"/>
          <w:b w:val="0"/>
          <w:bCs w:val="0"/>
          <w:color w:val="auto"/>
          <w:kern w:val="2"/>
          <w:sz w:val="32"/>
          <w:szCs w:val="32"/>
          <w:u w:val="none"/>
          <w:lang w:val="en-US" w:eastAsia="zh-CN" w:bidi="ar-SA"/>
        </w:rPr>
      </w:pPr>
      <w:r>
        <w:rPr>
          <w:rFonts w:hint="eastAsia" w:ascii="Times New Roman" w:hAnsi="Times New Roman" w:eastAsia="仿宋_GB2312" w:cs="Times New Roman"/>
          <w:b w:val="0"/>
          <w:bCs w:val="0"/>
          <w:color w:val="auto"/>
          <w:kern w:val="2"/>
          <w:sz w:val="32"/>
          <w:szCs w:val="32"/>
          <w:u w:val="none"/>
          <w:lang w:val="en-US" w:eastAsia="zh-CN" w:bidi="ar-SA"/>
        </w:rPr>
        <w:t>汕头联动发展区于2022年获批设立，“十四五”期间以清单形式复制推广自贸区改革创新事项清单任务两批次共71项，</w:t>
      </w:r>
      <w:r>
        <w:rPr>
          <w:rFonts w:hint="eastAsia" w:eastAsia="仿宋_GB2312" w:cs="Times New Roman"/>
          <w:b w:val="0"/>
          <w:bCs w:val="0"/>
          <w:color w:val="auto"/>
          <w:kern w:val="2"/>
          <w:sz w:val="32"/>
          <w:szCs w:val="32"/>
          <w:u w:val="none"/>
          <w:lang w:val="en-US" w:eastAsia="zh-CN" w:bidi="ar-SA"/>
        </w:rPr>
        <w:t>落实率85.9%</w:t>
      </w:r>
      <w:r>
        <w:rPr>
          <w:rFonts w:hint="eastAsia" w:ascii="Times New Roman" w:hAnsi="Times New Roman" w:eastAsia="仿宋_GB2312" w:cs="Times New Roman"/>
          <w:b w:val="0"/>
          <w:bCs w:val="0"/>
          <w:color w:val="auto"/>
          <w:kern w:val="2"/>
          <w:sz w:val="32"/>
          <w:szCs w:val="32"/>
          <w:u w:val="none"/>
          <w:lang w:val="en-US" w:eastAsia="zh-CN" w:bidi="ar-SA"/>
        </w:rPr>
        <w:t>。《汕头联动发展区创新“拎包入住”供电服务模式》《汕头联动发展区系统推进涉侨审判工作自主创新》等</w:t>
      </w:r>
      <w:r>
        <w:rPr>
          <w:rFonts w:hint="eastAsia" w:eastAsia="仿宋_GB2312" w:cs="Times New Roman"/>
          <w:b w:val="0"/>
          <w:bCs w:val="0"/>
          <w:color w:val="auto"/>
          <w:kern w:val="2"/>
          <w:sz w:val="32"/>
          <w:szCs w:val="32"/>
          <w:u w:val="none"/>
          <w:lang w:val="en-US" w:eastAsia="zh-CN" w:bidi="ar-SA"/>
        </w:rPr>
        <w:t>9</w:t>
      </w:r>
      <w:r>
        <w:rPr>
          <w:rFonts w:hint="eastAsia" w:ascii="Times New Roman" w:hAnsi="Times New Roman" w:eastAsia="仿宋_GB2312" w:cs="Times New Roman"/>
          <w:b w:val="0"/>
          <w:bCs w:val="0"/>
          <w:color w:val="auto"/>
          <w:kern w:val="2"/>
          <w:sz w:val="32"/>
          <w:szCs w:val="32"/>
          <w:u w:val="none"/>
          <w:lang w:val="en-US" w:eastAsia="zh-CN" w:bidi="ar-SA"/>
        </w:rPr>
        <w:t>篇典型创新案例在全省推广。</w:t>
      </w:r>
      <w:r>
        <w:rPr>
          <w:rFonts w:hint="eastAsia" w:eastAsia="仿宋_GB2312" w:cs="Times New Roman"/>
          <w:b w:val="0"/>
          <w:bCs w:val="0"/>
          <w:color w:val="auto"/>
          <w:kern w:val="2"/>
          <w:sz w:val="32"/>
          <w:szCs w:val="32"/>
          <w:u w:val="none"/>
          <w:lang w:eastAsia="zh-CN" w:bidi="ar-SA"/>
        </w:rPr>
        <w:t>全市</w:t>
      </w:r>
      <w:r>
        <w:rPr>
          <w:rFonts w:hint="default" w:eastAsia="仿宋_GB2312" w:cs="Times New Roman"/>
          <w:b w:val="0"/>
          <w:bCs w:val="0"/>
          <w:color w:val="auto"/>
          <w:kern w:val="2"/>
          <w:sz w:val="32"/>
          <w:szCs w:val="32"/>
          <w:u w:val="none"/>
          <w:lang w:eastAsia="zh-CN" w:bidi="ar-SA"/>
        </w:rPr>
        <w:t>累计复制推广全国、全省自贸试验区改革创新经验</w:t>
      </w:r>
      <w:r>
        <w:rPr>
          <w:rFonts w:hint="eastAsia" w:eastAsia="仿宋_GB2312" w:cs="Times New Roman"/>
          <w:b w:val="0"/>
          <w:bCs w:val="0"/>
          <w:color w:val="auto"/>
          <w:kern w:val="2"/>
          <w:sz w:val="32"/>
          <w:szCs w:val="32"/>
          <w:highlight w:val="none"/>
          <w:u w:val="none"/>
          <w:lang w:val="en-US" w:eastAsia="zh-CN" w:bidi="ar-SA"/>
        </w:rPr>
        <w:t>278</w:t>
      </w:r>
      <w:r>
        <w:rPr>
          <w:rFonts w:hint="default" w:eastAsia="仿宋_GB2312" w:cs="Times New Roman"/>
          <w:b w:val="0"/>
          <w:bCs w:val="0"/>
          <w:color w:val="auto"/>
          <w:kern w:val="2"/>
          <w:sz w:val="32"/>
          <w:szCs w:val="32"/>
          <w:highlight w:val="none"/>
          <w:u w:val="none"/>
          <w:lang w:eastAsia="zh-CN" w:bidi="ar-SA"/>
        </w:rPr>
        <w:t>项</w:t>
      </w:r>
      <w:r>
        <w:rPr>
          <w:rFonts w:hint="default" w:eastAsia="仿宋_GB2312" w:cs="Times New Roman"/>
          <w:b w:val="0"/>
          <w:bCs w:val="0"/>
          <w:color w:val="auto"/>
          <w:kern w:val="2"/>
          <w:sz w:val="32"/>
          <w:szCs w:val="32"/>
          <w:u w:val="none"/>
          <w:lang w:eastAsia="zh-CN" w:bidi="ar-SA"/>
        </w:rPr>
        <w:t>。</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default" w:ascii="黑体" w:hAnsi="黑体" w:eastAsia="黑体" w:cs="黑体"/>
          <w:color w:val="auto"/>
          <w:sz w:val="36"/>
          <w:szCs w:val="36"/>
          <w:highlight w:val="none"/>
          <w:u w:val="none"/>
          <w:lang w:val="en-US" w:eastAsia="zh-CN"/>
        </w:rPr>
      </w:pPr>
      <w:bookmarkStart w:id="1" w:name="_Toc826648793"/>
      <w:r>
        <w:rPr>
          <w:rFonts w:hint="eastAsia" w:ascii="黑体" w:hAnsi="黑体" w:eastAsia="黑体" w:cs="黑体"/>
          <w:color w:val="auto"/>
          <w:sz w:val="36"/>
          <w:szCs w:val="36"/>
          <w:highlight w:val="none"/>
          <w:u w:val="none"/>
          <w:lang w:val="en-US" w:eastAsia="zh-CN"/>
        </w:rPr>
        <w:t>第二章  “十五五”发展形势及主要目标</w:t>
      </w:r>
      <w:bookmarkEnd w:id="1"/>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2" w:name="_Toc1713251535"/>
      <w:r>
        <w:rPr>
          <w:rFonts w:hint="eastAsia" w:ascii="楷体" w:hAnsi="楷体" w:eastAsia="楷体" w:cs="楷体"/>
          <w:b/>
          <w:bCs/>
          <w:color w:val="auto"/>
          <w:spacing w:val="0"/>
          <w:kern w:val="10"/>
          <w:sz w:val="32"/>
          <w:szCs w:val="32"/>
          <w:highlight w:val="none"/>
          <w:u w:val="none"/>
          <w:lang w:val="en-US" w:eastAsia="zh-CN" w:bidi="ar-SA"/>
        </w:rPr>
        <w:t>第一节  发展机遇</w:t>
      </w:r>
      <w:bookmarkEnd w:id="2"/>
    </w:p>
    <w:p>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从国际看：“十五五”时期，全球经济将呈现“增速放缓、风险加剧、区域分化”特征，随着全球产业结构的调整和升级，许多产业正在向以中国为中心的亚洲地区转移，美西方国家对我国采取的技术封锁政策倒逼我国加快自主创新步伐。同时，新兴经济体发展势头良好，全球“南方国家”经济影响力增强，为我国提供了拓展市场的机会。中国作为世界第二大经济体的国际影响力和全球治理话语权不断增强，高质量共建“一带一路”扎实推进，正成为世界经济增长的重要引擎。</w:t>
      </w:r>
    </w:p>
    <w:p>
      <w:pPr>
        <w:keepNext w:val="0"/>
        <w:keepLines w:val="0"/>
        <w:pageBreakBefore w:val="0"/>
        <w:widowControl w:val="0"/>
        <w:shd w:val="clear" w:color="auto" w:fill="auto"/>
        <w:kinsoku/>
        <w:wordWrap/>
        <w:overflowPunct/>
        <w:topLinePunct w:val="0"/>
        <w:autoSpaceDE/>
        <w:autoSpaceDN/>
        <w:bidi w:val="0"/>
        <w:snapToGrid w:val="0"/>
        <w:spacing w:line="600" w:lineRule="exact"/>
        <w:ind w:firstLine="640" w:firstLineChars="200"/>
        <w:jc w:val="both"/>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spacing w:val="0"/>
          <w:kern w:val="10"/>
          <w:sz w:val="32"/>
          <w:szCs w:val="32"/>
          <w:highlight w:val="none"/>
          <w:u w:val="none"/>
          <w:lang w:val="en-US" w:eastAsia="zh-CN" w:bidi="ar-SA"/>
        </w:rPr>
        <w:t>从国内看：</w:t>
      </w:r>
      <w:r>
        <w:rPr>
          <w:rFonts w:hint="eastAsia" w:ascii="仿宋_GB2312" w:hAnsi="仿宋_GB2312" w:eastAsia="仿宋_GB2312" w:cs="仿宋_GB2312"/>
          <w:color w:val="auto"/>
          <w:kern w:val="2"/>
          <w:sz w:val="32"/>
          <w:szCs w:val="32"/>
          <w:u w:val="none"/>
          <w:lang w:val="en-US" w:eastAsia="zh-CN" w:bidi="ar-SA"/>
        </w:rPr>
        <w:t>我国经济基础稳、优势多、韧性强、潜能大，长期向好的支撑条件和基本趋势没有变。超大规模市场优势突出，居民衣食住行和精神文化需求潜力巨大、薄弱环节和新领域新赛道投资还有很大空间。“十五五”时期，国内消费对增长的拉动作用将进一步增强，生产性服务业加快发展，数字消费、绿色消费、服务消费等新型消费将释放新的需求空间。《商务部关于印发促进外贸稳定增长若干措施的通知》《关于完善现代商贸流通体系推动批发零售业高质量发展的行动计划》《关于数字贸易改革创新发展的意见》等一系列新政策相继落地，中央和省级层面加力扩围实施“两新”政策，创新多元化消费场景，扩大服务消费，积极发展首发经济，实施降低全社会物流成本专项行动，并推出稳外贸、稳外资</w:t>
      </w:r>
      <w:r>
        <w:rPr>
          <w:rFonts w:hint="eastAsia" w:ascii="仿宋_GB2312" w:hAnsi="仿宋_GB2312" w:eastAsia="仿宋_GB2312" w:cs="仿宋_GB2312"/>
          <w:color w:val="auto"/>
          <w:kern w:val="2"/>
          <w:sz w:val="32"/>
          <w:szCs w:val="32"/>
          <w:highlight w:val="none"/>
          <w:u w:val="none"/>
          <w:lang w:val="en-US" w:eastAsia="zh-CN" w:bidi="ar-SA"/>
        </w:rPr>
        <w:t>等一系列政策措施，将有效增强市场信心。</w:t>
      </w:r>
    </w:p>
    <w:p>
      <w:pPr>
        <w:pStyle w:val="10"/>
        <w:widowControl/>
        <w:pBdr>
          <w:top w:val="none" w:color="auto" w:sz="0" w:space="0"/>
          <w:left w:val="none" w:color="auto" w:sz="0" w:space="0"/>
          <w:bottom w:val="none" w:color="auto" w:sz="0" w:space="0"/>
          <w:right w:val="none" w:color="auto" w:sz="0" w:space="0"/>
        </w:pBdr>
        <w:shd w:val="clear" w:color="auto" w:fill="auto"/>
        <w:spacing w:before="0" w:beforeAutospacing="0" w:after="0" w:afterAutospacing="0" w:line="600" w:lineRule="exact"/>
        <w:ind w:firstLine="640" w:firstLineChars="200"/>
        <w:rPr>
          <w:rFonts w:hint="default"/>
          <w:color w:val="auto"/>
          <w:u w:val="none"/>
          <w:lang w:eastAsia="zh-CN"/>
        </w:rPr>
      </w:pPr>
      <w:r>
        <w:rPr>
          <w:rFonts w:hint="default" w:ascii="仿宋_GB2312" w:hAnsi="仿宋_GB2312" w:eastAsia="仿宋_GB2312" w:cs="仿宋_GB2312"/>
          <w:color w:val="auto"/>
          <w:kern w:val="2"/>
          <w:sz w:val="32"/>
          <w:szCs w:val="32"/>
          <w:highlight w:val="none"/>
          <w:u w:val="none"/>
          <w:lang w:eastAsia="zh-CN" w:bidi="ar-SA"/>
        </w:rPr>
        <w:t>从全省全市看</w:t>
      </w:r>
      <w:r>
        <w:rPr>
          <w:rFonts w:hint="eastAsia" w:ascii="仿宋_GB2312" w:hAnsi="仿宋_GB2312" w:eastAsia="仿宋_GB2312" w:cs="仿宋_GB2312"/>
          <w:color w:val="auto"/>
          <w:kern w:val="2"/>
          <w:sz w:val="32"/>
          <w:szCs w:val="32"/>
          <w:highlight w:val="none"/>
          <w:u w:val="none"/>
          <w:lang w:eastAsia="zh-CN" w:bidi="ar-SA"/>
        </w:rPr>
        <w:t>：党的十八大以来，习近平总书记多次亲临广东考察，寄望广东坚定不移全面深化改革扩大高水平对外开放，在推进中国式现代化建设中走在前列。全省正</w:t>
      </w:r>
      <w:r>
        <w:rPr>
          <w:rFonts w:hint="eastAsia" w:ascii="Times New Roman" w:hAnsi="Times New Roman" w:eastAsia="仿宋_GB2312" w:cs="Times New Roman"/>
          <w:color w:val="auto"/>
          <w:kern w:val="0"/>
          <w:sz w:val="32"/>
          <w:szCs w:val="32"/>
          <w:highlight w:val="none"/>
          <w:u w:val="none"/>
          <w:lang w:val="en-US" w:eastAsia="zh-CN" w:bidi="ar-SA"/>
        </w:rPr>
        <w:t>深入学习贯彻习近平总书记对广东系列重要讲话和重要指示精神，围绕落实省委“1310”具体部署，打好“五外联动”组合拳，</w:t>
      </w:r>
      <w:r>
        <w:rPr>
          <w:rFonts w:hint="eastAsia" w:ascii="Times New Roman" w:hAnsi="Times New Roman" w:eastAsia="仿宋_GB2312" w:cs="Times New Roman"/>
          <w:color w:val="auto"/>
          <w:kern w:val="0"/>
          <w:sz w:val="32"/>
          <w:szCs w:val="32"/>
          <w:u w:val="none"/>
          <w:lang w:val="en-US" w:eastAsia="zh-CN" w:bidi="ar-SA"/>
        </w:rPr>
        <w:t>扩大高水平对外开放，为实现“十五五”良好开局打牢基础。</w:t>
      </w:r>
      <w:r>
        <w:rPr>
          <w:rFonts w:hint="default" w:ascii="仿宋_GB2312" w:hAnsi="仿宋_GB2312" w:eastAsia="仿宋_GB2312" w:cs="仿宋_GB2312"/>
          <w:color w:val="auto"/>
          <w:kern w:val="2"/>
          <w:sz w:val="32"/>
          <w:szCs w:val="32"/>
          <w:u w:val="none"/>
          <w:lang w:eastAsia="zh-CN" w:bidi="ar-SA"/>
        </w:rPr>
        <w:t>汕头市</w:t>
      </w:r>
      <w:r>
        <w:rPr>
          <w:rFonts w:hint="eastAsia" w:ascii="仿宋_GB2312" w:hAnsi="仿宋_GB2312" w:eastAsia="仿宋_GB2312" w:cs="仿宋_GB2312"/>
          <w:color w:val="auto"/>
          <w:kern w:val="2"/>
          <w:sz w:val="32"/>
          <w:szCs w:val="32"/>
          <w:u w:val="none"/>
          <w:lang w:eastAsia="zh-CN" w:bidi="ar-SA"/>
        </w:rPr>
        <w:t>坚持</w:t>
      </w:r>
      <w:r>
        <w:rPr>
          <w:rFonts w:hint="default" w:ascii="仿宋_GB2312" w:hAnsi="仿宋_GB2312" w:eastAsia="仿宋_GB2312" w:cs="仿宋_GB2312"/>
          <w:color w:val="auto"/>
          <w:kern w:val="2"/>
          <w:sz w:val="32"/>
          <w:szCs w:val="32"/>
          <w:u w:val="none"/>
          <w:lang w:eastAsia="zh-CN" w:bidi="ar-SA"/>
        </w:rPr>
        <w:t>“贸”字当先，“工”字为本，</w:t>
      </w:r>
      <w:r>
        <w:rPr>
          <w:rFonts w:hint="eastAsia" w:ascii="仿宋_GB2312" w:hAnsi="仿宋_GB2312" w:eastAsia="仿宋_GB2312" w:cs="仿宋_GB2312"/>
          <w:color w:val="auto"/>
          <w:kern w:val="2"/>
          <w:sz w:val="32"/>
          <w:szCs w:val="32"/>
          <w:u w:val="none"/>
          <w:lang w:eastAsia="zh-CN" w:bidi="ar-SA"/>
        </w:rPr>
        <w:t>壮工业强商贸，</w:t>
      </w:r>
      <w:r>
        <w:rPr>
          <w:rFonts w:hint="default" w:ascii="仿宋_GB2312" w:hAnsi="仿宋_GB2312" w:eastAsia="仿宋_GB2312" w:cs="仿宋_GB2312"/>
          <w:color w:val="auto"/>
          <w:kern w:val="2"/>
          <w:sz w:val="32"/>
          <w:szCs w:val="32"/>
          <w:u w:val="none"/>
          <w:lang w:eastAsia="zh-CN" w:bidi="ar-SA"/>
        </w:rPr>
        <w:t>加快建设工商并举的现代化产业体系，</w:t>
      </w:r>
      <w:r>
        <w:rPr>
          <w:rFonts w:hint="eastAsia" w:ascii="仿宋_GB2312" w:hAnsi="仿宋_GB2312" w:eastAsia="仿宋_GB2312" w:cs="仿宋_GB2312"/>
          <w:color w:val="auto"/>
          <w:kern w:val="2"/>
          <w:sz w:val="32"/>
          <w:szCs w:val="32"/>
          <w:u w:val="none"/>
          <w:lang w:eastAsia="zh-CN" w:bidi="ar-SA"/>
        </w:rPr>
        <w:t>加快推动国家支持汕头发挥侨乡优势  对接粤港澳大湾区建设相关政策</w:t>
      </w:r>
      <w:r>
        <w:rPr>
          <w:rFonts w:hint="eastAsia" w:eastAsia="仿宋_GB2312" w:cs="Times New Roman"/>
          <w:color w:val="auto"/>
          <w:kern w:val="0"/>
          <w:sz w:val="32"/>
          <w:szCs w:val="32"/>
          <w:u w:val="none"/>
          <w:lang w:val="en-US" w:eastAsia="zh-CN" w:bidi="ar-SA"/>
        </w:rPr>
        <w:t>落地实施，</w:t>
      </w:r>
      <w:r>
        <w:rPr>
          <w:rFonts w:hint="eastAsia" w:ascii="Times New Roman" w:hAnsi="Times New Roman" w:eastAsia="仿宋_GB2312" w:cs="Times New Roman"/>
          <w:color w:val="auto"/>
          <w:kern w:val="0"/>
          <w:sz w:val="32"/>
          <w:szCs w:val="32"/>
          <w:u w:val="none"/>
          <w:lang w:val="en-US" w:eastAsia="zh-CN" w:bidi="ar-SA"/>
        </w:rPr>
        <w:t>千方百计</w:t>
      </w:r>
      <w:r>
        <w:rPr>
          <w:rFonts w:hint="eastAsia" w:eastAsia="仿宋_GB2312" w:cs="Times New Roman"/>
          <w:color w:val="auto"/>
          <w:kern w:val="0"/>
          <w:sz w:val="32"/>
          <w:szCs w:val="32"/>
          <w:u w:val="none"/>
          <w:lang w:val="en-US" w:eastAsia="zh-CN" w:bidi="ar-SA"/>
        </w:rPr>
        <w:t>促</w:t>
      </w:r>
      <w:r>
        <w:rPr>
          <w:rFonts w:hint="eastAsia" w:ascii="Times New Roman" w:hAnsi="Times New Roman" w:eastAsia="仿宋_GB2312" w:cs="Times New Roman"/>
          <w:color w:val="auto"/>
          <w:kern w:val="0"/>
          <w:sz w:val="32"/>
          <w:szCs w:val="32"/>
          <w:u w:val="none"/>
          <w:lang w:val="en-US" w:eastAsia="zh-CN" w:bidi="ar-SA"/>
        </w:rPr>
        <w:t>消费</w:t>
      </w:r>
      <w:r>
        <w:rPr>
          <w:rFonts w:hint="eastAsia" w:eastAsia="仿宋_GB2312" w:cs="Times New Roman"/>
          <w:color w:val="auto"/>
          <w:kern w:val="0"/>
          <w:sz w:val="32"/>
          <w:szCs w:val="32"/>
          <w:u w:val="none"/>
          <w:lang w:val="en-US" w:eastAsia="zh-CN" w:bidi="ar-SA"/>
        </w:rPr>
        <w:t>、</w:t>
      </w:r>
      <w:r>
        <w:rPr>
          <w:rFonts w:hint="eastAsia" w:ascii="Times New Roman" w:hAnsi="Times New Roman" w:eastAsia="仿宋_GB2312" w:cs="Times New Roman"/>
          <w:color w:val="auto"/>
          <w:kern w:val="0"/>
          <w:sz w:val="32"/>
          <w:szCs w:val="32"/>
          <w:u w:val="none"/>
          <w:lang w:val="en-US" w:eastAsia="zh-CN" w:bidi="ar-SA"/>
        </w:rPr>
        <w:t>稳外贸</w:t>
      </w:r>
      <w:r>
        <w:rPr>
          <w:rFonts w:hint="eastAsia" w:eastAsia="仿宋_GB2312" w:cs="Times New Roman"/>
          <w:color w:val="auto"/>
          <w:kern w:val="0"/>
          <w:sz w:val="32"/>
          <w:szCs w:val="32"/>
          <w:u w:val="none"/>
          <w:lang w:val="en-US" w:eastAsia="zh-CN" w:bidi="ar-SA"/>
        </w:rPr>
        <w:t>、</w:t>
      </w:r>
      <w:r>
        <w:rPr>
          <w:rFonts w:hint="eastAsia" w:ascii="Times New Roman" w:hAnsi="Times New Roman" w:eastAsia="仿宋_GB2312" w:cs="Times New Roman"/>
          <w:color w:val="auto"/>
          <w:kern w:val="0"/>
          <w:sz w:val="32"/>
          <w:szCs w:val="32"/>
          <w:u w:val="none"/>
          <w:lang w:val="en-US" w:eastAsia="zh-CN" w:bidi="ar-SA"/>
        </w:rPr>
        <w:t>稳外资，</w:t>
      </w:r>
      <w:r>
        <w:rPr>
          <w:rFonts w:hint="eastAsia" w:eastAsia="仿宋_GB2312" w:cs="Times New Roman"/>
          <w:color w:val="auto"/>
          <w:kern w:val="0"/>
          <w:sz w:val="32"/>
          <w:szCs w:val="32"/>
          <w:u w:val="none"/>
          <w:lang w:val="en-US" w:eastAsia="zh-CN" w:bidi="ar-SA"/>
        </w:rPr>
        <w:t>商务经济运行趋势向好，为</w:t>
      </w:r>
      <w:r>
        <w:rPr>
          <w:rFonts w:hint="default" w:ascii="仿宋_GB2312" w:hAnsi="仿宋_GB2312" w:eastAsia="仿宋_GB2312" w:cs="仿宋_GB2312"/>
          <w:color w:val="auto"/>
          <w:kern w:val="2"/>
          <w:sz w:val="32"/>
          <w:szCs w:val="32"/>
          <w:u w:val="none"/>
          <w:lang w:eastAsia="zh-CN" w:bidi="ar-SA"/>
        </w:rPr>
        <w:t>商贸高质量发展</w:t>
      </w:r>
      <w:r>
        <w:rPr>
          <w:rFonts w:hint="eastAsia" w:ascii="仿宋_GB2312" w:hAnsi="仿宋_GB2312" w:eastAsia="仿宋_GB2312" w:cs="仿宋_GB2312"/>
          <w:color w:val="auto"/>
          <w:kern w:val="2"/>
          <w:sz w:val="32"/>
          <w:szCs w:val="32"/>
          <w:u w:val="none"/>
          <w:lang w:eastAsia="zh-CN" w:bidi="ar-SA"/>
        </w:rPr>
        <w:t>带来</w:t>
      </w:r>
      <w:r>
        <w:rPr>
          <w:rFonts w:hint="default" w:ascii="仿宋_GB2312" w:hAnsi="仿宋_GB2312" w:eastAsia="仿宋_GB2312" w:cs="仿宋_GB2312"/>
          <w:color w:val="auto"/>
          <w:kern w:val="2"/>
          <w:sz w:val="32"/>
          <w:szCs w:val="32"/>
          <w:u w:val="none"/>
          <w:lang w:eastAsia="zh-CN" w:bidi="ar-SA"/>
        </w:rPr>
        <w:t>新的机遇。</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 w:name="_Toc469133874"/>
      <w:r>
        <w:rPr>
          <w:rFonts w:hint="eastAsia" w:ascii="楷体" w:hAnsi="楷体" w:eastAsia="楷体" w:cs="楷体"/>
          <w:b/>
          <w:bCs/>
          <w:color w:val="auto"/>
          <w:spacing w:val="0"/>
          <w:kern w:val="10"/>
          <w:sz w:val="32"/>
          <w:szCs w:val="32"/>
          <w:highlight w:val="none"/>
          <w:u w:val="none"/>
          <w:lang w:val="en-US" w:eastAsia="zh-CN" w:bidi="ar-SA"/>
        </w:rPr>
        <w:t>第二节  面临挑战</w:t>
      </w:r>
      <w:bookmarkEnd w:id="3"/>
    </w:p>
    <w:p>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从国际看：全球经济复苏乏力，尤其发达国家经济增速明显下降，投资和消费被抑制，国际市场需求减少，影响出口增长。部分西方国家贸易保护主义、单边主义、逆全球化思潮抬头，通过加征关税、设置贸易壁垒等手段限制中国商品进口，地缘政治冲突不断，俄乌战争、中东战乱等紧张局势对全球贸易和经济稳定造成冲击，干扰国际产业链和供应链的正常运行，加剧外贸进出口风险。</w:t>
      </w:r>
    </w:p>
    <w:p>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黑体" w:hAnsi="黑体" w:eastAsia="黑体" w:cs="黑体"/>
          <w:b w:val="0"/>
          <w:bCs w:val="0"/>
          <w:color w:val="auto"/>
          <w:spacing w:val="0"/>
          <w:kern w:val="10"/>
          <w:sz w:val="32"/>
          <w:szCs w:val="32"/>
          <w:highlight w:val="none"/>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从国内看：从经济结构看，我国经济正处于结构调整转型的关键期，商务经济发展面临的困难和挑战增多。一方面，传统商贸行业受新业态冲击，生存空间不断被挤压，跨境电商</w:t>
      </w:r>
      <w:r>
        <w:rPr>
          <w:rFonts w:hint="default" w:ascii="仿宋_GB2312" w:hAnsi="仿宋_GB2312" w:eastAsia="仿宋_GB2312" w:cs="仿宋_GB2312"/>
          <w:color w:val="auto"/>
          <w:kern w:val="2"/>
          <w:sz w:val="32"/>
          <w:szCs w:val="32"/>
          <w:u w:val="none"/>
          <w:lang w:eastAsia="zh-CN" w:bidi="ar-SA"/>
        </w:rPr>
        <w:t>面临</w:t>
      </w:r>
      <w:r>
        <w:rPr>
          <w:rFonts w:hint="eastAsia" w:ascii="仿宋_GB2312" w:hAnsi="仿宋_GB2312" w:eastAsia="仿宋_GB2312" w:cs="仿宋_GB2312"/>
          <w:color w:val="auto"/>
          <w:kern w:val="2"/>
          <w:sz w:val="32"/>
          <w:szCs w:val="32"/>
          <w:u w:val="none"/>
          <w:lang w:val="en-US" w:eastAsia="zh-CN" w:bidi="ar-SA"/>
        </w:rPr>
        <w:t>监管政策变化快、配套支撑体系建设慢、监管错位风险高等诸多限制因素，使得企业合规经营难度提高。另一方面，国内有效需求不足，居民收入增长放缓，失业率上升和就业稳定性下降相叠加，导致居民消费意愿下降。</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4" w:name="_Toc332123258"/>
      <w:r>
        <w:rPr>
          <w:rFonts w:hint="eastAsia" w:ascii="楷体" w:hAnsi="楷体" w:eastAsia="楷体" w:cs="楷体"/>
          <w:b/>
          <w:bCs/>
          <w:color w:val="auto"/>
          <w:spacing w:val="0"/>
          <w:kern w:val="10"/>
          <w:sz w:val="32"/>
          <w:szCs w:val="32"/>
          <w:highlight w:val="none"/>
          <w:u w:val="none"/>
          <w:lang w:val="en-US" w:eastAsia="zh-CN" w:bidi="ar-SA"/>
        </w:rPr>
        <w:t>第三节  总体要求</w:t>
      </w:r>
      <w:bookmarkEnd w:id="4"/>
    </w:p>
    <w:p>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_GB2312" w:hAnsi="仿宋_GB2312" w:eastAsia="仿宋_GB2312" w:cs="仿宋_GB2312"/>
          <w:b w:val="0"/>
          <w:bCs w:val="0"/>
          <w:color w:val="auto"/>
          <w:spacing w:val="0"/>
          <w:kern w:val="10"/>
          <w:sz w:val="32"/>
          <w:szCs w:val="32"/>
          <w:highlight w:val="none"/>
          <w:u w:val="none"/>
          <w:lang w:val="en-US" w:eastAsia="zh-CN" w:bidi="ar-SA"/>
        </w:rPr>
      </w:pPr>
      <w:r>
        <w:rPr>
          <w:rFonts w:hint="eastAsia" w:ascii="仿宋_GB2312" w:hAnsi="仿宋_GB2312" w:eastAsia="仿宋_GB2312" w:cs="仿宋_GB2312"/>
          <w:b w:val="0"/>
          <w:bCs w:val="0"/>
          <w:color w:val="auto"/>
          <w:spacing w:val="0"/>
          <w:kern w:val="10"/>
          <w:sz w:val="32"/>
          <w:szCs w:val="32"/>
          <w:highlight w:val="none"/>
          <w:u w:val="none"/>
          <w:lang w:val="en-US" w:eastAsia="zh-CN" w:bidi="ar-SA"/>
        </w:rPr>
        <w:t>“十五五”规划是面向</w:t>
      </w:r>
      <w:r>
        <w:rPr>
          <w:rFonts w:hint="default" w:ascii="Times New Roman" w:hAnsi="Times New Roman" w:eastAsia="仿宋_GB2312" w:cs="Times New Roman"/>
          <w:b w:val="0"/>
          <w:bCs w:val="0"/>
          <w:color w:val="auto"/>
          <w:spacing w:val="0"/>
          <w:kern w:val="10"/>
          <w:sz w:val="32"/>
          <w:szCs w:val="32"/>
          <w:highlight w:val="none"/>
          <w:u w:val="none"/>
          <w:lang w:val="en-US" w:eastAsia="zh-CN" w:bidi="ar-SA"/>
        </w:rPr>
        <w:t>2035</w:t>
      </w:r>
      <w:r>
        <w:rPr>
          <w:rFonts w:hint="eastAsia" w:ascii="仿宋_GB2312" w:hAnsi="仿宋_GB2312" w:eastAsia="仿宋_GB2312" w:cs="仿宋_GB2312"/>
          <w:b w:val="0"/>
          <w:bCs w:val="0"/>
          <w:color w:val="auto"/>
          <w:spacing w:val="0"/>
          <w:kern w:val="10"/>
          <w:sz w:val="32"/>
          <w:szCs w:val="32"/>
          <w:highlight w:val="none"/>
          <w:u w:val="none"/>
          <w:lang w:val="en-US" w:eastAsia="zh-CN" w:bidi="ar-SA"/>
        </w:rPr>
        <w:t>年基本实现社会主义现代化进程中承上启下的五年规划，全市商务系统将坚持以习近平新时代中国特色社会主义思想为指导，全面贯彻落实党的二十大和二十届历次全会精神，深入贯彻习近平总书记视察广东、视察汕头重要讲话重要指示精神，认真落实省委、省政府和市委、市政府各项决策部署，统筹国内国际两个大局，完整准确全面贯彻新发展理念，积极服务和融入新发展格局，坚持稳中求进工作总基调，以高质量发展统揽全局，坚持“贸”字当先，坚持“以贸促工”，学习借鉴“义乌发展经验”，奋力开创商贸高质量发展新局面，为汕头在全面建设社会主义现代化国家新征程中走在全省前列提供有力支撑。</w:t>
      </w:r>
      <w:bookmarkStart w:id="5" w:name="_Toc26934607"/>
      <w:bookmarkStart w:id="6" w:name="_Toc97976302"/>
      <w:bookmarkStart w:id="7" w:name="_Toc834782512"/>
      <w:bookmarkStart w:id="8" w:name="_Toc1931214318"/>
      <w:bookmarkStart w:id="9" w:name="_Toc60071554"/>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10" w:name="_Toc1019012002"/>
      <w:r>
        <w:rPr>
          <w:rFonts w:hint="eastAsia" w:ascii="楷体" w:hAnsi="楷体" w:eastAsia="楷体" w:cs="楷体"/>
          <w:b/>
          <w:bCs/>
          <w:color w:val="auto"/>
          <w:spacing w:val="0"/>
          <w:kern w:val="10"/>
          <w:sz w:val="32"/>
          <w:szCs w:val="32"/>
          <w:highlight w:val="none"/>
          <w:u w:val="none"/>
          <w:lang w:val="en-US" w:eastAsia="zh-CN" w:bidi="ar-SA"/>
        </w:rPr>
        <w:t>第四节  主要目标</w:t>
      </w:r>
      <w:bookmarkEnd w:id="10"/>
    </w:p>
    <w:bookmarkEnd w:id="5"/>
    <w:bookmarkEnd w:id="6"/>
    <w:bookmarkEnd w:id="7"/>
    <w:bookmarkEnd w:id="8"/>
    <w:bookmarkEnd w:id="9"/>
    <w:p>
      <w:pPr>
        <w:keepNext w:val="0"/>
        <w:keepLines w:val="0"/>
        <w:pageBreakBefore w:val="0"/>
        <w:widowControl/>
        <w:suppressLineNumbers w:val="0"/>
        <w:shd w:val="clear" w:color="auto" w:fill="auto"/>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outlineLvl w:val="9"/>
        <w:rPr>
          <w:rFonts w:hint="default" w:ascii="Times New Roman" w:hAnsi="Times New Roman" w:eastAsia="仿宋_GB2312"/>
          <w:color w:val="auto"/>
          <w:sz w:val="32"/>
          <w:highlight w:val="none"/>
          <w:u w:val="none"/>
        </w:rPr>
      </w:pPr>
      <w:r>
        <w:rPr>
          <w:rFonts w:hint="eastAsia" w:ascii="Times New Roman" w:hAnsi="Times New Roman" w:eastAsia="仿宋_GB2312" w:cs="Times New Roman"/>
          <w:b/>
          <w:bCs/>
          <w:color w:val="auto"/>
          <w:kern w:val="2"/>
          <w:sz w:val="32"/>
          <w:szCs w:val="24"/>
          <w:highlight w:val="none"/>
          <w:u w:val="none"/>
          <w:lang w:val="en-US" w:eastAsia="zh-CN" w:bidi="ar-SA"/>
        </w:rPr>
        <w:t>促消费扩内需再上新台阶。</w:t>
      </w:r>
      <w:r>
        <w:rPr>
          <w:rFonts w:hint="eastAsia" w:eastAsia="仿宋_GB2312"/>
          <w:b w:val="0"/>
          <w:bCs/>
          <w:color w:val="auto"/>
          <w:sz w:val="32"/>
          <w:highlight w:val="none"/>
          <w:u w:val="none"/>
          <w:lang w:eastAsia="zh-CN"/>
        </w:rPr>
        <w:t>惠民生和促消费结合更加紧密，扩大消费长效机制更加完善，辐射粤东、面向全国的</w:t>
      </w:r>
      <w:r>
        <w:rPr>
          <w:rFonts w:hint="eastAsia" w:ascii="Times New Roman" w:hAnsi="Times New Roman" w:eastAsia="仿宋_GB2312"/>
          <w:b w:val="0"/>
          <w:bCs/>
          <w:color w:val="auto"/>
          <w:sz w:val="32"/>
          <w:highlight w:val="none"/>
          <w:u w:val="none"/>
          <w:lang w:eastAsia="zh-CN"/>
        </w:rPr>
        <w:t>高能级、现代化</w:t>
      </w:r>
      <w:r>
        <w:rPr>
          <w:rFonts w:hint="eastAsia" w:ascii="Times New Roman" w:hAnsi="Times New Roman" w:eastAsia="仿宋_GB2312"/>
          <w:b w:val="0"/>
          <w:bCs/>
          <w:color w:val="auto"/>
          <w:sz w:val="32"/>
          <w:highlight w:val="none"/>
          <w:u w:val="none"/>
        </w:rPr>
        <w:t>城市核心商圈</w:t>
      </w:r>
      <w:r>
        <w:rPr>
          <w:rFonts w:hint="eastAsia" w:ascii="Times New Roman" w:hAnsi="Times New Roman" w:eastAsia="仿宋_GB2312"/>
          <w:b w:val="0"/>
          <w:bCs/>
          <w:color w:val="auto"/>
          <w:sz w:val="32"/>
          <w:highlight w:val="none"/>
          <w:u w:val="none"/>
          <w:lang w:val="en-US" w:eastAsia="zh-CN"/>
        </w:rPr>
        <w:t>和</w:t>
      </w:r>
      <w:r>
        <w:rPr>
          <w:rFonts w:hint="eastAsia" w:eastAsia="仿宋_GB2312"/>
          <w:b w:val="0"/>
          <w:bCs/>
          <w:color w:val="auto"/>
          <w:sz w:val="32"/>
          <w:highlight w:val="none"/>
          <w:u w:val="none"/>
          <w:lang w:eastAsia="zh-CN"/>
        </w:rPr>
        <w:t>层次分明、业态完整、布局合理的城市商业体系</w:t>
      </w:r>
      <w:r>
        <w:rPr>
          <w:rFonts w:hint="eastAsia" w:ascii="Times New Roman" w:hAnsi="Times New Roman" w:eastAsia="仿宋_GB2312"/>
          <w:b w:val="0"/>
          <w:bCs/>
          <w:color w:val="auto"/>
          <w:sz w:val="32"/>
          <w:highlight w:val="none"/>
          <w:u w:val="none"/>
        </w:rPr>
        <w:t>基本建成</w:t>
      </w:r>
      <w:r>
        <w:rPr>
          <w:rFonts w:hint="eastAsia" w:eastAsia="仿宋_GB2312"/>
          <w:b w:val="0"/>
          <w:bCs/>
          <w:color w:val="auto"/>
          <w:sz w:val="32"/>
          <w:highlight w:val="none"/>
          <w:u w:val="none"/>
          <w:lang w:eastAsia="zh-CN"/>
        </w:rPr>
        <w:t>，由内需主导、消费拉动、内生增长的经济发展模式初步形成。</w:t>
      </w:r>
      <w:r>
        <w:rPr>
          <w:rFonts w:hint="eastAsia" w:ascii="Times New Roman" w:hAnsi="Times New Roman" w:eastAsia="仿宋_GB2312"/>
          <w:b w:val="0"/>
          <w:bCs w:val="0"/>
          <w:color w:val="auto"/>
          <w:sz w:val="32"/>
          <w:highlight w:val="none"/>
          <w:u w:val="none"/>
        </w:rPr>
        <w:t>到</w:t>
      </w:r>
      <w:r>
        <w:rPr>
          <w:rFonts w:ascii="Times New Roman" w:hAnsi="Times New Roman" w:eastAsia="仿宋_GB2312"/>
          <w:b w:val="0"/>
          <w:bCs w:val="0"/>
          <w:color w:val="auto"/>
          <w:sz w:val="32"/>
          <w:highlight w:val="none"/>
          <w:u w:val="none"/>
        </w:rPr>
        <w:t>20</w:t>
      </w:r>
      <w:r>
        <w:rPr>
          <w:rFonts w:hint="eastAsia" w:ascii="Times New Roman" w:hAnsi="Times New Roman" w:eastAsia="仿宋_GB2312"/>
          <w:b w:val="0"/>
          <w:bCs w:val="0"/>
          <w:color w:val="auto"/>
          <w:sz w:val="32"/>
          <w:highlight w:val="none"/>
          <w:u w:val="none"/>
          <w:lang w:val="en-US" w:eastAsia="zh-CN"/>
        </w:rPr>
        <w:t>30</w:t>
      </w:r>
      <w:r>
        <w:rPr>
          <w:rFonts w:ascii="Times New Roman" w:hAnsi="Times New Roman" w:eastAsia="仿宋_GB2312"/>
          <w:b w:val="0"/>
          <w:bCs w:val="0"/>
          <w:color w:val="auto"/>
          <w:sz w:val="32"/>
          <w:highlight w:val="none"/>
          <w:u w:val="none"/>
        </w:rPr>
        <w:t>年，</w:t>
      </w:r>
      <w:r>
        <w:rPr>
          <w:rFonts w:hint="eastAsia" w:ascii="Times New Roman" w:hAnsi="Times New Roman" w:eastAsia="仿宋_GB2312"/>
          <w:b w:val="0"/>
          <w:bCs w:val="0"/>
          <w:color w:val="auto"/>
          <w:sz w:val="32"/>
          <w:highlight w:val="none"/>
          <w:u w:val="none"/>
        </w:rPr>
        <w:t>全市</w:t>
      </w:r>
      <w:r>
        <w:rPr>
          <w:rFonts w:ascii="Times New Roman" w:hAnsi="Times New Roman" w:eastAsia="仿宋_GB2312"/>
          <w:b w:val="0"/>
          <w:bCs w:val="0"/>
          <w:color w:val="auto"/>
          <w:sz w:val="32"/>
          <w:highlight w:val="none"/>
          <w:u w:val="none"/>
        </w:rPr>
        <w:t>实现社会消费品零售总额突破</w:t>
      </w:r>
      <w:r>
        <w:rPr>
          <w:rFonts w:hint="default" w:ascii="Times New Roman" w:hAnsi="Times New Roman" w:eastAsia="仿宋_GB2312"/>
          <w:b w:val="0"/>
          <w:bCs w:val="0"/>
          <w:color w:val="auto"/>
          <w:sz w:val="32"/>
          <w:highlight w:val="none"/>
          <w:u w:val="none"/>
        </w:rPr>
        <w:t>1</w:t>
      </w:r>
      <w:r>
        <w:rPr>
          <w:rFonts w:hint="eastAsia" w:ascii="Times New Roman" w:hAnsi="Times New Roman" w:eastAsia="仿宋_GB2312"/>
          <w:b w:val="0"/>
          <w:bCs w:val="0"/>
          <w:color w:val="auto"/>
          <w:sz w:val="32"/>
          <w:highlight w:val="none"/>
          <w:u w:val="none"/>
          <w:lang w:val="en-US" w:eastAsia="zh-CN"/>
        </w:rPr>
        <w:t>6</w:t>
      </w:r>
      <w:r>
        <w:rPr>
          <w:rFonts w:hint="default" w:ascii="Times New Roman" w:hAnsi="Times New Roman" w:eastAsia="仿宋_GB2312"/>
          <w:b w:val="0"/>
          <w:bCs w:val="0"/>
          <w:color w:val="auto"/>
          <w:sz w:val="32"/>
          <w:highlight w:val="none"/>
          <w:u w:val="none"/>
        </w:rPr>
        <w:t>00亿元</w:t>
      </w:r>
      <w:r>
        <w:rPr>
          <w:rFonts w:ascii="Times New Roman" w:hAnsi="Times New Roman" w:eastAsia="仿宋_GB2312"/>
          <w:b w:val="0"/>
          <w:bCs w:val="0"/>
          <w:color w:val="auto"/>
          <w:sz w:val="32"/>
          <w:highlight w:val="none"/>
          <w:u w:val="none"/>
        </w:rPr>
        <w:t>，</w:t>
      </w:r>
      <w:r>
        <w:rPr>
          <w:rFonts w:hint="eastAsia" w:ascii="Times New Roman" w:hAnsi="Times New Roman" w:eastAsia="仿宋_GB2312"/>
          <w:b w:val="0"/>
          <w:bCs w:val="0"/>
          <w:color w:val="auto"/>
          <w:sz w:val="32"/>
          <w:highlight w:val="none"/>
          <w:u w:val="none"/>
        </w:rPr>
        <w:t>实现年均增长</w:t>
      </w:r>
      <w:r>
        <w:rPr>
          <w:rFonts w:hint="eastAsia" w:ascii="Times New Roman" w:hAnsi="Times New Roman" w:eastAsia="仿宋_GB2312"/>
          <w:b w:val="0"/>
          <w:bCs w:val="0"/>
          <w:color w:val="auto"/>
          <w:sz w:val="32"/>
          <w:highlight w:val="none"/>
          <w:u w:val="none"/>
          <w:lang w:val="en-US" w:eastAsia="zh-CN"/>
        </w:rPr>
        <w:t>2</w:t>
      </w:r>
      <w:r>
        <w:rPr>
          <w:rFonts w:hint="eastAsia" w:ascii="Times New Roman" w:hAnsi="Times New Roman" w:eastAsia="仿宋_GB2312"/>
          <w:b w:val="0"/>
          <w:bCs w:val="0"/>
          <w:color w:val="auto"/>
          <w:sz w:val="32"/>
          <w:highlight w:val="none"/>
          <w:u w:val="none"/>
        </w:rPr>
        <w:t>%</w:t>
      </w:r>
      <w:r>
        <w:rPr>
          <w:rFonts w:hint="eastAsia" w:ascii="Times New Roman" w:hAnsi="Times New Roman" w:eastAsia="仿宋_GB2312"/>
          <w:b w:val="0"/>
          <w:bCs w:val="0"/>
          <w:color w:val="auto"/>
          <w:sz w:val="32"/>
          <w:highlight w:val="none"/>
          <w:u w:val="none"/>
          <w:lang w:eastAsia="zh-CN"/>
        </w:rPr>
        <w:t>以上</w:t>
      </w:r>
      <w:r>
        <w:rPr>
          <w:rFonts w:hint="eastAsia" w:ascii="Times New Roman" w:hAnsi="Times New Roman" w:eastAsia="仿宋_GB2312"/>
          <w:color w:val="auto"/>
          <w:sz w:val="32"/>
          <w:highlight w:val="none"/>
          <w:u w:val="none"/>
        </w:rPr>
        <w:t>。</w:t>
      </w:r>
    </w:p>
    <w:p>
      <w:pPr>
        <w:keepNext w:val="0"/>
        <w:keepLines w:val="0"/>
        <w:pageBreakBefore w:val="0"/>
        <w:widowControl/>
        <w:suppressLineNumbers w:val="0"/>
        <w:shd w:val="clear" w:color="auto" w:fill="auto"/>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outlineLvl w:val="9"/>
        <w:rPr>
          <w:rFonts w:hint="eastAsia" w:ascii="Times New Roman" w:hAnsi="Times New Roman" w:eastAsia="仿宋_GB2312"/>
          <w:b w:val="0"/>
          <w:bCs w:val="0"/>
          <w:color w:val="auto"/>
          <w:sz w:val="32"/>
          <w:highlight w:val="none"/>
          <w:u w:val="none"/>
        </w:rPr>
      </w:pPr>
      <w:bookmarkStart w:id="11" w:name="_Toc2054099931"/>
      <w:bookmarkStart w:id="12" w:name="_Toc2018892292"/>
      <w:bookmarkStart w:id="13" w:name="_Toc60071555"/>
      <w:bookmarkStart w:id="14" w:name="_Toc206435693"/>
      <w:bookmarkStart w:id="15" w:name="_Toc1846018735"/>
      <w:r>
        <w:rPr>
          <w:rFonts w:hint="eastAsia" w:ascii="Times New Roman" w:hAnsi="Times New Roman" w:eastAsia="仿宋_GB2312" w:cs="Times New Roman"/>
          <w:b/>
          <w:bCs/>
          <w:color w:val="auto"/>
          <w:kern w:val="2"/>
          <w:sz w:val="32"/>
          <w:szCs w:val="24"/>
          <w:highlight w:val="none"/>
          <w:u w:val="none"/>
          <w:lang w:val="en-US" w:eastAsia="zh-CN" w:bidi="ar-SA"/>
        </w:rPr>
        <w:t>外贸稳量提质取得新</w:t>
      </w:r>
      <w:bookmarkEnd w:id="11"/>
      <w:bookmarkEnd w:id="12"/>
      <w:bookmarkEnd w:id="13"/>
      <w:bookmarkEnd w:id="14"/>
      <w:bookmarkEnd w:id="15"/>
      <w:r>
        <w:rPr>
          <w:rFonts w:hint="eastAsia" w:ascii="Times New Roman" w:hAnsi="Times New Roman" w:eastAsia="仿宋_GB2312" w:cs="Times New Roman"/>
          <w:b/>
          <w:bCs/>
          <w:color w:val="auto"/>
          <w:kern w:val="2"/>
          <w:sz w:val="32"/>
          <w:szCs w:val="24"/>
          <w:highlight w:val="none"/>
          <w:u w:val="none"/>
          <w:lang w:val="en-US" w:eastAsia="zh-CN" w:bidi="ar-SA"/>
        </w:rPr>
        <w:t>成效。</w:t>
      </w:r>
      <w:r>
        <w:rPr>
          <w:rFonts w:hint="eastAsia" w:ascii="Times New Roman" w:hAnsi="Times New Roman" w:eastAsia="仿宋_GB2312"/>
          <w:b w:val="0"/>
          <w:bCs w:val="0"/>
          <w:color w:val="auto"/>
          <w:sz w:val="32"/>
          <w:highlight w:val="none"/>
          <w:u w:val="none"/>
          <w:lang w:eastAsia="zh-CN"/>
        </w:rPr>
        <w:t>积极应对国际经贸形势新变化，</w:t>
      </w:r>
      <w:r>
        <w:rPr>
          <w:rFonts w:hint="eastAsia" w:ascii="Times New Roman" w:hAnsi="Times New Roman" w:eastAsia="仿宋_GB2312"/>
          <w:b w:val="0"/>
          <w:bCs w:val="0"/>
          <w:color w:val="auto"/>
          <w:sz w:val="32"/>
          <w:highlight w:val="none"/>
          <w:u w:val="none"/>
        </w:rPr>
        <w:t>进出口规模保持平稳增长。</w:t>
      </w:r>
      <w:r>
        <w:rPr>
          <w:rFonts w:hint="eastAsia" w:eastAsia="仿宋_GB2312"/>
          <w:b w:val="0"/>
          <w:bCs w:val="0"/>
          <w:color w:val="auto"/>
          <w:sz w:val="32"/>
          <w:highlight w:val="none"/>
          <w:u w:val="none"/>
          <w:lang w:eastAsia="zh-CN"/>
        </w:rPr>
        <w:t>国际市场布局更加优化，</w:t>
      </w:r>
      <w:r>
        <w:rPr>
          <w:rFonts w:hint="eastAsia" w:ascii="Times New Roman" w:hAnsi="Times New Roman" w:eastAsia="仿宋_GB2312"/>
          <w:b w:val="0"/>
          <w:bCs w:val="0"/>
          <w:color w:val="auto"/>
          <w:sz w:val="32"/>
          <w:highlight w:val="none"/>
          <w:u w:val="none"/>
          <w:lang w:eastAsia="zh-CN"/>
        </w:rPr>
        <w:t>“一带一路”、</w:t>
      </w:r>
      <w:r>
        <w:rPr>
          <w:rFonts w:hint="eastAsia" w:ascii="Times New Roman" w:hAnsi="Times New Roman" w:eastAsia="仿宋_GB2312"/>
          <w:b w:val="0"/>
          <w:bCs w:val="0"/>
          <w:color w:val="auto"/>
          <w:sz w:val="32"/>
          <w:highlight w:val="none"/>
          <w:u w:val="none"/>
          <w:lang w:val="en-US" w:eastAsia="zh-CN"/>
        </w:rPr>
        <w:t>RCEP、金砖国家等</w:t>
      </w:r>
      <w:r>
        <w:rPr>
          <w:rFonts w:hint="eastAsia" w:ascii="Times New Roman" w:hAnsi="Times New Roman" w:eastAsia="仿宋_GB2312"/>
          <w:b w:val="0"/>
          <w:bCs w:val="0"/>
          <w:color w:val="auto"/>
          <w:sz w:val="32"/>
          <w:highlight w:val="none"/>
          <w:u w:val="none"/>
          <w:lang w:eastAsia="zh-CN"/>
        </w:rPr>
        <w:t>新兴市场</w:t>
      </w:r>
      <w:r>
        <w:rPr>
          <w:rFonts w:ascii="Times New Roman" w:hAnsi="Times New Roman" w:eastAsia="仿宋_GB2312"/>
          <w:b w:val="0"/>
          <w:bCs w:val="0"/>
          <w:color w:val="auto"/>
          <w:sz w:val="32"/>
          <w:highlight w:val="none"/>
          <w:u w:val="none"/>
        </w:rPr>
        <w:t>在外贸</w:t>
      </w:r>
      <w:r>
        <w:rPr>
          <w:rFonts w:hint="eastAsia" w:eastAsia="仿宋_GB2312"/>
          <w:b w:val="0"/>
          <w:bCs w:val="0"/>
          <w:color w:val="auto"/>
          <w:sz w:val="32"/>
          <w:highlight w:val="none"/>
          <w:u w:val="none"/>
          <w:lang w:eastAsia="zh-CN"/>
        </w:rPr>
        <w:t>市场</w:t>
      </w:r>
      <w:r>
        <w:rPr>
          <w:rFonts w:ascii="Times New Roman" w:hAnsi="Times New Roman" w:eastAsia="仿宋_GB2312"/>
          <w:b w:val="0"/>
          <w:bCs w:val="0"/>
          <w:color w:val="auto"/>
          <w:sz w:val="32"/>
          <w:highlight w:val="none"/>
          <w:u w:val="none"/>
        </w:rPr>
        <w:t>中</w:t>
      </w:r>
      <w:r>
        <w:rPr>
          <w:rFonts w:hint="eastAsia" w:eastAsia="仿宋_GB2312"/>
          <w:b w:val="0"/>
          <w:bCs w:val="0"/>
          <w:color w:val="auto"/>
          <w:sz w:val="32"/>
          <w:highlight w:val="none"/>
          <w:u w:val="none"/>
          <w:lang w:eastAsia="zh-CN"/>
        </w:rPr>
        <w:t>的</w:t>
      </w:r>
      <w:r>
        <w:rPr>
          <w:rFonts w:ascii="Times New Roman" w:hAnsi="Times New Roman" w:eastAsia="仿宋_GB2312"/>
          <w:b w:val="0"/>
          <w:bCs w:val="0"/>
          <w:color w:val="auto"/>
          <w:sz w:val="32"/>
          <w:highlight w:val="none"/>
          <w:u w:val="none"/>
        </w:rPr>
        <w:t>比重</w:t>
      </w:r>
      <w:r>
        <w:rPr>
          <w:rFonts w:hint="eastAsia" w:eastAsia="仿宋_GB2312"/>
          <w:b w:val="0"/>
          <w:bCs w:val="0"/>
          <w:color w:val="auto"/>
          <w:sz w:val="32"/>
          <w:highlight w:val="none"/>
          <w:u w:val="none"/>
          <w:lang w:eastAsia="zh-CN"/>
        </w:rPr>
        <w:t>逐步</w:t>
      </w:r>
      <w:r>
        <w:rPr>
          <w:rFonts w:ascii="Times New Roman" w:hAnsi="Times New Roman" w:eastAsia="仿宋_GB2312"/>
          <w:b w:val="0"/>
          <w:bCs w:val="0"/>
          <w:color w:val="auto"/>
          <w:sz w:val="32"/>
          <w:highlight w:val="none"/>
          <w:u w:val="none"/>
        </w:rPr>
        <w:t>提升</w:t>
      </w:r>
      <w:r>
        <w:rPr>
          <w:rFonts w:hint="eastAsia" w:eastAsia="仿宋_GB2312"/>
          <w:b w:val="0"/>
          <w:bCs w:val="0"/>
          <w:color w:val="auto"/>
          <w:sz w:val="32"/>
          <w:highlight w:val="none"/>
          <w:u w:val="none"/>
          <w:lang w:eastAsia="zh-CN"/>
        </w:rPr>
        <w:t>，进出口贸易结构更加均衡，高新技术产品出口占比进一步提升</w:t>
      </w:r>
      <w:r>
        <w:rPr>
          <w:rFonts w:hint="eastAsia" w:ascii="Times New Roman" w:hAnsi="Times New Roman" w:eastAsia="仿宋_GB2312"/>
          <w:b w:val="0"/>
          <w:bCs w:val="0"/>
          <w:color w:val="auto"/>
          <w:sz w:val="32"/>
          <w:szCs w:val="32"/>
          <w:highlight w:val="none"/>
          <w:u w:val="none"/>
        </w:rPr>
        <w:t>。外贸新业态发展能级持续跃升</w:t>
      </w:r>
      <w:r>
        <w:rPr>
          <w:rFonts w:hint="eastAsia" w:eastAsia="仿宋_GB2312"/>
          <w:b w:val="0"/>
          <w:bCs w:val="0"/>
          <w:color w:val="auto"/>
          <w:sz w:val="32"/>
          <w:szCs w:val="32"/>
          <w:highlight w:val="none"/>
          <w:u w:val="none"/>
          <w:lang w:eastAsia="zh-CN"/>
        </w:rPr>
        <w:t>，</w:t>
      </w:r>
      <w:r>
        <w:rPr>
          <w:rFonts w:hint="eastAsia" w:ascii="Times New Roman" w:hAnsi="Times New Roman" w:eastAsia="仿宋_GB2312"/>
          <w:b w:val="0"/>
          <w:bCs w:val="0"/>
          <w:color w:val="auto"/>
          <w:sz w:val="32"/>
          <w:szCs w:val="32"/>
          <w:highlight w:val="none"/>
          <w:u w:val="none"/>
          <w:lang w:eastAsia="zh-CN"/>
        </w:rPr>
        <w:t>跨境电商、外贸综合服务、市场采购、保税物流等</w:t>
      </w:r>
      <w:r>
        <w:rPr>
          <w:rFonts w:hint="eastAsia" w:ascii="Times New Roman" w:hAnsi="Times New Roman" w:eastAsia="仿宋_GB2312"/>
          <w:b w:val="0"/>
          <w:bCs w:val="0"/>
          <w:color w:val="auto"/>
          <w:sz w:val="32"/>
          <w:szCs w:val="32"/>
          <w:highlight w:val="none"/>
          <w:u w:val="none"/>
        </w:rPr>
        <w:t>业态支撑作用显著增强</w:t>
      </w:r>
      <w:r>
        <w:rPr>
          <w:rFonts w:ascii="Times New Roman" w:hAnsi="Times New Roman" w:eastAsia="仿宋_GB2312"/>
          <w:b w:val="0"/>
          <w:bCs w:val="0"/>
          <w:color w:val="auto"/>
          <w:sz w:val="32"/>
          <w:szCs w:val="32"/>
          <w:highlight w:val="none"/>
          <w:u w:val="none"/>
        </w:rPr>
        <w:t>，</w:t>
      </w:r>
      <w:r>
        <w:rPr>
          <w:rFonts w:hint="eastAsia" w:ascii="Times New Roman" w:hAnsi="Times New Roman" w:eastAsia="仿宋_GB2312"/>
          <w:b w:val="0"/>
          <w:bCs w:val="0"/>
          <w:color w:val="auto"/>
          <w:sz w:val="32"/>
          <w:szCs w:val="32"/>
          <w:highlight w:val="none"/>
          <w:u w:val="none"/>
          <w:lang w:eastAsia="zh-CN"/>
        </w:rPr>
        <w:t>服务贸易和服务外包</w:t>
      </w:r>
      <w:r>
        <w:rPr>
          <w:rFonts w:hint="eastAsia" w:eastAsia="仿宋_GB2312"/>
          <w:b w:val="0"/>
          <w:bCs w:val="0"/>
          <w:color w:val="auto"/>
          <w:sz w:val="32"/>
          <w:szCs w:val="32"/>
          <w:highlight w:val="none"/>
          <w:u w:val="none"/>
          <w:lang w:eastAsia="zh-CN"/>
        </w:rPr>
        <w:t>在外贸中</w:t>
      </w:r>
      <w:r>
        <w:rPr>
          <w:rFonts w:hint="eastAsia" w:ascii="Times New Roman" w:hAnsi="Times New Roman" w:eastAsia="仿宋_GB2312"/>
          <w:b w:val="0"/>
          <w:bCs w:val="0"/>
          <w:color w:val="auto"/>
          <w:sz w:val="32"/>
          <w:szCs w:val="32"/>
          <w:highlight w:val="none"/>
          <w:u w:val="none"/>
          <w:lang w:eastAsia="zh-CN"/>
        </w:rPr>
        <w:t>占比进一步提升。</w:t>
      </w:r>
    </w:p>
    <w:p>
      <w:pPr>
        <w:keepNext w:val="0"/>
        <w:keepLines w:val="0"/>
        <w:pageBreakBefore w:val="0"/>
        <w:widowControl/>
        <w:suppressLineNumbers w:val="0"/>
        <w:shd w:val="clear" w:color="auto" w:fill="auto"/>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outlineLvl w:val="9"/>
        <w:rPr>
          <w:rFonts w:ascii="Times New Roman" w:hAnsi="Times New Roman" w:eastAsia="仿宋_GB2312"/>
          <w:color w:val="auto"/>
          <w:sz w:val="32"/>
          <w:highlight w:val="none"/>
          <w:u w:val="none"/>
        </w:rPr>
      </w:pPr>
      <w:bookmarkStart w:id="16" w:name="_Toc60071557"/>
      <w:bookmarkStart w:id="17" w:name="_Toc774086906"/>
      <w:bookmarkStart w:id="18" w:name="_Toc1296136051"/>
      <w:bookmarkStart w:id="19" w:name="_Toc1369025481"/>
      <w:bookmarkStart w:id="20" w:name="_Toc1957634584"/>
      <w:r>
        <w:rPr>
          <w:rFonts w:hint="eastAsia" w:ascii="Times New Roman" w:hAnsi="Times New Roman" w:eastAsia="仿宋_GB2312" w:cs="Times New Roman"/>
          <w:b/>
          <w:bCs/>
          <w:color w:val="auto"/>
          <w:kern w:val="2"/>
          <w:sz w:val="32"/>
          <w:szCs w:val="24"/>
          <w:highlight w:val="none"/>
          <w:u w:val="none"/>
          <w:lang w:val="en-US" w:eastAsia="zh-CN" w:bidi="ar-SA"/>
        </w:rPr>
        <w:t>双向投资与经贸合作实现新进展</w:t>
      </w:r>
      <w:bookmarkEnd w:id="16"/>
      <w:bookmarkEnd w:id="17"/>
      <w:bookmarkEnd w:id="18"/>
      <w:bookmarkEnd w:id="19"/>
      <w:bookmarkEnd w:id="20"/>
      <w:r>
        <w:rPr>
          <w:rFonts w:hint="eastAsia" w:ascii="Times New Roman" w:hAnsi="Times New Roman" w:eastAsia="仿宋_GB2312" w:cs="Times New Roman"/>
          <w:b/>
          <w:bCs/>
          <w:color w:val="auto"/>
          <w:kern w:val="2"/>
          <w:sz w:val="32"/>
          <w:szCs w:val="24"/>
          <w:highlight w:val="none"/>
          <w:u w:val="none"/>
          <w:lang w:val="en-US" w:eastAsia="zh-CN" w:bidi="ar-SA"/>
        </w:rPr>
        <w:t>。</w:t>
      </w:r>
      <w:r>
        <w:rPr>
          <w:rFonts w:hint="eastAsia" w:ascii="Times New Roman" w:hAnsi="Times New Roman" w:eastAsia="仿宋_GB2312"/>
          <w:b w:val="0"/>
          <w:bCs/>
          <w:color w:val="auto"/>
          <w:sz w:val="32"/>
          <w:highlight w:val="none"/>
          <w:u w:val="none"/>
        </w:rPr>
        <w:t>全市使用外资总体规模稳中有进，</w:t>
      </w:r>
      <w:r>
        <w:rPr>
          <w:rFonts w:hint="eastAsia" w:ascii="仿宋_GB2312" w:hAnsi="仿宋_GB2312" w:eastAsia="仿宋_GB2312" w:cs="仿宋_GB2312"/>
          <w:b w:val="0"/>
          <w:bCs/>
          <w:color w:val="auto"/>
          <w:sz w:val="32"/>
          <w:highlight w:val="none"/>
          <w:u w:val="none"/>
        </w:rPr>
        <w:t>“十五五”期</w:t>
      </w:r>
      <w:r>
        <w:rPr>
          <w:rFonts w:hint="default" w:ascii="Times New Roman" w:hAnsi="Times New Roman" w:eastAsia="仿宋_GB2312"/>
          <w:b w:val="0"/>
          <w:bCs/>
          <w:color w:val="auto"/>
          <w:sz w:val="32"/>
          <w:highlight w:val="none"/>
          <w:u w:val="none"/>
        </w:rPr>
        <w:t>间，</w:t>
      </w:r>
      <w:r>
        <w:rPr>
          <w:rFonts w:hint="eastAsia" w:ascii="Times New Roman" w:hAnsi="Times New Roman" w:eastAsia="仿宋_GB2312"/>
          <w:b w:val="0"/>
          <w:bCs/>
          <w:color w:val="auto"/>
          <w:sz w:val="32"/>
          <w:highlight w:val="none"/>
          <w:u w:val="none"/>
        </w:rPr>
        <w:t>实际使用外资金额</w:t>
      </w:r>
      <w:r>
        <w:rPr>
          <w:rFonts w:hint="eastAsia" w:ascii="Times New Roman" w:hAnsi="Times New Roman" w:eastAsia="仿宋_GB2312"/>
          <w:b w:val="0"/>
          <w:bCs/>
          <w:color w:val="auto"/>
          <w:sz w:val="32"/>
          <w:highlight w:val="none"/>
          <w:u w:val="none"/>
          <w:lang w:eastAsia="zh-CN"/>
        </w:rPr>
        <w:t>累计</w:t>
      </w:r>
      <w:r>
        <w:rPr>
          <w:rFonts w:hint="eastAsia" w:ascii="Times New Roman" w:hAnsi="Times New Roman" w:eastAsia="仿宋_GB2312"/>
          <w:b w:val="0"/>
          <w:bCs/>
          <w:color w:val="auto"/>
          <w:sz w:val="32"/>
          <w:highlight w:val="none"/>
          <w:u w:val="none"/>
          <w:lang w:val="en-US" w:eastAsia="zh-CN"/>
        </w:rPr>
        <w:t>达35亿元</w:t>
      </w:r>
      <w:r>
        <w:rPr>
          <w:rFonts w:hint="eastAsia" w:ascii="Times New Roman" w:hAnsi="Times New Roman" w:eastAsia="仿宋_GB2312"/>
          <w:b w:val="0"/>
          <w:bCs/>
          <w:color w:val="auto"/>
          <w:sz w:val="32"/>
          <w:highlight w:val="none"/>
          <w:u w:val="none"/>
        </w:rPr>
        <w:t>，年均增长</w:t>
      </w:r>
      <w:r>
        <w:rPr>
          <w:rFonts w:hint="eastAsia" w:ascii="Times New Roman" w:hAnsi="Times New Roman" w:eastAsia="仿宋_GB2312"/>
          <w:b w:val="0"/>
          <w:bCs/>
          <w:color w:val="auto"/>
          <w:sz w:val="32"/>
          <w:highlight w:val="none"/>
          <w:u w:val="none"/>
          <w:lang w:val="en-US" w:eastAsia="zh-CN"/>
        </w:rPr>
        <w:t>5</w:t>
      </w:r>
      <w:r>
        <w:rPr>
          <w:rFonts w:hint="eastAsia" w:ascii="Times New Roman" w:hAnsi="Times New Roman" w:eastAsia="仿宋_GB2312"/>
          <w:b w:val="0"/>
          <w:bCs/>
          <w:color w:val="auto"/>
          <w:sz w:val="32"/>
          <w:highlight w:val="none"/>
          <w:u w:val="none"/>
        </w:rPr>
        <w:t>%</w:t>
      </w:r>
      <w:r>
        <w:rPr>
          <w:rFonts w:hint="eastAsia" w:eastAsia="仿宋_GB2312"/>
          <w:b w:val="0"/>
          <w:bCs/>
          <w:color w:val="auto"/>
          <w:sz w:val="32"/>
          <w:highlight w:val="none"/>
          <w:u w:val="none"/>
          <w:lang w:eastAsia="zh-CN"/>
        </w:rPr>
        <w:t>，</w:t>
      </w:r>
      <w:r>
        <w:rPr>
          <w:rFonts w:hint="eastAsia" w:ascii="Times New Roman" w:hAnsi="Times New Roman" w:eastAsia="仿宋_GB2312"/>
          <w:b w:val="0"/>
          <w:bCs/>
          <w:color w:val="auto"/>
          <w:sz w:val="32"/>
          <w:highlight w:val="none"/>
          <w:u w:val="none"/>
        </w:rPr>
        <w:t>侨资项目、优质外资标杆项目持续集聚，高新技术产业外资占比进一步提升。与</w:t>
      </w:r>
      <w:r>
        <w:rPr>
          <w:rFonts w:hint="eastAsia" w:ascii="Times New Roman" w:hAnsi="Times New Roman" w:eastAsia="仿宋_GB2312"/>
          <w:b w:val="0"/>
          <w:bCs/>
          <w:color w:val="auto"/>
          <w:sz w:val="32"/>
          <w:highlight w:val="none"/>
          <w:u w:val="none"/>
          <w:lang w:eastAsia="zh-CN"/>
        </w:rPr>
        <w:t>“</w:t>
      </w:r>
      <w:r>
        <w:rPr>
          <w:rFonts w:hint="eastAsia" w:ascii="Times New Roman" w:hAnsi="Times New Roman" w:eastAsia="仿宋_GB2312"/>
          <w:b w:val="0"/>
          <w:bCs/>
          <w:color w:val="auto"/>
          <w:sz w:val="32"/>
          <w:highlight w:val="none"/>
          <w:u w:val="none"/>
        </w:rPr>
        <w:t>一带一路</w:t>
      </w:r>
      <w:r>
        <w:rPr>
          <w:rFonts w:hint="eastAsia" w:ascii="Times New Roman" w:hAnsi="Times New Roman" w:eastAsia="仿宋_GB2312"/>
          <w:b w:val="0"/>
          <w:bCs/>
          <w:color w:val="auto"/>
          <w:sz w:val="32"/>
          <w:highlight w:val="none"/>
          <w:u w:val="none"/>
          <w:lang w:eastAsia="zh-CN"/>
        </w:rPr>
        <w:t>”</w:t>
      </w:r>
      <w:r>
        <w:rPr>
          <w:rFonts w:ascii="Times New Roman" w:hAnsi="Times New Roman" w:eastAsia="仿宋_GB2312"/>
          <w:b w:val="0"/>
          <w:bCs/>
          <w:color w:val="auto"/>
          <w:sz w:val="32"/>
          <w:highlight w:val="none"/>
          <w:u w:val="none"/>
        </w:rPr>
        <w:t>沿线国家</w:t>
      </w:r>
      <w:r>
        <w:rPr>
          <w:rFonts w:hint="eastAsia" w:ascii="Times New Roman" w:hAnsi="Times New Roman" w:eastAsia="仿宋_GB2312"/>
          <w:b w:val="0"/>
          <w:bCs/>
          <w:color w:val="auto"/>
          <w:sz w:val="32"/>
          <w:highlight w:val="none"/>
          <w:u w:val="none"/>
          <w:lang w:eastAsia="zh-CN"/>
        </w:rPr>
        <w:t>和地区</w:t>
      </w:r>
      <w:r>
        <w:rPr>
          <w:rFonts w:ascii="Times New Roman" w:hAnsi="Times New Roman" w:eastAsia="仿宋_GB2312"/>
          <w:b w:val="0"/>
          <w:bCs/>
          <w:color w:val="auto"/>
          <w:sz w:val="32"/>
          <w:highlight w:val="none"/>
          <w:u w:val="none"/>
        </w:rPr>
        <w:t>、新兴市场国家经贸合作</w:t>
      </w:r>
      <w:r>
        <w:rPr>
          <w:rFonts w:hint="eastAsia" w:ascii="Times New Roman" w:hAnsi="Times New Roman" w:eastAsia="仿宋_GB2312"/>
          <w:b w:val="0"/>
          <w:bCs/>
          <w:color w:val="auto"/>
          <w:sz w:val="32"/>
          <w:highlight w:val="none"/>
          <w:u w:val="none"/>
          <w:lang w:eastAsia="zh-CN"/>
        </w:rPr>
        <w:t>更加密切</w:t>
      </w:r>
      <w:r>
        <w:rPr>
          <w:rFonts w:hint="eastAsia" w:eastAsia="仿宋_GB2312"/>
          <w:b w:val="0"/>
          <w:bCs/>
          <w:color w:val="auto"/>
          <w:sz w:val="32"/>
          <w:highlight w:val="none"/>
          <w:u w:val="none"/>
          <w:lang w:eastAsia="zh-CN"/>
        </w:rPr>
        <w:t>，海外综合服务体系进一步健全，</w:t>
      </w:r>
      <w:r>
        <w:rPr>
          <w:rFonts w:hint="default" w:ascii="Times New Roman" w:hAnsi="Times New Roman" w:eastAsia="仿宋_GB2312" w:cs="Times New Roman"/>
          <w:b w:val="0"/>
          <w:bCs/>
          <w:color w:val="auto"/>
          <w:kern w:val="2"/>
          <w:sz w:val="32"/>
          <w:szCs w:val="24"/>
          <w:highlight w:val="none"/>
          <w:u w:val="none"/>
          <w:lang w:eastAsia="zh-CN" w:bidi="ar-SA"/>
        </w:rPr>
        <w:t>境外营销网络体系</w:t>
      </w:r>
      <w:r>
        <w:rPr>
          <w:rFonts w:hint="eastAsia" w:ascii="Times New Roman" w:hAnsi="Times New Roman" w:eastAsia="仿宋_GB2312" w:cs="Times New Roman"/>
          <w:b w:val="0"/>
          <w:bCs/>
          <w:color w:val="auto"/>
          <w:kern w:val="2"/>
          <w:sz w:val="32"/>
          <w:szCs w:val="24"/>
          <w:highlight w:val="none"/>
          <w:u w:val="none"/>
          <w:lang w:eastAsia="zh-CN" w:bidi="ar-SA"/>
        </w:rPr>
        <w:t>更加</w:t>
      </w:r>
      <w:r>
        <w:rPr>
          <w:rFonts w:hint="default" w:ascii="Times New Roman" w:hAnsi="Times New Roman" w:eastAsia="仿宋_GB2312" w:cs="Times New Roman"/>
          <w:b w:val="0"/>
          <w:bCs/>
          <w:color w:val="auto"/>
          <w:kern w:val="2"/>
          <w:sz w:val="32"/>
          <w:szCs w:val="24"/>
          <w:highlight w:val="none"/>
          <w:u w:val="none"/>
          <w:lang w:eastAsia="zh-CN" w:bidi="ar-SA"/>
        </w:rPr>
        <w:t>完善</w:t>
      </w:r>
      <w:r>
        <w:rPr>
          <w:rFonts w:hint="eastAsia" w:eastAsia="仿宋_GB2312" w:cs="Times New Roman"/>
          <w:b w:val="0"/>
          <w:bCs/>
          <w:color w:val="auto"/>
          <w:kern w:val="2"/>
          <w:sz w:val="32"/>
          <w:szCs w:val="24"/>
          <w:highlight w:val="none"/>
          <w:u w:val="none"/>
          <w:lang w:eastAsia="zh-CN" w:bidi="ar-SA"/>
        </w:rPr>
        <w:t>，产业链供应链跨境布局更加合理有序。</w:t>
      </w:r>
    </w:p>
    <w:p>
      <w:pPr>
        <w:keepNext w:val="0"/>
        <w:keepLines w:val="0"/>
        <w:pageBreakBefore w:val="0"/>
        <w:widowControl/>
        <w:suppressLineNumbers w:val="0"/>
        <w:shd w:val="clear" w:color="auto" w:fill="auto"/>
        <w:kinsoku/>
        <w:wordWrap/>
        <w:overflowPunct/>
        <w:topLinePunct w:val="0"/>
        <w:autoSpaceDE/>
        <w:autoSpaceDN/>
        <w:bidi w:val="0"/>
        <w:adjustRightInd/>
        <w:spacing w:before="0" w:beforeAutospacing="0" w:after="0" w:afterAutospacing="0" w:line="600" w:lineRule="exact"/>
        <w:ind w:left="0" w:right="0" w:firstLine="643" w:firstLineChars="200"/>
        <w:jc w:val="both"/>
        <w:textAlignment w:val="auto"/>
        <w:outlineLvl w:val="9"/>
      </w:pPr>
      <w:bookmarkStart w:id="21" w:name="_Toc1428540596"/>
      <w:bookmarkStart w:id="22" w:name="_Toc1434300582"/>
      <w:bookmarkStart w:id="23" w:name="_Toc1516871863"/>
      <w:r>
        <w:rPr>
          <w:rFonts w:hint="eastAsia" w:ascii="Times New Roman" w:hAnsi="Times New Roman" w:eastAsia="仿宋_GB2312" w:cs="Times New Roman"/>
          <w:b/>
          <w:bCs/>
          <w:color w:val="auto"/>
          <w:kern w:val="2"/>
          <w:sz w:val="32"/>
          <w:szCs w:val="24"/>
          <w:highlight w:val="none"/>
          <w:u w:val="none"/>
          <w:lang w:val="en-US" w:eastAsia="zh-CN" w:bidi="ar-SA"/>
        </w:rPr>
        <w:t>高水平对外开放再攀新高度</w:t>
      </w:r>
      <w:bookmarkEnd w:id="21"/>
      <w:bookmarkEnd w:id="22"/>
      <w:bookmarkEnd w:id="23"/>
      <w:r>
        <w:rPr>
          <w:rFonts w:hint="eastAsia" w:ascii="Times New Roman" w:hAnsi="Times New Roman" w:eastAsia="仿宋_GB2312" w:cs="Times New Roman"/>
          <w:b/>
          <w:bCs/>
          <w:color w:val="auto"/>
          <w:kern w:val="2"/>
          <w:sz w:val="32"/>
          <w:szCs w:val="24"/>
          <w:highlight w:val="none"/>
          <w:u w:val="none"/>
          <w:lang w:val="en-US" w:eastAsia="zh-CN" w:bidi="ar-SA"/>
        </w:rPr>
        <w:t>。</w:t>
      </w:r>
      <w:r>
        <w:rPr>
          <w:rFonts w:hint="default" w:ascii="Times New Roman" w:hAnsi="Times New Roman" w:eastAsia="仿宋_GB2312"/>
          <w:b w:val="0"/>
          <w:bCs/>
          <w:color w:val="auto"/>
          <w:sz w:val="32"/>
          <w:highlight w:val="none"/>
          <w:u w:val="none"/>
          <w:lang w:eastAsia="zh-CN"/>
        </w:rPr>
        <w:t>深入推进</w:t>
      </w:r>
      <w:r>
        <w:rPr>
          <w:rFonts w:hint="eastAsia" w:ascii="Times New Roman" w:hAnsi="Times New Roman" w:eastAsia="仿宋_GB2312"/>
          <w:b w:val="0"/>
          <w:bCs/>
          <w:color w:val="auto"/>
          <w:sz w:val="32"/>
          <w:highlight w:val="none"/>
          <w:u w:val="none"/>
          <w:lang w:eastAsia="zh-CN"/>
        </w:rPr>
        <w:t>广东</w:t>
      </w:r>
      <w:r>
        <w:rPr>
          <w:rFonts w:hint="eastAsia" w:ascii="Times New Roman" w:hAnsi="Times New Roman" w:eastAsia="仿宋_GB2312"/>
          <w:b w:val="0"/>
          <w:bCs/>
          <w:color w:val="auto"/>
          <w:sz w:val="32"/>
          <w:highlight w:val="none"/>
          <w:u w:val="none"/>
        </w:rPr>
        <w:t>自贸试验区</w:t>
      </w:r>
      <w:r>
        <w:rPr>
          <w:rFonts w:hint="eastAsia" w:ascii="Times New Roman" w:hAnsi="Times New Roman" w:eastAsia="仿宋_GB2312"/>
          <w:b w:val="0"/>
          <w:bCs/>
          <w:color w:val="auto"/>
          <w:sz w:val="32"/>
          <w:highlight w:val="none"/>
          <w:u w:val="none"/>
          <w:lang w:eastAsia="zh-CN"/>
        </w:rPr>
        <w:t>汕头联动发展区</w:t>
      </w:r>
      <w:r>
        <w:rPr>
          <w:rFonts w:hint="default" w:ascii="Times New Roman" w:hAnsi="Times New Roman" w:eastAsia="仿宋_GB2312"/>
          <w:b w:val="0"/>
          <w:bCs/>
          <w:color w:val="auto"/>
          <w:sz w:val="32"/>
          <w:highlight w:val="none"/>
          <w:u w:val="none"/>
          <w:lang w:eastAsia="zh-CN"/>
        </w:rPr>
        <w:t>建设</w:t>
      </w:r>
      <w:r>
        <w:rPr>
          <w:rFonts w:hint="eastAsia" w:ascii="Times New Roman" w:hAnsi="Times New Roman" w:eastAsia="仿宋_GB2312"/>
          <w:b w:val="0"/>
          <w:bCs/>
          <w:color w:val="auto"/>
          <w:sz w:val="32"/>
          <w:highlight w:val="none"/>
          <w:u w:val="none"/>
        </w:rPr>
        <w:t>，</w:t>
      </w:r>
      <w:r>
        <w:rPr>
          <w:rFonts w:hint="default" w:ascii="Times New Roman" w:hAnsi="Times New Roman" w:eastAsia="仿宋_GB2312"/>
          <w:b w:val="0"/>
          <w:bCs/>
          <w:color w:val="auto"/>
          <w:sz w:val="32"/>
          <w:highlight w:val="none"/>
          <w:u w:val="none"/>
        </w:rPr>
        <w:t>发挥</w:t>
      </w:r>
      <w:r>
        <w:rPr>
          <w:rFonts w:hint="eastAsia" w:ascii="仿宋_GB2312" w:hAnsi="仿宋_GB2312" w:eastAsia="仿宋_GB2312" w:cs="仿宋_GB2312"/>
          <w:b w:val="0"/>
          <w:bCs/>
          <w:color w:val="auto"/>
          <w:kern w:val="2"/>
          <w:sz w:val="32"/>
          <w:szCs w:val="32"/>
          <w:u w:val="none"/>
          <w:lang w:val="en-US" w:eastAsia="zh-CN" w:bidi="ar-SA"/>
        </w:rPr>
        <w:t>“临港经济区+综保区+联动发展区”三区政策和功能叠加</w:t>
      </w:r>
      <w:r>
        <w:rPr>
          <w:rFonts w:hint="default" w:ascii="仿宋_GB2312" w:hAnsi="仿宋_GB2312" w:eastAsia="仿宋_GB2312" w:cs="仿宋_GB2312"/>
          <w:b w:val="0"/>
          <w:bCs/>
          <w:color w:val="auto"/>
          <w:kern w:val="2"/>
          <w:sz w:val="32"/>
          <w:szCs w:val="32"/>
          <w:u w:val="none"/>
          <w:lang w:eastAsia="zh-CN" w:bidi="ar-SA"/>
        </w:rPr>
        <w:t>优势</w:t>
      </w:r>
      <w:r>
        <w:rPr>
          <w:rFonts w:hint="eastAsia" w:ascii="仿宋_GB2312" w:hAnsi="仿宋_GB2312" w:eastAsia="仿宋_GB2312" w:cs="仿宋_GB2312"/>
          <w:b w:val="0"/>
          <w:bCs/>
          <w:color w:val="auto"/>
          <w:kern w:val="2"/>
          <w:sz w:val="32"/>
          <w:szCs w:val="32"/>
          <w:u w:val="none"/>
          <w:lang w:val="en-US" w:eastAsia="zh-CN" w:bidi="ar-SA"/>
        </w:rPr>
        <w:t>，</w:t>
      </w:r>
      <w:r>
        <w:rPr>
          <w:rFonts w:hint="default" w:ascii="仿宋_GB2312" w:hAnsi="仿宋_GB2312" w:eastAsia="仿宋_GB2312" w:cs="仿宋_GB2312"/>
          <w:b w:val="0"/>
          <w:bCs/>
          <w:color w:val="auto"/>
          <w:kern w:val="2"/>
          <w:sz w:val="32"/>
          <w:szCs w:val="32"/>
          <w:u w:val="none"/>
          <w:lang w:eastAsia="zh-CN" w:bidi="ar-SA"/>
        </w:rPr>
        <w:t>持续提高制度型开放水平。</w:t>
      </w:r>
      <w:r>
        <w:rPr>
          <w:rFonts w:hint="default" w:ascii="Times New Roman" w:hAnsi="Times New Roman" w:eastAsia="仿宋_GB2312"/>
          <w:b w:val="0"/>
          <w:bCs/>
          <w:color w:val="auto"/>
          <w:sz w:val="32"/>
          <w:highlight w:val="none"/>
          <w:u w:val="none"/>
        </w:rPr>
        <w:t>结合国家支持汕头发挥侨乡优势</w:t>
      </w:r>
      <w:r>
        <w:rPr>
          <w:rFonts w:hint="eastAsia" w:eastAsia="仿宋_GB2312"/>
          <w:b w:val="0"/>
          <w:bCs/>
          <w:color w:val="auto"/>
          <w:sz w:val="32"/>
          <w:highlight w:val="none"/>
          <w:u w:val="none"/>
          <w:lang w:eastAsia="zh-CN"/>
        </w:rPr>
        <w:t>，</w:t>
      </w:r>
      <w:r>
        <w:rPr>
          <w:rFonts w:hint="default" w:ascii="Times New Roman" w:hAnsi="Times New Roman" w:eastAsia="仿宋_GB2312"/>
          <w:b w:val="0"/>
          <w:bCs/>
          <w:color w:val="auto"/>
          <w:sz w:val="32"/>
          <w:highlight w:val="none"/>
          <w:u w:val="none"/>
        </w:rPr>
        <w:t>对接粤港澳大湾区建设相关政策实施，加快</w:t>
      </w:r>
      <w:r>
        <w:rPr>
          <w:rFonts w:hint="eastAsia" w:ascii="Times New Roman" w:hAnsi="Times New Roman" w:eastAsia="仿宋_GB2312"/>
          <w:b w:val="0"/>
          <w:bCs/>
          <w:color w:val="auto"/>
          <w:sz w:val="32"/>
          <w:highlight w:val="none"/>
          <w:u w:val="none"/>
          <w:lang w:eastAsia="zh-CN"/>
        </w:rPr>
        <w:t>形成一批制度</w:t>
      </w:r>
      <w:r>
        <w:rPr>
          <w:rFonts w:hint="eastAsia" w:eastAsia="仿宋_GB2312"/>
          <w:b w:val="0"/>
          <w:bCs/>
          <w:color w:val="auto"/>
          <w:sz w:val="32"/>
          <w:highlight w:val="none"/>
          <w:u w:val="none"/>
          <w:lang w:eastAsia="zh-CN"/>
        </w:rPr>
        <w:t>型开放</w:t>
      </w:r>
      <w:r>
        <w:rPr>
          <w:rFonts w:hint="eastAsia" w:ascii="Times New Roman" w:hAnsi="Times New Roman" w:eastAsia="仿宋_GB2312"/>
          <w:b w:val="0"/>
          <w:bCs/>
          <w:color w:val="auto"/>
          <w:sz w:val="32"/>
          <w:highlight w:val="none"/>
          <w:u w:val="none"/>
          <w:lang w:eastAsia="zh-CN"/>
        </w:rPr>
        <w:t>成果</w:t>
      </w:r>
      <w:r>
        <w:rPr>
          <w:rFonts w:hint="eastAsia" w:ascii="Times New Roman" w:hAnsi="Times New Roman" w:eastAsia="仿宋_GB2312"/>
          <w:b w:val="0"/>
          <w:bCs/>
          <w:color w:val="auto"/>
          <w:sz w:val="32"/>
          <w:highlight w:val="none"/>
          <w:u w:val="none"/>
        </w:rPr>
        <w:t>。</w:t>
      </w:r>
      <w:r>
        <w:rPr>
          <w:rFonts w:ascii="Times New Roman" w:hAnsi="Times New Roman" w:eastAsia="仿宋_GB2312"/>
          <w:b w:val="0"/>
          <w:bCs/>
          <w:color w:val="auto"/>
          <w:sz w:val="32"/>
          <w:szCs w:val="32"/>
          <w:highlight w:val="none"/>
          <w:u w:val="none"/>
        </w:rPr>
        <w:t>口岸</w:t>
      </w:r>
      <w:r>
        <w:rPr>
          <w:rFonts w:hint="eastAsia" w:ascii="Times New Roman" w:hAnsi="Times New Roman" w:eastAsia="仿宋_GB2312"/>
          <w:b w:val="0"/>
          <w:bCs/>
          <w:color w:val="auto"/>
          <w:sz w:val="32"/>
          <w:szCs w:val="32"/>
          <w:highlight w:val="none"/>
          <w:u w:val="none"/>
        </w:rPr>
        <w:t>基础设施建设和</w:t>
      </w:r>
      <w:r>
        <w:rPr>
          <w:rFonts w:ascii="Times New Roman" w:hAnsi="Times New Roman" w:eastAsia="仿宋_GB2312"/>
          <w:b w:val="0"/>
          <w:bCs/>
          <w:color w:val="auto"/>
          <w:sz w:val="32"/>
          <w:szCs w:val="32"/>
          <w:highlight w:val="none"/>
          <w:u w:val="none"/>
        </w:rPr>
        <w:t>通关便利化水平进一步提升，形成与港澳台</w:t>
      </w:r>
      <w:r>
        <w:rPr>
          <w:rFonts w:hint="eastAsia" w:eastAsia="仿宋_GB2312"/>
          <w:b w:val="0"/>
          <w:bCs/>
          <w:color w:val="auto"/>
          <w:sz w:val="32"/>
          <w:szCs w:val="32"/>
          <w:highlight w:val="none"/>
          <w:u w:val="none"/>
          <w:lang w:eastAsia="zh-CN"/>
        </w:rPr>
        <w:t>地区</w:t>
      </w:r>
      <w:r>
        <w:rPr>
          <w:rFonts w:ascii="Times New Roman" w:hAnsi="Times New Roman" w:eastAsia="仿宋_GB2312"/>
          <w:b w:val="0"/>
          <w:bCs/>
          <w:color w:val="auto"/>
          <w:sz w:val="32"/>
          <w:szCs w:val="32"/>
          <w:highlight w:val="none"/>
          <w:u w:val="none"/>
        </w:rPr>
        <w:t>、</w:t>
      </w:r>
      <w:r>
        <w:rPr>
          <w:rFonts w:hint="eastAsia" w:ascii="Times New Roman" w:hAnsi="Times New Roman" w:eastAsia="仿宋_GB2312"/>
          <w:b w:val="0"/>
          <w:bCs/>
          <w:color w:val="auto"/>
          <w:sz w:val="32"/>
          <w:szCs w:val="32"/>
          <w:highlight w:val="none"/>
          <w:u w:val="none"/>
          <w:lang w:eastAsia="zh-CN"/>
        </w:rPr>
        <w:t>“</w:t>
      </w:r>
      <w:r>
        <w:rPr>
          <w:rFonts w:ascii="Times New Roman" w:hAnsi="Times New Roman" w:eastAsia="仿宋_GB2312"/>
          <w:b w:val="0"/>
          <w:bCs/>
          <w:color w:val="auto"/>
          <w:sz w:val="32"/>
          <w:szCs w:val="32"/>
          <w:highlight w:val="none"/>
          <w:u w:val="none"/>
        </w:rPr>
        <w:t>一带一路</w:t>
      </w:r>
      <w:r>
        <w:rPr>
          <w:rFonts w:hint="eastAsia" w:ascii="Times New Roman" w:hAnsi="Times New Roman" w:eastAsia="仿宋_GB2312"/>
          <w:b w:val="0"/>
          <w:bCs/>
          <w:color w:val="auto"/>
          <w:sz w:val="32"/>
          <w:szCs w:val="32"/>
          <w:highlight w:val="none"/>
          <w:u w:val="none"/>
          <w:lang w:eastAsia="zh-CN"/>
        </w:rPr>
        <w:t>”</w:t>
      </w:r>
      <w:r>
        <w:rPr>
          <w:rFonts w:ascii="Times New Roman" w:hAnsi="Times New Roman" w:eastAsia="仿宋_GB2312"/>
          <w:b w:val="0"/>
          <w:bCs/>
          <w:color w:val="auto"/>
          <w:sz w:val="32"/>
          <w:szCs w:val="32"/>
          <w:highlight w:val="none"/>
          <w:u w:val="none"/>
        </w:rPr>
        <w:t>沿线国家互联互通更加紧密的口岸开放新格局。</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default" w:ascii="黑体" w:hAnsi="黑体" w:eastAsia="黑体" w:cs="黑体"/>
          <w:color w:val="auto"/>
          <w:sz w:val="36"/>
          <w:szCs w:val="36"/>
          <w:highlight w:val="none"/>
          <w:u w:val="none"/>
          <w:lang w:val="en-US" w:eastAsia="zh-CN"/>
        </w:rPr>
      </w:pPr>
      <w:bookmarkStart w:id="24" w:name="_Toc1366990970"/>
      <w:r>
        <w:rPr>
          <w:rFonts w:hint="eastAsia" w:ascii="黑体" w:hAnsi="黑体" w:eastAsia="黑体" w:cs="黑体"/>
          <w:color w:val="auto"/>
          <w:sz w:val="36"/>
          <w:szCs w:val="36"/>
          <w:highlight w:val="none"/>
          <w:u w:val="none"/>
          <w:lang w:val="en-US" w:eastAsia="zh-CN"/>
        </w:rPr>
        <w:t>第三章  促进消费扩容提质</w:t>
      </w:r>
      <w:bookmarkEnd w:id="24"/>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val="0"/>
          <w:bCs w:val="0"/>
          <w:color w:val="auto"/>
          <w:sz w:val="32"/>
          <w:szCs w:val="32"/>
          <w:u w:val="none"/>
          <w:lang w:val="en-US" w:eastAsia="zh-CN"/>
        </w:rPr>
        <w:t>坚持扩大内需战略基点，</w:t>
      </w:r>
      <w:r>
        <w:rPr>
          <w:rFonts w:hint="eastAsia" w:eastAsia="仿宋_GB2312" w:cs="Times New Roman"/>
          <w:b w:val="0"/>
          <w:bCs w:val="0"/>
          <w:color w:val="auto"/>
          <w:sz w:val="32"/>
          <w:szCs w:val="32"/>
          <w:u w:val="none"/>
          <w:lang w:val="en-US" w:eastAsia="zh-CN"/>
        </w:rPr>
        <w:t>完善促进消费体制机制，</w:t>
      </w:r>
      <w:r>
        <w:rPr>
          <w:rFonts w:hint="eastAsia" w:ascii="Times New Roman" w:hAnsi="Times New Roman" w:eastAsia="仿宋_GB2312" w:cs="Times New Roman"/>
          <w:b w:val="0"/>
          <w:bCs w:val="0"/>
          <w:color w:val="auto"/>
          <w:sz w:val="32"/>
          <w:szCs w:val="32"/>
          <w:u w:val="none"/>
          <w:lang w:val="en-US" w:eastAsia="zh-CN"/>
        </w:rPr>
        <w:t>激发</w:t>
      </w:r>
      <w:r>
        <w:rPr>
          <w:rFonts w:hint="eastAsia" w:eastAsia="仿宋_GB2312" w:cs="Times New Roman"/>
          <w:b w:val="0"/>
          <w:bCs w:val="0"/>
          <w:color w:val="auto"/>
          <w:sz w:val="32"/>
          <w:szCs w:val="32"/>
          <w:u w:val="none"/>
          <w:lang w:val="en-US" w:eastAsia="zh-CN"/>
        </w:rPr>
        <w:t>居民消费潜能</w:t>
      </w:r>
      <w:r>
        <w:rPr>
          <w:rFonts w:hint="eastAsia" w:ascii="Times New Roman" w:hAnsi="Times New Roman" w:eastAsia="仿宋_GB2312" w:cs="Times New Roman"/>
          <w:b w:val="0"/>
          <w:bCs w:val="0"/>
          <w:color w:val="auto"/>
          <w:sz w:val="32"/>
          <w:szCs w:val="32"/>
          <w:u w:val="none"/>
          <w:lang w:val="en-US" w:eastAsia="zh-CN"/>
        </w:rPr>
        <w:t>，</w:t>
      </w:r>
      <w:r>
        <w:rPr>
          <w:rFonts w:hint="eastAsia" w:eastAsia="仿宋_GB2312" w:cs="Times New Roman"/>
          <w:b w:val="0"/>
          <w:bCs w:val="0"/>
          <w:color w:val="auto"/>
          <w:sz w:val="32"/>
          <w:szCs w:val="32"/>
          <w:u w:val="none"/>
          <w:lang w:val="en-US" w:eastAsia="zh-CN"/>
        </w:rPr>
        <w:t>提高消费供给质量，</w:t>
      </w:r>
      <w:r>
        <w:rPr>
          <w:rFonts w:hint="eastAsia" w:ascii="Times New Roman" w:hAnsi="Times New Roman" w:eastAsia="仿宋_GB2312" w:cs="Times New Roman"/>
          <w:b w:val="0"/>
          <w:bCs w:val="0"/>
          <w:color w:val="auto"/>
          <w:sz w:val="32"/>
          <w:szCs w:val="32"/>
          <w:u w:val="none"/>
          <w:lang w:val="en-US" w:eastAsia="zh-CN"/>
        </w:rPr>
        <w:t>推动内需成为拉动经济增长的主动力和稳定锚。</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default" w:ascii="楷体" w:hAnsi="楷体" w:eastAsia="楷体" w:cs="楷体"/>
          <w:b/>
          <w:bCs/>
          <w:color w:val="auto"/>
          <w:spacing w:val="0"/>
          <w:kern w:val="10"/>
          <w:sz w:val="32"/>
          <w:szCs w:val="32"/>
          <w:highlight w:val="none"/>
          <w:u w:val="none"/>
          <w:lang w:val="en-US" w:eastAsia="zh-CN" w:bidi="ar-SA"/>
        </w:rPr>
      </w:pPr>
      <w:bookmarkStart w:id="25" w:name="_Toc1994886070"/>
      <w:r>
        <w:rPr>
          <w:rFonts w:hint="eastAsia" w:ascii="楷体" w:hAnsi="楷体" w:eastAsia="楷体" w:cs="楷体"/>
          <w:b/>
          <w:bCs/>
          <w:color w:val="auto"/>
          <w:spacing w:val="0"/>
          <w:kern w:val="10"/>
          <w:sz w:val="32"/>
          <w:szCs w:val="32"/>
          <w:highlight w:val="none"/>
          <w:u w:val="none"/>
          <w:lang w:val="en-US" w:eastAsia="zh-CN" w:bidi="ar-SA"/>
        </w:rPr>
        <w:t>第一节  建强区域消费中心城市</w:t>
      </w:r>
      <w:bookmarkEnd w:id="25"/>
    </w:p>
    <w:p>
      <w:pPr>
        <w:pStyle w:val="2"/>
        <w:ind w:firstLine="643" w:firstLineChars="200"/>
        <w:rPr>
          <w:rFonts w:hint="eastAsia" w:ascii="仿宋_GB2312" w:hAnsi="仿宋_GB2312" w:eastAsia="仿宋_GB2312" w:cs="仿宋_GB2312"/>
          <w:color w:val="auto"/>
          <w:sz w:val="32"/>
          <w:szCs w:val="32"/>
          <w:u w:val="none"/>
          <w:lang w:val="en-US" w:eastAsia="zh-CN"/>
        </w:rPr>
      </w:pPr>
      <w:r>
        <w:rPr>
          <w:rFonts w:hint="eastAsia" w:eastAsia="仿宋_GB2312" w:cs="Times New Roman"/>
          <w:b/>
          <w:bCs/>
          <w:color w:val="auto"/>
          <w:sz w:val="32"/>
          <w:szCs w:val="32"/>
          <w:u w:val="none"/>
          <w:lang w:val="en-US" w:eastAsia="zh-CN"/>
        </w:rPr>
        <w:t>建强消费载体。</w:t>
      </w:r>
      <w:r>
        <w:rPr>
          <w:rFonts w:hint="eastAsia" w:eastAsia="仿宋_GB2312" w:cs="Times New Roman"/>
          <w:color w:val="auto"/>
          <w:sz w:val="32"/>
          <w:szCs w:val="32"/>
          <w:u w:val="none"/>
          <w:lang w:val="en-US" w:eastAsia="zh-CN"/>
        </w:rPr>
        <w:t>高标准建设</w:t>
      </w:r>
      <w:r>
        <w:rPr>
          <w:rFonts w:hint="eastAsia" w:ascii="Times New Roman" w:hAnsi="Times New Roman" w:eastAsia="仿宋_GB2312" w:cs="Times New Roman"/>
          <w:color w:val="auto"/>
          <w:sz w:val="32"/>
          <w:szCs w:val="32"/>
          <w:u w:val="none"/>
          <w:lang w:val="en-US" w:eastAsia="zh-CN"/>
        </w:rPr>
        <w:t>“长平路—时代广场核心商圈”</w:t>
      </w:r>
      <w:r>
        <w:rPr>
          <w:rFonts w:hint="eastAsia" w:eastAsia="仿宋_GB2312" w:cs="Times New Roman"/>
          <w:color w:val="auto"/>
          <w:sz w:val="32"/>
          <w:szCs w:val="32"/>
          <w:u w:val="none"/>
          <w:lang w:val="en-US" w:eastAsia="zh-CN"/>
        </w:rPr>
        <w:t>，推动</w:t>
      </w:r>
      <w:r>
        <w:rPr>
          <w:rFonts w:hint="eastAsia" w:ascii="Times New Roman" w:hAnsi="Times New Roman" w:eastAsia="仿宋_GB2312" w:cs="Times New Roman"/>
          <w:color w:val="auto"/>
          <w:sz w:val="32"/>
          <w:szCs w:val="32"/>
          <w:u w:val="none"/>
          <w:lang w:val="en-US" w:eastAsia="zh-CN"/>
        </w:rPr>
        <w:t>“轨道站点＋商住综合体”TOD开发模式，</w:t>
      </w:r>
      <w:r>
        <w:rPr>
          <w:rFonts w:hint="eastAsia" w:eastAsia="仿宋_GB2312" w:cs="Times New Roman"/>
          <w:color w:val="auto"/>
          <w:sz w:val="32"/>
          <w:szCs w:val="32"/>
          <w:u w:val="none"/>
          <w:lang w:val="en-US" w:eastAsia="zh-CN"/>
        </w:rPr>
        <w:t>打造辐射粤东、面向全国的</w:t>
      </w:r>
      <w:r>
        <w:rPr>
          <w:rFonts w:hint="eastAsia" w:eastAsia="仿宋_GB2312"/>
          <w:color w:val="auto"/>
          <w:sz w:val="32"/>
          <w:szCs w:val="32"/>
          <w:u w:val="none"/>
        </w:rPr>
        <w:t>新消费引力场</w:t>
      </w:r>
      <w:r>
        <w:rPr>
          <w:rFonts w:hint="eastAsia" w:ascii="Times New Roman" w:hAnsi="Times New Roman" w:eastAsia="仿宋_GB2312" w:cs="Times New Roman"/>
          <w:color w:val="auto"/>
          <w:sz w:val="32"/>
          <w:szCs w:val="32"/>
          <w:u w:val="none"/>
          <w:lang w:val="en-US" w:eastAsia="zh-CN"/>
        </w:rPr>
        <w:t>。</w:t>
      </w:r>
      <w:r>
        <w:rPr>
          <w:rFonts w:hint="eastAsia" w:ascii="Times New Roman" w:hAnsi="Times New Roman" w:eastAsia="仿宋_GB2312" w:cs="Times New Roman"/>
          <w:color w:val="auto"/>
          <w:sz w:val="32"/>
          <w:szCs w:val="32"/>
          <w:vertAlign w:val="baseline"/>
          <w:lang w:val="en-US" w:eastAsia="zh-CN"/>
        </w:rPr>
        <w:t>做好省级特色步行街（商圈）培育建设，加快推进现有商圈优化品牌和业态</w:t>
      </w:r>
      <w:r>
        <w:rPr>
          <w:rFonts w:hint="eastAsia" w:eastAsia="仿宋_GB2312"/>
          <w:color w:val="auto"/>
          <w:sz w:val="32"/>
          <w:highlight w:val="none"/>
          <w:lang w:val="en-US" w:eastAsia="zh-CN"/>
        </w:rPr>
        <w:t>。</w:t>
      </w:r>
      <w:r>
        <w:rPr>
          <w:rFonts w:hint="eastAsia" w:ascii="Times New Roman" w:hAnsi="Times New Roman" w:eastAsia="仿宋_GB2312" w:cs="Times New Roman"/>
          <w:color w:val="auto"/>
          <w:sz w:val="32"/>
          <w:szCs w:val="32"/>
          <w:u w:val="none"/>
          <w:lang w:val="en-US" w:eastAsia="zh-CN"/>
        </w:rPr>
        <w:t>加快</w:t>
      </w:r>
      <w:r>
        <w:rPr>
          <w:rFonts w:hint="eastAsia" w:eastAsia="仿宋_GB2312" w:cs="Times New Roman"/>
          <w:color w:val="auto"/>
          <w:sz w:val="32"/>
          <w:szCs w:val="32"/>
          <w:u w:val="none"/>
          <w:lang w:val="en-US" w:eastAsia="zh-CN"/>
        </w:rPr>
        <w:t>小公园步行街等传统商业街区活化利用，建成具有“国际范、潮侨韵、汕头味、市井飨”的特色商业聚集区。打造智慧商圈，</w:t>
      </w:r>
      <w:r>
        <w:rPr>
          <w:rFonts w:hint="eastAsia" w:eastAsia="仿宋_GB2312"/>
          <w:color w:val="auto"/>
          <w:sz w:val="32"/>
          <w:szCs w:val="32"/>
          <w:u w:val="none"/>
          <w:lang w:eastAsia="zh-CN"/>
        </w:rPr>
        <w:t>推进</w:t>
      </w:r>
      <w:r>
        <w:rPr>
          <w:rFonts w:hint="eastAsia" w:ascii="仿宋_GB2312" w:hAnsi="仿宋_GB2312" w:eastAsia="仿宋_GB2312" w:cs="仿宋_GB2312"/>
          <w:color w:val="auto"/>
          <w:sz w:val="32"/>
          <w:szCs w:val="32"/>
          <w:u w:val="none"/>
          <w:lang w:val="en-US" w:eastAsia="zh-CN"/>
        </w:rPr>
        <w:t>商业综合体智慧化改造，引入大数据、物联网、人工智能等技术，构建集智慧导购、数字支付、智能物流于一体的新型消费体验空间，提升商圈服务品质与消费吸引力。</w:t>
      </w:r>
    </w:p>
    <w:p>
      <w:pPr>
        <w:pStyle w:val="2"/>
        <w:ind w:firstLine="643" w:firstLineChars="200"/>
        <w:rPr>
          <w:rFonts w:hint="eastAsia" w:ascii="Calibri" w:hAnsi="Calibri" w:eastAsia="仿宋_GB2312" w:cs="Times New Roman"/>
          <w:b/>
          <w:bCs/>
          <w:color w:val="auto"/>
          <w:sz w:val="32"/>
          <w:szCs w:val="32"/>
          <w:u w:val="none"/>
          <w:lang w:val="en-US" w:eastAsia="zh-CN"/>
        </w:rPr>
      </w:pPr>
      <w:r>
        <w:rPr>
          <w:rFonts w:hint="eastAsia" w:ascii="Calibri" w:hAnsi="Calibri" w:eastAsia="仿宋_GB2312" w:cs="Times New Roman"/>
          <w:b/>
          <w:bCs/>
          <w:color w:val="auto"/>
          <w:kern w:val="2"/>
          <w:sz w:val="32"/>
          <w:szCs w:val="32"/>
          <w:highlight w:val="none"/>
          <w:u w:val="none"/>
          <w:lang w:val="en-US" w:eastAsia="zh-CN" w:bidi="ar-SA"/>
        </w:rPr>
        <w:t>优化城市商业布局。</w:t>
      </w:r>
      <w:r>
        <w:rPr>
          <w:rFonts w:hint="eastAsia" w:ascii="Times New Roman" w:hAnsi="Times New Roman" w:eastAsia="仿宋_GB2312"/>
          <w:color w:val="auto"/>
          <w:sz w:val="32"/>
          <w:highlight w:val="none"/>
          <w:lang w:val="en-US" w:eastAsia="zh-CN"/>
        </w:rPr>
        <w:t>坚持规划引领、市场主导，打造以核心商圈、片区级商圈、街道（镇）商贸中心、社区生活圈为主的四级商业体系，满足多元化消费需求。</w:t>
      </w:r>
      <w:r>
        <w:rPr>
          <w:rFonts w:hint="eastAsia" w:ascii="Times New Roman" w:hAnsi="Times New Roman" w:eastAsia="仿宋_GB2312" w:cs="Times New Roman"/>
          <w:b w:val="0"/>
          <w:bCs w:val="0"/>
          <w:color w:val="auto"/>
          <w:sz w:val="32"/>
          <w:szCs w:val="32"/>
          <w:u w:val="none"/>
          <w:lang w:val="en-US" w:eastAsia="zh-CN"/>
        </w:rPr>
        <w:t>加快城市一刻钟便民生活圈建设，鼓励商业与物业、消费与生活、居家与社区等场景融合，突出“便民、利民、惠民”的社区商业特点，推动实现业态多元化、集聚化、智慧化发展。</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26" w:name="_Toc207920772"/>
      <w:r>
        <w:rPr>
          <w:rFonts w:hint="eastAsia" w:ascii="楷体" w:hAnsi="楷体" w:eastAsia="楷体" w:cs="楷体"/>
          <w:b/>
          <w:bCs/>
          <w:color w:val="auto"/>
          <w:spacing w:val="0"/>
          <w:kern w:val="10"/>
          <w:sz w:val="32"/>
          <w:szCs w:val="32"/>
          <w:highlight w:val="none"/>
          <w:u w:val="none"/>
          <w:lang w:val="en-US" w:eastAsia="zh-CN" w:bidi="ar-SA"/>
        </w:rPr>
        <w:t>第二节  优化消费供给</w:t>
      </w:r>
      <w:bookmarkEnd w:id="26"/>
    </w:p>
    <w:p>
      <w:pPr>
        <w:numPr>
          <w:ilvl w:val="0"/>
          <w:numId w:val="0"/>
        </w:numPr>
        <w:spacing w:line="600" w:lineRule="exact"/>
        <w:ind w:firstLine="643" w:firstLineChars="200"/>
        <w:rPr>
          <w:rFonts w:hint="eastAsia" w:eastAsia="仿宋_GB2312" w:cs="Times New Roman"/>
          <w:color w:val="auto"/>
          <w:kern w:val="2"/>
          <w:sz w:val="32"/>
          <w:szCs w:val="32"/>
          <w:highlight w:val="none"/>
          <w:u w:val="none"/>
          <w:lang w:val="en-US" w:eastAsia="zh-CN" w:bidi="ar-SA"/>
        </w:rPr>
      </w:pPr>
      <w:r>
        <w:rPr>
          <w:rFonts w:hint="eastAsia" w:eastAsia="仿宋_GB2312" w:cs="Times New Roman"/>
          <w:b/>
          <w:bCs/>
          <w:color w:val="auto"/>
          <w:sz w:val="32"/>
          <w:szCs w:val="32"/>
          <w:u w:val="none"/>
          <w:lang w:eastAsia="zh-CN"/>
        </w:rPr>
        <w:t>实施提振消费专项行动。</w:t>
      </w:r>
      <w:r>
        <w:rPr>
          <w:rFonts w:hint="eastAsia" w:eastAsia="仿宋_GB2312" w:cs="Times New Roman"/>
          <w:b w:val="0"/>
          <w:bCs w:val="0"/>
          <w:color w:val="auto"/>
          <w:sz w:val="32"/>
          <w:szCs w:val="32"/>
          <w:u w:val="none"/>
          <w:lang w:eastAsia="zh-CN"/>
        </w:rPr>
        <w:t>指导大型商超举办主题购物活动，</w:t>
      </w:r>
      <w:r>
        <w:rPr>
          <w:rFonts w:hint="eastAsia" w:eastAsia="仿宋_GB2312" w:cs="Times New Roman"/>
          <w:color w:val="auto"/>
          <w:kern w:val="2"/>
          <w:sz w:val="32"/>
          <w:szCs w:val="32"/>
          <w:highlight w:val="none"/>
          <w:u w:val="none"/>
          <w:lang w:val="en-US" w:eastAsia="zh-CN" w:bidi="ar-SA"/>
        </w:rPr>
        <w:t>擦亮</w:t>
      </w:r>
      <w:r>
        <w:rPr>
          <w:rFonts w:hint="eastAsia" w:ascii="Times New Roman" w:hAnsi="Times New Roman" w:eastAsia="仿宋_GB2312" w:cs="Times New Roman"/>
          <w:color w:val="auto"/>
          <w:kern w:val="2"/>
          <w:sz w:val="32"/>
          <w:szCs w:val="32"/>
          <w:highlight w:val="none"/>
          <w:u w:val="none"/>
          <w:lang w:val="en-US" w:eastAsia="zh-CN" w:bidi="ar-SA"/>
        </w:rPr>
        <w:t>“锦汕添花”</w:t>
      </w:r>
      <w:r>
        <w:rPr>
          <w:rFonts w:hint="eastAsia" w:eastAsia="仿宋_GB2312" w:cs="Times New Roman"/>
          <w:color w:val="auto"/>
          <w:kern w:val="2"/>
          <w:sz w:val="32"/>
          <w:szCs w:val="32"/>
          <w:highlight w:val="none"/>
          <w:u w:val="none"/>
          <w:lang w:val="en-US" w:eastAsia="zh-CN" w:bidi="ar-SA"/>
        </w:rPr>
        <w:t>特色</w:t>
      </w:r>
      <w:r>
        <w:rPr>
          <w:rFonts w:hint="eastAsia" w:ascii="Times New Roman" w:hAnsi="Times New Roman" w:eastAsia="仿宋_GB2312" w:cs="Times New Roman"/>
          <w:color w:val="auto"/>
          <w:kern w:val="2"/>
          <w:sz w:val="32"/>
          <w:szCs w:val="32"/>
          <w:highlight w:val="none"/>
          <w:u w:val="none"/>
          <w:lang w:val="en-US" w:eastAsia="zh-CN" w:bidi="ar-SA"/>
        </w:rPr>
        <w:t>促消费品牌，建强促消费活动矩阵。健全“1+7+N”促消费联动机制，形成市级统筹、区县协同的良好格局</w:t>
      </w:r>
      <w:r>
        <w:rPr>
          <w:rFonts w:hint="eastAsia" w:eastAsia="仿宋_GB2312" w:cs="Times New Roman"/>
          <w:color w:val="auto"/>
          <w:kern w:val="2"/>
          <w:sz w:val="32"/>
          <w:szCs w:val="32"/>
          <w:highlight w:val="none"/>
          <w:u w:val="none"/>
          <w:lang w:val="en-US" w:eastAsia="zh-CN" w:bidi="ar-SA"/>
        </w:rPr>
        <w:t>。用好用足消费品以旧换新政策，开展“广东优品购”，聚焦绿色、智能、适老等方向，举办家电下乡、汽车下乡等促消费活动，促进绿色家电、新能源汽车等绿色消费。鼓励二手车经济转经销，培育壮大二手车经营主体。推动老字号传承创新，</w:t>
      </w:r>
      <w:r>
        <w:rPr>
          <w:rFonts w:hint="eastAsia" w:ascii="Times New Roman" w:hAnsi="Times New Roman" w:eastAsia="仿宋_GB2312" w:cs="Times New Roman"/>
          <w:b w:val="0"/>
          <w:bCs w:val="0"/>
          <w:color w:val="auto"/>
          <w:sz w:val="32"/>
          <w:szCs w:val="32"/>
          <w:u w:val="none"/>
          <w:lang w:val="en-US" w:eastAsia="zh-CN"/>
        </w:rPr>
        <w:t>培育一批发展潜力大、文化特色浓厚的老字号企业</w:t>
      </w:r>
      <w:r>
        <w:rPr>
          <w:rFonts w:hint="eastAsia" w:eastAsia="仿宋_GB2312" w:cs="Times New Roman"/>
          <w:b w:val="0"/>
          <w:bCs w:val="0"/>
          <w:color w:val="auto"/>
          <w:sz w:val="32"/>
          <w:szCs w:val="32"/>
          <w:u w:val="none"/>
          <w:lang w:val="en-US" w:eastAsia="zh-CN"/>
        </w:rPr>
        <w:t>，</w:t>
      </w:r>
      <w:r>
        <w:rPr>
          <w:rFonts w:hint="eastAsia" w:eastAsia="仿宋_GB2312"/>
          <w:color w:val="auto"/>
          <w:sz w:val="32"/>
          <w:szCs w:val="32"/>
          <w:highlight w:val="none"/>
          <w:u w:val="none"/>
          <w:lang w:eastAsia="zh-CN"/>
        </w:rPr>
        <w:t>支持老字号品牌</w:t>
      </w:r>
      <w:r>
        <w:rPr>
          <w:rFonts w:hint="eastAsia" w:eastAsia="仿宋_GB2312" w:cs="Times New Roman"/>
          <w:color w:val="auto"/>
          <w:kern w:val="2"/>
          <w:sz w:val="32"/>
          <w:szCs w:val="32"/>
          <w:highlight w:val="none"/>
          <w:u w:val="none"/>
          <w:lang w:val="en-US" w:eastAsia="zh-CN" w:bidi="ar-SA"/>
        </w:rPr>
        <w:t>与节庆、展览等活动相结合，</w:t>
      </w:r>
      <w:r>
        <w:rPr>
          <w:rFonts w:hint="eastAsia" w:eastAsia="仿宋_GB2312"/>
          <w:color w:val="auto"/>
          <w:sz w:val="32"/>
          <w:szCs w:val="32"/>
          <w:highlight w:val="none"/>
          <w:u w:val="none"/>
          <w:lang w:eastAsia="zh-CN"/>
        </w:rPr>
        <w:t>打造国潮国货消费热点。</w:t>
      </w:r>
      <w:r>
        <w:rPr>
          <w:rFonts w:hint="eastAsia" w:eastAsia="仿宋_GB2312" w:cs="Times New Roman"/>
          <w:b w:val="0"/>
          <w:bCs w:val="0"/>
          <w:color w:val="auto"/>
          <w:sz w:val="32"/>
          <w:szCs w:val="32"/>
          <w:u w:val="none"/>
          <w:lang w:val="en-US" w:eastAsia="zh-CN"/>
        </w:rPr>
        <w:t>培育首发经济，</w:t>
      </w:r>
      <w:r>
        <w:rPr>
          <w:rFonts w:hint="eastAsia" w:eastAsia="仿宋_GB2312" w:cs="Times New Roman"/>
          <w:b w:val="0"/>
          <w:bCs w:val="0"/>
          <w:color w:val="auto"/>
          <w:kern w:val="2"/>
          <w:sz w:val="32"/>
          <w:szCs w:val="32"/>
          <w:highlight w:val="none"/>
          <w:u w:val="none"/>
          <w:lang w:val="en-US" w:eastAsia="zh-CN" w:bidi="ar-SA"/>
        </w:rPr>
        <w:t>集中展示</w:t>
      </w:r>
      <w:r>
        <w:rPr>
          <w:rFonts w:hint="eastAsia" w:ascii="Times New Roman" w:hAnsi="Times New Roman" w:eastAsia="仿宋_GB2312" w:cs="Times New Roman"/>
          <w:b w:val="0"/>
          <w:bCs w:val="0"/>
          <w:color w:val="auto"/>
          <w:kern w:val="2"/>
          <w:sz w:val="32"/>
          <w:szCs w:val="32"/>
          <w:highlight w:val="none"/>
          <w:u w:val="none"/>
          <w:lang w:val="en-US" w:eastAsia="zh-CN" w:bidi="ar-SA"/>
        </w:rPr>
        <w:t>新品首发、品牌首秀、活动首展</w:t>
      </w:r>
      <w:r>
        <w:rPr>
          <w:rFonts w:hint="eastAsia" w:ascii="Times New Roman" w:hAnsi="Times New Roman" w:eastAsia="仿宋_GB2312" w:cs="Times New Roman"/>
          <w:color w:val="auto"/>
          <w:kern w:val="2"/>
          <w:sz w:val="32"/>
          <w:szCs w:val="32"/>
          <w:highlight w:val="none"/>
          <w:u w:val="none"/>
          <w:lang w:val="en-US" w:eastAsia="zh-CN" w:bidi="ar-SA"/>
        </w:rPr>
        <w:t>，</w:t>
      </w:r>
      <w:r>
        <w:rPr>
          <w:rFonts w:hint="eastAsia" w:eastAsia="仿宋_GB2312" w:cs="Times New Roman"/>
          <w:color w:val="auto"/>
          <w:kern w:val="2"/>
          <w:sz w:val="32"/>
          <w:szCs w:val="32"/>
          <w:highlight w:val="none"/>
          <w:u w:val="none"/>
          <w:lang w:val="en-US" w:eastAsia="zh-CN" w:bidi="ar-SA"/>
        </w:rPr>
        <w:t>吸引国内外知名品牌</w:t>
      </w:r>
      <w:r>
        <w:rPr>
          <w:rFonts w:hint="eastAsia" w:ascii="Times New Roman" w:hAnsi="Times New Roman" w:eastAsia="仿宋_GB2312" w:cs="Times New Roman"/>
          <w:color w:val="auto"/>
          <w:kern w:val="2"/>
          <w:sz w:val="32"/>
          <w:szCs w:val="32"/>
          <w:highlight w:val="none"/>
          <w:u w:val="none"/>
          <w:lang w:val="en-US" w:eastAsia="zh-CN" w:bidi="ar-SA"/>
        </w:rPr>
        <w:t>开设粤东、汕头首店</w:t>
      </w:r>
      <w:r>
        <w:rPr>
          <w:rFonts w:hint="eastAsia" w:eastAsia="仿宋_GB2312" w:cs="Times New Roman"/>
          <w:color w:val="auto"/>
          <w:kern w:val="2"/>
          <w:sz w:val="32"/>
          <w:szCs w:val="32"/>
          <w:highlight w:val="none"/>
          <w:u w:val="none"/>
          <w:lang w:val="en-US" w:eastAsia="zh-CN" w:bidi="ar-SA"/>
        </w:rPr>
        <w:t>。</w:t>
      </w:r>
    </w:p>
    <w:p>
      <w:pPr>
        <w:numPr>
          <w:ilvl w:val="0"/>
          <w:numId w:val="0"/>
        </w:numPr>
        <w:spacing w:line="600" w:lineRule="exact"/>
        <w:ind w:firstLine="643" w:firstLineChars="200"/>
        <w:rPr>
          <w:rFonts w:hint="eastAsia" w:eastAsia="仿宋_GB2312"/>
          <w:color w:val="auto"/>
          <w:sz w:val="32"/>
          <w:szCs w:val="32"/>
          <w:u w:val="none"/>
        </w:rPr>
      </w:pPr>
      <w:r>
        <w:rPr>
          <w:rFonts w:hint="eastAsia" w:ascii="Times New Roman" w:hAnsi="Times New Roman" w:eastAsia="仿宋_GB2312" w:cs="Times New Roman"/>
          <w:b/>
          <w:bCs/>
          <w:color w:val="auto"/>
          <w:sz w:val="32"/>
          <w:szCs w:val="32"/>
          <w:u w:val="none"/>
          <w:lang w:val="en-US" w:eastAsia="zh-CN"/>
        </w:rPr>
        <w:t>提升消费供给品质</w:t>
      </w:r>
      <w:r>
        <w:rPr>
          <w:rFonts w:hint="eastAsia" w:eastAsia="仿宋_GB2312" w:cs="Times New Roman"/>
          <w:b/>
          <w:bCs/>
          <w:color w:val="auto"/>
          <w:sz w:val="32"/>
          <w:szCs w:val="32"/>
          <w:u w:val="none"/>
          <w:lang w:eastAsia="zh-CN"/>
        </w:rPr>
        <w:t>。</w:t>
      </w:r>
      <w:r>
        <w:rPr>
          <w:rFonts w:hint="eastAsia" w:ascii="Times New Roman" w:hAnsi="Times New Roman" w:eastAsia="仿宋_GB2312" w:cs="Times New Roman"/>
          <w:b w:val="0"/>
          <w:bCs w:val="0"/>
          <w:color w:val="auto"/>
          <w:sz w:val="32"/>
          <w:szCs w:val="32"/>
          <w:u w:val="none"/>
          <w:lang w:val="en-US" w:eastAsia="zh-CN"/>
        </w:rPr>
        <w:t>鼓励消费品升级换代，扩大电子产品、智能产品等改善型、发展型消费，推动餐饮服务消费提质扩容，丰富优质商品与服务供给，更好满足居民品质化、多样化、个性化消费需求。鼓励家政企业与社区服务中心、养老机构协同发展，推动促消费与惠民生紧密结合。</w:t>
      </w:r>
    </w:p>
    <w:p>
      <w:pPr>
        <w:numPr>
          <w:ilvl w:val="0"/>
          <w:numId w:val="0"/>
        </w:numPr>
        <w:spacing w:line="600" w:lineRule="exact"/>
        <w:ind w:firstLine="643" w:firstLineChars="200"/>
        <w:rPr>
          <w:rFonts w:hint="eastAsia" w:eastAsia="仿宋_GB2312"/>
          <w:b/>
          <w:bCs/>
          <w:color w:val="auto"/>
          <w:sz w:val="32"/>
          <w:szCs w:val="32"/>
          <w:u w:val="none"/>
          <w:lang w:eastAsia="zh-CN"/>
        </w:rPr>
      </w:pPr>
      <w:r>
        <w:rPr>
          <w:rFonts w:hint="eastAsia" w:eastAsia="仿宋_GB2312"/>
          <w:b/>
          <w:bCs/>
          <w:color w:val="auto"/>
          <w:sz w:val="32"/>
          <w:szCs w:val="32"/>
          <w:u w:val="none"/>
          <w:lang w:eastAsia="zh-CN"/>
        </w:rPr>
        <w:t>优化零售商业供给。</w:t>
      </w:r>
      <w:r>
        <w:rPr>
          <w:rFonts w:hint="eastAsia" w:ascii="Times New Roman" w:hAnsi="Times New Roman" w:eastAsia="仿宋_GB2312"/>
          <w:color w:val="auto"/>
          <w:sz w:val="32"/>
          <w:highlight w:val="none"/>
          <w:lang w:val="en-US" w:eastAsia="zh-CN"/>
        </w:rPr>
        <w:t>优化批发市场、农贸市场、超市、便利店等各类零售商业布局，</w:t>
      </w:r>
      <w:r>
        <w:rPr>
          <w:rFonts w:hint="eastAsia" w:ascii="Times New Roman" w:hAnsi="Times New Roman" w:eastAsia="仿宋_GB2312" w:cs="Times New Roman"/>
          <w:color w:val="auto"/>
          <w:sz w:val="32"/>
          <w:highlight w:val="none"/>
          <w:u w:val="none"/>
          <w:lang w:val="en-US" w:eastAsia="zh-CN"/>
        </w:rPr>
        <w:t>推动商业</w:t>
      </w:r>
      <w:r>
        <w:rPr>
          <w:rFonts w:hint="eastAsia" w:eastAsia="仿宋_GB2312" w:cs="Times New Roman"/>
          <w:color w:val="auto"/>
          <w:sz w:val="32"/>
          <w:highlight w:val="none"/>
          <w:u w:val="none"/>
          <w:lang w:val="en-US" w:eastAsia="zh-CN"/>
        </w:rPr>
        <w:t>消费体系</w:t>
      </w:r>
      <w:r>
        <w:rPr>
          <w:rFonts w:hint="eastAsia" w:ascii="Times New Roman" w:hAnsi="Times New Roman" w:eastAsia="仿宋_GB2312" w:cs="Times New Roman"/>
          <w:color w:val="auto"/>
          <w:sz w:val="32"/>
          <w:highlight w:val="none"/>
          <w:u w:val="none"/>
          <w:lang w:val="en-US" w:eastAsia="zh-CN"/>
        </w:rPr>
        <w:t>差异化</w:t>
      </w:r>
      <w:r>
        <w:rPr>
          <w:rFonts w:hint="eastAsia" w:eastAsia="仿宋_GB2312" w:cs="Times New Roman"/>
          <w:color w:val="auto"/>
          <w:sz w:val="32"/>
          <w:highlight w:val="none"/>
          <w:u w:val="none"/>
          <w:lang w:val="en-US" w:eastAsia="zh-CN"/>
        </w:rPr>
        <w:t>、品质化</w:t>
      </w:r>
      <w:r>
        <w:rPr>
          <w:rFonts w:hint="eastAsia" w:ascii="Times New Roman" w:hAnsi="Times New Roman" w:eastAsia="仿宋_GB2312" w:cs="Times New Roman"/>
          <w:color w:val="auto"/>
          <w:sz w:val="32"/>
          <w:highlight w:val="none"/>
          <w:u w:val="none"/>
          <w:lang w:val="en-US" w:eastAsia="zh-CN"/>
        </w:rPr>
        <w:t>发展。</w:t>
      </w:r>
      <w:r>
        <w:rPr>
          <w:rFonts w:hint="eastAsia" w:ascii="仿宋_GB2312" w:hAnsi="仿宋_GB2312" w:eastAsia="仿宋_GB2312" w:cs="仿宋_GB2312"/>
          <w:b w:val="0"/>
          <w:bCs w:val="0"/>
          <w:color w:val="auto"/>
          <w:sz w:val="32"/>
          <w:szCs w:val="32"/>
          <w:u w:val="none"/>
          <w:lang w:eastAsia="zh-CN"/>
        </w:rPr>
        <w:t>鼓励批发市场实施数字化、冷链化、绿色化升级改造，提升商贸流通现代化水平。因地制宜布局农贸市场，鼓励超市开展调整改造，优化购物环境，推广“超市+菜市场”复合业态，引导市场主体增设净菜、预制菜专区。鼓励发展融合型商业、时尚型商业、社区型商业，</w:t>
      </w:r>
      <w:r>
        <w:rPr>
          <w:rFonts w:hint="eastAsia" w:eastAsia="仿宋_GB2312" w:cs="Times New Roman"/>
          <w:color w:val="auto"/>
          <w:kern w:val="2"/>
          <w:sz w:val="32"/>
          <w:szCs w:val="32"/>
          <w:highlight w:val="none"/>
          <w:u w:val="none"/>
          <w:lang w:val="en-US" w:eastAsia="zh-CN" w:bidi="ar-SA"/>
        </w:rPr>
        <w:t>支持传统零售企业向体验式、互动式消费转型，推动传统购物中心、百货店、家居市场等向体验、时尚、社交综合场景发展，</w:t>
      </w:r>
      <w:r>
        <w:rPr>
          <w:rFonts w:hint="eastAsia" w:ascii="仿宋_GB2312" w:hAnsi="仿宋_GB2312" w:eastAsia="仿宋_GB2312" w:cs="仿宋_GB2312"/>
          <w:b w:val="0"/>
          <w:bCs w:val="0"/>
          <w:color w:val="auto"/>
          <w:sz w:val="32"/>
          <w:szCs w:val="32"/>
          <w:u w:val="none"/>
          <w:lang w:eastAsia="zh-CN"/>
        </w:rPr>
        <w:t>在保障商业供给便民利民惠民的基础上，适应个性化、差异化、品质化消费需求。</w:t>
      </w:r>
    </w:p>
    <w:p>
      <w:pPr>
        <w:numPr>
          <w:ilvl w:val="0"/>
          <w:numId w:val="0"/>
        </w:numPr>
        <w:spacing w:line="600" w:lineRule="exact"/>
        <w:ind w:firstLine="643" w:firstLineChars="200"/>
        <w:rPr>
          <w:rFonts w:hint="eastAsia"/>
          <w:lang w:eastAsia="zh-CN"/>
        </w:rPr>
      </w:pPr>
      <w:r>
        <w:rPr>
          <w:rFonts w:hint="eastAsia" w:eastAsia="仿宋_GB2312"/>
          <w:b/>
          <w:bCs/>
          <w:color w:val="auto"/>
          <w:sz w:val="32"/>
          <w:szCs w:val="32"/>
          <w:u w:val="none"/>
          <w:lang w:eastAsia="zh-CN"/>
        </w:rPr>
        <w:t>做强批零住餐。</w:t>
      </w:r>
      <w:r>
        <w:rPr>
          <w:rFonts w:hint="eastAsia" w:eastAsia="仿宋_GB2312" w:cs="Times New Roman"/>
          <w:b w:val="0"/>
          <w:bCs w:val="0"/>
          <w:color w:val="auto"/>
          <w:sz w:val="32"/>
          <w:szCs w:val="32"/>
          <w:u w:val="none"/>
          <w:lang w:val="en-US" w:eastAsia="zh-CN"/>
        </w:rPr>
        <w:t>建立商贸企业培育纳统工作机制，依托“广东优品购”和消费品以旧换新等活动，推动一批商贸企业上限纳统，为消费市场扩量提质提供坚实支撑。加力招引知名酒店集团，争取落地中高端酒店，积极打造文化主题酒店、康养酒店、度假酒店、乡村酒店、特色民宿等多元业态。擦亮“食在汕头”招牌，发布“汕头美食地图”，培育一批潮汕特色美食聚集区。</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default" w:ascii="楷体" w:hAnsi="楷体" w:eastAsia="楷体" w:cs="楷体"/>
          <w:b/>
          <w:bCs/>
          <w:color w:val="auto"/>
          <w:spacing w:val="0"/>
          <w:kern w:val="10"/>
          <w:sz w:val="32"/>
          <w:szCs w:val="32"/>
          <w:highlight w:val="none"/>
          <w:u w:val="none"/>
          <w:lang w:val="en-US" w:eastAsia="zh-CN" w:bidi="ar-SA"/>
        </w:rPr>
      </w:pPr>
      <w:bookmarkStart w:id="27" w:name="_Toc481405181"/>
      <w:r>
        <w:rPr>
          <w:rFonts w:hint="eastAsia" w:ascii="楷体" w:hAnsi="楷体" w:eastAsia="楷体" w:cs="楷体"/>
          <w:b/>
          <w:bCs/>
          <w:color w:val="auto"/>
          <w:spacing w:val="0"/>
          <w:kern w:val="10"/>
          <w:sz w:val="32"/>
          <w:szCs w:val="32"/>
          <w:highlight w:val="none"/>
          <w:u w:val="none"/>
          <w:lang w:val="en-US" w:eastAsia="zh-CN" w:bidi="ar-SA"/>
        </w:rPr>
        <w:t>第三节  拓展消费新业态</w:t>
      </w:r>
      <w:bookmarkEnd w:id="27"/>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eastAsia="仿宋_GB2312"/>
          <w:color w:val="auto"/>
          <w:sz w:val="32"/>
          <w:szCs w:val="32"/>
          <w:highlight w:val="none"/>
          <w:u w:val="none"/>
          <w:lang w:eastAsia="zh-CN"/>
        </w:rPr>
      </w:pPr>
      <w:r>
        <w:rPr>
          <w:rFonts w:hint="eastAsia" w:ascii="Times New Roman" w:hAnsi="Times New Roman" w:eastAsia="仿宋_GB2312" w:cs="Times New Roman"/>
          <w:b/>
          <w:bCs/>
          <w:color w:val="auto"/>
          <w:sz w:val="32"/>
          <w:szCs w:val="32"/>
          <w:u w:val="none"/>
          <w:lang w:val="en-US" w:eastAsia="zh-CN"/>
        </w:rPr>
        <w:t>培育</w:t>
      </w:r>
      <w:r>
        <w:rPr>
          <w:rFonts w:hint="eastAsia" w:eastAsia="仿宋_GB2312" w:cs="Times New Roman"/>
          <w:b/>
          <w:bCs/>
          <w:color w:val="auto"/>
          <w:sz w:val="32"/>
          <w:szCs w:val="32"/>
          <w:u w:val="none"/>
          <w:lang w:val="en-US" w:eastAsia="zh-CN"/>
        </w:rPr>
        <w:t>壮大</w:t>
      </w:r>
      <w:r>
        <w:rPr>
          <w:rFonts w:hint="eastAsia" w:ascii="Times New Roman" w:hAnsi="Times New Roman" w:eastAsia="仿宋_GB2312" w:cs="Times New Roman"/>
          <w:b/>
          <w:bCs/>
          <w:color w:val="auto"/>
          <w:sz w:val="32"/>
          <w:szCs w:val="32"/>
          <w:u w:val="none"/>
          <w:lang w:val="en-US" w:eastAsia="zh-CN"/>
        </w:rPr>
        <w:t>新型消费</w:t>
      </w:r>
      <w:r>
        <w:rPr>
          <w:rFonts w:hint="eastAsia" w:eastAsia="仿宋_GB2312" w:cs="Times New Roman"/>
          <w:b/>
          <w:bCs/>
          <w:color w:val="auto"/>
          <w:sz w:val="32"/>
          <w:szCs w:val="32"/>
          <w:u w:val="none"/>
          <w:lang w:val="en-US" w:eastAsia="zh-CN"/>
        </w:rPr>
        <w:t>。</w:t>
      </w:r>
      <w:r>
        <w:rPr>
          <w:rFonts w:hint="eastAsia" w:eastAsia="仿宋_GB2312" w:cs="Times New Roman"/>
          <w:b w:val="0"/>
          <w:bCs w:val="0"/>
          <w:color w:val="auto"/>
          <w:sz w:val="32"/>
          <w:szCs w:val="32"/>
          <w:u w:val="none"/>
          <w:lang w:val="en-US" w:eastAsia="zh-CN"/>
        </w:rPr>
        <w:t>倡导绿色消费、智能消费、健康消费等新型消费模式，激活电商消费潜力，</w:t>
      </w:r>
      <w:r>
        <w:rPr>
          <w:rFonts w:hint="eastAsia" w:ascii="仿宋_GB2312" w:hAnsi="仿宋_GB2312" w:eastAsia="仿宋_GB2312" w:cs="仿宋_GB2312"/>
          <w:color w:val="auto"/>
          <w:kern w:val="2"/>
          <w:sz w:val="32"/>
          <w:szCs w:val="32"/>
          <w:lang w:val="en-US" w:eastAsia="zh-CN" w:bidi="ar-SA"/>
        </w:rPr>
        <w:t>大力发展直播带货等新业态，</w:t>
      </w:r>
      <w:r>
        <w:rPr>
          <w:rFonts w:hint="eastAsia" w:eastAsia="仿宋_GB2312" w:cs="Times New Roman"/>
          <w:b w:val="0"/>
          <w:bCs w:val="0"/>
          <w:color w:val="auto"/>
          <w:sz w:val="32"/>
          <w:szCs w:val="32"/>
          <w:u w:val="none"/>
          <w:lang w:val="en-US" w:eastAsia="zh-CN"/>
        </w:rPr>
        <w:t>推动线上线下消费融合发展。</w:t>
      </w:r>
      <w:r>
        <w:rPr>
          <w:rFonts w:hint="eastAsia" w:eastAsia="仿宋_GB2312" w:cs="Times New Roman"/>
          <w:color w:val="auto"/>
          <w:kern w:val="2"/>
          <w:sz w:val="32"/>
          <w:szCs w:val="32"/>
          <w:highlight w:val="none"/>
          <w:u w:val="none"/>
          <w:lang w:val="en-US" w:eastAsia="zh-CN" w:bidi="ar-SA"/>
        </w:rPr>
        <w:t>顺应“Z世代”消费潮流，支持悦己消费、疗愈经济、宠物经济、</w:t>
      </w:r>
      <w:r>
        <w:rPr>
          <w:rFonts w:hint="eastAsia" w:eastAsia="仿宋_GB2312"/>
          <w:color w:val="auto"/>
          <w:sz w:val="32"/>
          <w:szCs w:val="32"/>
          <w:highlight w:val="none"/>
          <w:u w:val="none"/>
          <w:lang w:eastAsia="zh-CN"/>
        </w:rPr>
        <w:t>潮玩</w:t>
      </w:r>
      <w:r>
        <w:rPr>
          <w:rFonts w:hint="eastAsia" w:eastAsia="仿宋_GB2312"/>
          <w:color w:val="auto"/>
          <w:sz w:val="32"/>
          <w:szCs w:val="32"/>
          <w:highlight w:val="none"/>
          <w:u w:val="none"/>
        </w:rPr>
        <w:t>经济</w:t>
      </w:r>
      <w:r>
        <w:rPr>
          <w:rFonts w:hint="eastAsia" w:eastAsia="仿宋_GB2312"/>
          <w:color w:val="auto"/>
          <w:sz w:val="32"/>
          <w:szCs w:val="32"/>
          <w:highlight w:val="none"/>
          <w:u w:val="none"/>
          <w:lang w:eastAsia="zh-CN"/>
        </w:rPr>
        <w:t>等新型消费发展</w:t>
      </w:r>
      <w:r>
        <w:rPr>
          <w:rFonts w:hint="eastAsia" w:eastAsia="仿宋_GB2312"/>
          <w:color w:val="auto"/>
          <w:sz w:val="32"/>
          <w:szCs w:val="32"/>
          <w:highlight w:val="none"/>
          <w:u w:val="none"/>
        </w:rPr>
        <w:t>。</w:t>
      </w:r>
      <w:r>
        <w:rPr>
          <w:rFonts w:hint="eastAsia" w:eastAsia="仿宋_GB2312"/>
          <w:color w:val="auto"/>
          <w:sz w:val="32"/>
          <w:szCs w:val="32"/>
          <w:highlight w:val="none"/>
          <w:u w:val="none"/>
          <w:lang w:eastAsia="zh-CN"/>
        </w:rPr>
        <w:t>积极推广跨境免税、离境退税政策，推动“即买即退”便利化服务落地，优化入境旅客购物体验。积极应用AI大模型、虚拟现实等新技术，探索打造数实融合消费场景。大力推进“人工智能+消费”、“机器人+”消费，深入挖掘新技术新产品消费场景。探索在南澳岛、鸭寮湾等沿海旅游热门目的地发展低空消费、游艇消费，打造一批具有汕头特色的旅游线路和体验项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sz w:val="32"/>
          <w:highlight w:val="none"/>
          <w:u w:val="none"/>
          <w:lang w:val="en-US" w:eastAsia="zh-CN"/>
        </w:rPr>
      </w:pPr>
      <w:r>
        <w:rPr>
          <w:rFonts w:hint="eastAsia" w:eastAsia="仿宋_GB2312" w:cs="Times New Roman"/>
          <w:b/>
          <w:bCs/>
          <w:color w:val="auto"/>
          <w:sz w:val="32"/>
          <w:szCs w:val="32"/>
          <w:highlight w:val="none"/>
          <w:u w:val="none"/>
          <w:lang w:val="en-US" w:eastAsia="zh-CN"/>
        </w:rPr>
        <w:t>创新多元化消费场景。</w:t>
      </w:r>
      <w:r>
        <w:rPr>
          <w:rFonts w:hint="eastAsia" w:ascii="Times New Roman" w:hAnsi="Times New Roman" w:eastAsia="仿宋_GB2312" w:cs="Times New Roman"/>
          <w:b w:val="0"/>
          <w:bCs w:val="0"/>
          <w:color w:val="auto"/>
          <w:kern w:val="2"/>
          <w:sz w:val="32"/>
          <w:szCs w:val="32"/>
          <w:highlight w:val="none"/>
          <w:u w:val="none"/>
          <w:lang w:val="en-US" w:eastAsia="zh-CN" w:bidi="ar-SA"/>
        </w:rPr>
        <w:t>促进文商旅体消费融合发展</w:t>
      </w:r>
      <w:r>
        <w:rPr>
          <w:rFonts w:hint="eastAsia" w:eastAsia="仿宋_GB2312" w:cs="Times New Roman"/>
          <w:b w:val="0"/>
          <w:bCs w:val="0"/>
          <w:color w:val="auto"/>
          <w:kern w:val="2"/>
          <w:sz w:val="32"/>
          <w:szCs w:val="32"/>
          <w:highlight w:val="none"/>
          <w:u w:val="none"/>
          <w:lang w:val="en-US" w:eastAsia="zh-CN" w:bidi="ar-SA"/>
        </w:rPr>
        <w:t>，</w:t>
      </w:r>
      <w:r>
        <w:rPr>
          <w:rFonts w:hint="eastAsia" w:ascii="Times New Roman" w:hAnsi="Times New Roman" w:eastAsia="仿宋_GB2312" w:cs="Times New Roman"/>
          <w:color w:val="auto"/>
          <w:sz w:val="32"/>
          <w:highlight w:val="none"/>
          <w:u w:val="none"/>
          <w:lang w:val="en-US" w:eastAsia="zh-CN"/>
        </w:rPr>
        <w:t>用好传统文化、节庆节展、</w:t>
      </w:r>
      <w:r>
        <w:rPr>
          <w:rFonts w:hint="eastAsia" w:eastAsia="仿宋_GB2312" w:cs="Times New Roman"/>
          <w:color w:val="auto"/>
          <w:sz w:val="32"/>
          <w:highlight w:val="none"/>
          <w:u w:val="none"/>
          <w:lang w:val="en-US" w:eastAsia="zh-CN"/>
        </w:rPr>
        <w:t>海洋生态、特色产业</w:t>
      </w:r>
      <w:r>
        <w:rPr>
          <w:rFonts w:hint="eastAsia" w:ascii="Times New Roman" w:hAnsi="Times New Roman" w:eastAsia="仿宋_GB2312" w:cs="Times New Roman"/>
          <w:color w:val="auto"/>
          <w:sz w:val="32"/>
          <w:highlight w:val="none"/>
          <w:u w:val="none"/>
          <w:lang w:val="en-US" w:eastAsia="zh-CN"/>
        </w:rPr>
        <w:t>等资源</w:t>
      </w:r>
      <w:r>
        <w:rPr>
          <w:rFonts w:hint="eastAsia" w:eastAsia="仿宋_GB2312" w:cs="Times New Roman"/>
          <w:color w:val="auto"/>
          <w:sz w:val="32"/>
          <w:highlight w:val="none"/>
          <w:u w:val="none"/>
          <w:lang w:val="en-US" w:eastAsia="zh-CN"/>
        </w:rPr>
        <w:t>禀赋，</w:t>
      </w:r>
      <w:r>
        <w:rPr>
          <w:rFonts w:hint="eastAsia" w:eastAsia="仿宋_GB2312" w:cs="Times New Roman"/>
          <w:color w:val="auto"/>
          <w:sz w:val="32"/>
          <w:szCs w:val="32"/>
          <w:u w:val="none"/>
          <w:lang w:val="en-US" w:eastAsia="zh-CN"/>
        </w:rPr>
        <w:t>挖掘</w:t>
      </w:r>
      <w:r>
        <w:rPr>
          <w:rFonts w:hint="eastAsia" w:ascii="Times New Roman" w:hAnsi="Times New Roman" w:eastAsia="仿宋_GB2312" w:cs="Times New Roman"/>
          <w:color w:val="auto"/>
          <w:sz w:val="32"/>
          <w:szCs w:val="32"/>
          <w:u w:val="none"/>
          <w:lang w:val="en-US" w:eastAsia="zh-CN"/>
        </w:rPr>
        <w:t>餐饮住宿、旅游观光、体育竞技、展览展示等</w:t>
      </w:r>
      <w:r>
        <w:rPr>
          <w:rFonts w:hint="eastAsia" w:eastAsia="仿宋_GB2312" w:cs="Times New Roman"/>
          <w:color w:val="auto"/>
          <w:sz w:val="32"/>
          <w:szCs w:val="32"/>
          <w:u w:val="none"/>
          <w:lang w:val="en-US" w:eastAsia="zh-CN"/>
        </w:rPr>
        <w:t>传统</w:t>
      </w:r>
      <w:r>
        <w:rPr>
          <w:rFonts w:hint="eastAsia" w:ascii="Times New Roman" w:hAnsi="Times New Roman" w:eastAsia="仿宋_GB2312" w:cs="Times New Roman"/>
          <w:color w:val="auto"/>
          <w:sz w:val="32"/>
          <w:szCs w:val="32"/>
          <w:u w:val="none"/>
          <w:lang w:val="en-US" w:eastAsia="zh-CN"/>
        </w:rPr>
        <w:t>领域</w:t>
      </w:r>
      <w:r>
        <w:rPr>
          <w:rFonts w:hint="eastAsia" w:eastAsia="仿宋_GB2312" w:cs="Times New Roman"/>
          <w:color w:val="auto"/>
          <w:sz w:val="32"/>
          <w:szCs w:val="32"/>
          <w:u w:val="none"/>
          <w:lang w:val="en-US" w:eastAsia="zh-CN"/>
        </w:rPr>
        <w:t>消费潜力</w:t>
      </w:r>
      <w:r>
        <w:rPr>
          <w:rFonts w:hint="eastAsia" w:ascii="Times New Roman" w:hAnsi="Times New Roman" w:eastAsia="仿宋_GB2312" w:cs="Times New Roman"/>
          <w:color w:val="auto"/>
          <w:sz w:val="32"/>
          <w:szCs w:val="32"/>
          <w:u w:val="none"/>
          <w:lang w:val="en-US" w:eastAsia="zh-CN"/>
        </w:rPr>
        <w:t>，</w:t>
      </w:r>
      <w:r>
        <w:rPr>
          <w:rFonts w:hint="eastAsia" w:eastAsia="仿宋_GB2312" w:cs="Times New Roman"/>
          <w:color w:val="auto"/>
          <w:sz w:val="32"/>
          <w:szCs w:val="32"/>
          <w:u w:val="none"/>
          <w:lang w:val="en-US" w:eastAsia="zh-CN"/>
        </w:rPr>
        <w:t>发展“赛事+消费”“展会+消费”“演艺+消费”</w:t>
      </w:r>
      <w:r>
        <w:rPr>
          <w:rFonts w:hint="eastAsia" w:ascii="Times New Roman" w:hAnsi="Times New Roman" w:eastAsia="仿宋_GB2312" w:cs="Times New Roman"/>
          <w:color w:val="auto"/>
          <w:sz w:val="32"/>
          <w:szCs w:val="32"/>
          <w:u w:val="none"/>
          <w:lang w:val="en-US" w:eastAsia="zh-CN"/>
        </w:rPr>
        <w:t>等新兴</w:t>
      </w:r>
      <w:r>
        <w:rPr>
          <w:rFonts w:hint="eastAsia" w:eastAsia="仿宋_GB2312" w:cs="Times New Roman"/>
          <w:color w:val="auto"/>
          <w:sz w:val="32"/>
          <w:szCs w:val="32"/>
          <w:u w:val="none"/>
          <w:lang w:val="en-US" w:eastAsia="zh-CN"/>
        </w:rPr>
        <w:t>消费</w:t>
      </w:r>
      <w:r>
        <w:rPr>
          <w:rFonts w:hint="eastAsia" w:ascii="Times New Roman" w:hAnsi="Times New Roman" w:eastAsia="仿宋_GB2312" w:cs="Times New Roman"/>
          <w:color w:val="auto"/>
          <w:sz w:val="32"/>
          <w:szCs w:val="32"/>
          <w:u w:val="none"/>
          <w:lang w:val="en-US" w:eastAsia="zh-CN"/>
        </w:rPr>
        <w:t>业态。</w:t>
      </w:r>
      <w:r>
        <w:rPr>
          <w:rFonts w:hint="eastAsia" w:eastAsia="仿宋_GB2312" w:cs="Times New Roman"/>
          <w:color w:val="auto"/>
          <w:sz w:val="32"/>
          <w:szCs w:val="32"/>
          <w:u w:val="none"/>
          <w:lang w:val="en-US" w:eastAsia="zh-CN"/>
        </w:rPr>
        <w:t>发展体验式经济，</w:t>
      </w:r>
      <w:r>
        <w:rPr>
          <w:rFonts w:hint="eastAsia" w:eastAsia="仿宋_GB2312" w:cs="Times New Roman"/>
          <w:color w:val="auto"/>
          <w:kern w:val="2"/>
          <w:sz w:val="32"/>
          <w:szCs w:val="32"/>
          <w:highlight w:val="none"/>
          <w:u w:val="none"/>
          <w:lang w:val="en-US" w:eastAsia="zh-CN" w:bidi="ar-SA"/>
        </w:rPr>
        <w:t>发展</w:t>
      </w:r>
      <w:r>
        <w:rPr>
          <w:rFonts w:hint="eastAsia" w:ascii="Times New Roman" w:hAnsi="Times New Roman" w:eastAsia="仿宋_GB2312" w:cs="Times New Roman"/>
          <w:color w:val="auto"/>
          <w:kern w:val="2"/>
          <w:sz w:val="32"/>
          <w:szCs w:val="32"/>
          <w:highlight w:val="none"/>
          <w:u w:val="none"/>
          <w:lang w:val="en-US" w:eastAsia="zh-CN" w:bidi="ar-SA"/>
        </w:rPr>
        <w:t>“美食＋文化”消费场景，打造“住宿餐饮+文旅”一站式美食线路和“非遗+老字号”citywalk线路</w:t>
      </w:r>
      <w:r>
        <w:rPr>
          <w:rFonts w:hint="eastAsia" w:eastAsia="仿宋_GB2312" w:cs="Times New Roman"/>
          <w:color w:val="auto"/>
          <w:kern w:val="2"/>
          <w:sz w:val="32"/>
          <w:szCs w:val="32"/>
          <w:highlight w:val="none"/>
          <w:u w:val="none"/>
          <w:lang w:val="en-US" w:eastAsia="zh-CN" w:bidi="ar-SA"/>
        </w:rPr>
        <w:t>，依托滨海旅游公路叠加文旅活动引流，培育滨海休闲、夜间市集、文旅体验等多元消费新场景。</w:t>
      </w:r>
      <w:r>
        <w:rPr>
          <w:rFonts w:hint="eastAsia" w:ascii="Times New Roman" w:hAnsi="Times New Roman" w:eastAsia="仿宋_GB2312" w:cs="Times New Roman"/>
          <w:color w:val="auto"/>
          <w:sz w:val="32"/>
          <w:highlight w:val="none"/>
          <w:u w:val="none"/>
          <w:lang w:val="en-US" w:eastAsia="zh-CN"/>
        </w:rPr>
        <w:t>推出“一程多站”入境游精品线路，推广“城市交通+景点+住宿+消费”联合促消费方案</w:t>
      </w:r>
      <w:r>
        <w:rPr>
          <w:rFonts w:hint="eastAsia"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szCs w:val="32"/>
          <w:u w:val="none"/>
          <w:lang w:val="en-US" w:eastAsia="zh-CN"/>
        </w:rPr>
        <w:t>打造具有潮汕特色和</w:t>
      </w:r>
      <w:r>
        <w:rPr>
          <w:rFonts w:hint="eastAsia" w:eastAsia="仿宋_GB2312" w:cs="Times New Roman"/>
          <w:color w:val="auto"/>
          <w:sz w:val="32"/>
          <w:szCs w:val="32"/>
          <w:u w:val="none"/>
          <w:lang w:val="en-US" w:eastAsia="zh-CN"/>
        </w:rPr>
        <w:t>区域</w:t>
      </w:r>
      <w:r>
        <w:rPr>
          <w:rFonts w:hint="eastAsia" w:ascii="Times New Roman" w:hAnsi="Times New Roman" w:eastAsia="仿宋_GB2312" w:cs="Times New Roman"/>
          <w:color w:val="auto"/>
          <w:sz w:val="32"/>
          <w:szCs w:val="32"/>
          <w:u w:val="none"/>
          <w:lang w:val="en-US" w:eastAsia="zh-CN"/>
        </w:rPr>
        <w:t>影响力的文商旅体消费目的地</w:t>
      </w:r>
      <w:r>
        <w:rPr>
          <w:rFonts w:hint="eastAsia" w:eastAsia="仿宋_GB2312" w:cs="Times New Roman"/>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28" w:name="_Toc1764158524"/>
      <w:r>
        <w:rPr>
          <w:rFonts w:hint="eastAsia" w:ascii="楷体" w:hAnsi="楷体" w:eastAsia="楷体" w:cs="楷体"/>
          <w:b/>
          <w:bCs/>
          <w:color w:val="auto"/>
          <w:spacing w:val="0"/>
          <w:kern w:val="10"/>
          <w:sz w:val="32"/>
          <w:szCs w:val="32"/>
          <w:highlight w:val="none"/>
          <w:u w:val="none"/>
          <w:lang w:val="en-US" w:eastAsia="zh-CN" w:bidi="ar-SA"/>
        </w:rPr>
        <w:t>第四节  推动城乡消费协调发展</w:t>
      </w:r>
      <w:bookmarkEnd w:id="2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i w:val="0"/>
          <w:iCs w:val="0"/>
          <w:caps w:val="0"/>
          <w:color w:val="auto"/>
          <w:spacing w:val="0"/>
          <w:sz w:val="32"/>
          <w:szCs w:val="32"/>
          <w:u w:val="none"/>
          <w:shd w:val="clear" w:color="auto" w:fill="FFFFFF"/>
          <w:lang w:val="en-US" w:eastAsia="zh-CN"/>
        </w:rPr>
        <w:t>推动县域商业提质升级。</w:t>
      </w:r>
      <w:r>
        <w:rPr>
          <w:rFonts w:hint="eastAsia" w:ascii="仿宋_GB2312" w:hAnsi="仿宋_GB2312" w:eastAsia="仿宋_GB2312" w:cs="仿宋_GB2312"/>
          <w:b w:val="0"/>
          <w:bCs w:val="0"/>
          <w:color w:val="auto"/>
          <w:sz w:val="32"/>
          <w:szCs w:val="32"/>
          <w:highlight w:val="none"/>
          <w:u w:val="none"/>
          <w:lang w:val="en-US" w:eastAsia="zh-CN"/>
        </w:rPr>
        <w:t>扎实推进“百千万工程”，深化县域商业建设行动，</w:t>
      </w:r>
      <w:r>
        <w:rPr>
          <w:rFonts w:hint="default" w:ascii="仿宋_GB2312" w:hAnsi="仿宋_GB2312" w:eastAsia="仿宋_GB2312" w:cs="仿宋_GB2312"/>
          <w:b w:val="0"/>
          <w:bCs w:val="0"/>
          <w:color w:val="auto"/>
          <w:sz w:val="32"/>
          <w:szCs w:val="32"/>
          <w:highlight w:val="none"/>
          <w:u w:val="none"/>
          <w:lang w:eastAsia="zh-CN"/>
        </w:rPr>
        <w:t>优化商业网点规划布局</w:t>
      </w:r>
      <w:r>
        <w:rPr>
          <w:rFonts w:hint="eastAsia" w:ascii="仿宋_GB2312" w:hAnsi="仿宋_GB2312" w:eastAsia="仿宋_GB2312" w:cs="仿宋_GB2312"/>
          <w:b w:val="0"/>
          <w:bCs w:val="0"/>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u w:val="none"/>
          <w:lang w:val="en-US" w:eastAsia="zh-CN"/>
        </w:rPr>
        <w:t>鼓励大型流通企业、连锁经营企业下沉渠道，支持</w:t>
      </w:r>
      <w:r>
        <w:rPr>
          <w:rFonts w:hint="eastAsia" w:eastAsia="仿宋_GB2312" w:cs="Times New Roman"/>
          <w:color w:val="auto"/>
          <w:kern w:val="2"/>
          <w:sz w:val="32"/>
          <w:szCs w:val="32"/>
          <w:highlight w:val="none"/>
          <w:u w:val="none"/>
          <w:lang w:val="en-US" w:eastAsia="zh-CN" w:bidi="ar-SA"/>
        </w:rPr>
        <w:t>县域商贸中心、乡镇集贸市场、村级便民商店升级改造，</w:t>
      </w:r>
      <w:r>
        <w:rPr>
          <w:rFonts w:hint="default" w:eastAsia="仿宋_GB2312" w:cs="Times New Roman"/>
          <w:color w:val="auto"/>
          <w:kern w:val="2"/>
          <w:sz w:val="32"/>
          <w:szCs w:val="32"/>
          <w:highlight w:val="none"/>
          <w:u w:val="none"/>
          <w:lang w:eastAsia="zh-CN" w:bidi="ar-SA"/>
        </w:rPr>
        <w:t>推动</w:t>
      </w:r>
      <w:r>
        <w:rPr>
          <w:rFonts w:hint="eastAsia" w:ascii="Times New Roman" w:hAnsi="Times New Roman" w:eastAsia="仿宋_GB2312" w:cs="Times New Roman"/>
          <w:color w:val="auto"/>
          <w:kern w:val="2"/>
          <w:sz w:val="32"/>
          <w:szCs w:val="32"/>
          <w:highlight w:val="none"/>
          <w:u w:val="none"/>
          <w:lang w:val="en-US" w:eastAsia="zh-CN" w:bidi="ar-SA"/>
        </w:rPr>
        <w:t>商贸网点</w:t>
      </w:r>
      <w:r>
        <w:rPr>
          <w:rFonts w:hint="default" w:eastAsia="仿宋_GB2312" w:cs="Times New Roman"/>
          <w:color w:val="auto"/>
          <w:kern w:val="2"/>
          <w:sz w:val="32"/>
          <w:szCs w:val="32"/>
          <w:highlight w:val="none"/>
          <w:u w:val="none"/>
          <w:lang w:eastAsia="zh-CN" w:bidi="ar-SA"/>
        </w:rPr>
        <w:t>提质升级</w:t>
      </w:r>
      <w:r>
        <w:rPr>
          <w:rFonts w:hint="eastAsia" w:ascii="Times New Roman" w:hAnsi="Times New Roman" w:eastAsia="仿宋_GB2312" w:cs="Times New Roman"/>
          <w:color w:val="auto"/>
          <w:kern w:val="2"/>
          <w:sz w:val="32"/>
          <w:szCs w:val="32"/>
          <w:highlight w:val="none"/>
          <w:u w:val="none"/>
          <w:lang w:val="en-US" w:eastAsia="zh-CN" w:bidi="ar-SA"/>
        </w:rPr>
        <w:t>，</w:t>
      </w:r>
      <w:r>
        <w:rPr>
          <w:rFonts w:hint="default" w:eastAsia="仿宋_GB2312" w:cs="Times New Roman"/>
          <w:color w:val="auto"/>
          <w:kern w:val="2"/>
          <w:sz w:val="32"/>
          <w:szCs w:val="32"/>
          <w:highlight w:val="none"/>
          <w:u w:val="none"/>
          <w:lang w:eastAsia="zh-CN" w:bidi="ar-SA"/>
        </w:rPr>
        <w:t>完善</w:t>
      </w:r>
      <w:r>
        <w:rPr>
          <w:rFonts w:hint="eastAsia" w:ascii="仿宋_GB2312" w:hAnsi="仿宋_GB2312" w:eastAsia="仿宋_GB2312" w:cs="仿宋_GB2312"/>
          <w:b w:val="0"/>
          <w:bCs w:val="0"/>
          <w:color w:val="auto"/>
          <w:sz w:val="32"/>
          <w:szCs w:val="32"/>
          <w:highlight w:val="none"/>
          <w:u w:val="none"/>
          <w:lang w:val="en-US" w:eastAsia="zh-CN"/>
        </w:rPr>
        <w:t>商贸流通体系</w:t>
      </w:r>
      <w:r>
        <w:rPr>
          <w:rFonts w:hint="default" w:ascii="仿宋_GB2312" w:hAnsi="仿宋_GB2312" w:eastAsia="仿宋_GB2312" w:cs="仿宋_GB2312"/>
          <w:b w:val="0"/>
          <w:bCs w:val="0"/>
          <w:color w:val="auto"/>
          <w:sz w:val="32"/>
          <w:szCs w:val="32"/>
          <w:highlight w:val="none"/>
          <w:u w:val="none"/>
          <w:lang w:eastAsia="zh-CN"/>
        </w:rPr>
        <w:t>建设</w:t>
      </w:r>
      <w:r>
        <w:rPr>
          <w:rFonts w:hint="eastAsia" w:ascii="仿宋_GB2312" w:hAnsi="仿宋_GB2312" w:eastAsia="仿宋_GB2312" w:cs="仿宋_GB2312"/>
          <w:b w:val="0"/>
          <w:bCs w:val="0"/>
          <w:color w:val="auto"/>
          <w:sz w:val="32"/>
          <w:szCs w:val="32"/>
          <w:highlight w:val="none"/>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b/>
          <w:bCs/>
          <w:color w:val="auto"/>
          <w:sz w:val="32"/>
          <w:szCs w:val="32"/>
          <w:highlight w:val="none"/>
          <w:u w:val="none"/>
          <w:lang w:val="en-US" w:eastAsia="zh-CN"/>
        </w:rPr>
        <w:t>健全城乡商贸流通体系。</w:t>
      </w:r>
      <w:r>
        <w:rPr>
          <w:rFonts w:hint="eastAsia" w:eastAsia="仿宋_GB2312" w:cs="Times New Roman"/>
          <w:color w:val="auto"/>
          <w:kern w:val="2"/>
          <w:sz w:val="32"/>
          <w:szCs w:val="32"/>
          <w:highlight w:val="none"/>
          <w:u w:val="none"/>
          <w:lang w:val="en-US" w:eastAsia="zh-CN" w:bidi="ar-SA"/>
        </w:rPr>
        <w:t>加快</w:t>
      </w:r>
      <w:r>
        <w:rPr>
          <w:rFonts w:hint="eastAsia" w:ascii="仿宋_GB2312" w:hAnsi="仿宋_GB2312" w:eastAsia="仿宋_GB2312" w:cs="仿宋_GB2312"/>
          <w:b w:val="0"/>
          <w:bCs w:val="0"/>
          <w:color w:val="auto"/>
          <w:sz w:val="32"/>
          <w:szCs w:val="32"/>
          <w:highlight w:val="none"/>
          <w:u w:val="none"/>
          <w:lang w:val="en-US" w:eastAsia="zh-CN"/>
        </w:rPr>
        <w:t>补齐商业基础设施短板</w:t>
      </w:r>
      <w:r>
        <w:rPr>
          <w:rFonts w:hint="eastAsia" w:ascii="Times New Roman" w:hAnsi="Times New Roman" w:eastAsia="仿宋_GB2312" w:cs="Times New Roman"/>
          <w:b w:val="0"/>
          <w:bCs w:val="0"/>
          <w:color w:val="auto"/>
          <w:kern w:val="0"/>
          <w:sz w:val="32"/>
          <w:szCs w:val="32"/>
          <w:highlight w:val="none"/>
          <w:lang w:val="en-US" w:eastAsia="zh-CN" w:bidi="ar-SA"/>
        </w:rPr>
        <w:t>，</w:t>
      </w:r>
      <w:r>
        <w:rPr>
          <w:rFonts w:hint="eastAsia" w:ascii="仿宋_GB2312" w:hAnsi="仿宋_GB2312" w:eastAsia="仿宋_GB2312" w:cs="仿宋_GB2312"/>
          <w:b w:val="0"/>
          <w:bCs w:val="0"/>
          <w:color w:val="auto"/>
          <w:sz w:val="32"/>
          <w:szCs w:val="32"/>
          <w:highlight w:val="none"/>
          <w:u w:val="none"/>
          <w:lang w:val="en-US" w:eastAsia="zh-CN"/>
        </w:rPr>
        <w:t>对标建设现代商贸流通体系，推动</w:t>
      </w:r>
      <w:r>
        <w:rPr>
          <w:rFonts w:hint="eastAsia" w:ascii="Times New Roman" w:hAnsi="Times New Roman" w:eastAsia="仿宋_GB2312" w:cs="Times New Roman"/>
          <w:color w:val="auto"/>
          <w:kern w:val="2"/>
          <w:sz w:val="32"/>
          <w:szCs w:val="32"/>
          <w:highlight w:val="none"/>
          <w:u w:val="none"/>
          <w:lang w:val="en-US" w:eastAsia="zh-CN" w:bidi="ar-SA"/>
        </w:rPr>
        <w:t>农产品冷链物流服务体系</w:t>
      </w:r>
      <w:r>
        <w:rPr>
          <w:rFonts w:hint="eastAsia" w:eastAsia="仿宋_GB2312" w:cs="Times New Roman"/>
          <w:color w:val="auto"/>
          <w:kern w:val="2"/>
          <w:sz w:val="32"/>
          <w:szCs w:val="32"/>
          <w:highlight w:val="none"/>
          <w:u w:val="none"/>
          <w:lang w:val="en-US" w:eastAsia="zh-CN" w:bidi="ar-SA"/>
        </w:rPr>
        <w:t>建设</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eastAsia="仿宋_GB2312" w:cs="Times New Roman"/>
          <w:color w:val="auto"/>
          <w:kern w:val="2"/>
          <w:sz w:val="32"/>
          <w:szCs w:val="32"/>
          <w:highlight w:val="none"/>
          <w:u w:val="none"/>
          <w:lang w:val="en-US" w:eastAsia="zh-CN" w:bidi="ar-SA"/>
        </w:rPr>
        <w:t>健全再生资源回收体系。培育商贸流通企业，鼓励商贸流通主体上限纳统，支持零售连锁企业、综合性电商平台、知名消费品牌在汕设立子公司，拓展经营规模。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eastAsia="仿宋_GB2312" w:cs="Times New Roman"/>
          <w:color w:val="auto"/>
          <w:kern w:val="2"/>
          <w:sz w:val="32"/>
          <w:szCs w:val="32"/>
          <w:highlight w:val="none"/>
          <w:u w:val="none"/>
          <w:lang w:val="en-US" w:eastAsia="zh-CN" w:bidi="ar-SA"/>
        </w:rPr>
      </w:pPr>
      <w:r>
        <w:rPr>
          <w:rFonts w:hint="eastAsia" w:eastAsia="仿宋_GB2312" w:cs="Times New Roman"/>
          <w:b/>
          <w:bCs/>
          <w:color w:val="auto"/>
          <w:kern w:val="2"/>
          <w:sz w:val="32"/>
          <w:szCs w:val="32"/>
          <w:highlight w:val="none"/>
          <w:u w:val="none"/>
          <w:lang w:val="en-US" w:eastAsia="zh-CN" w:bidi="ar-SA"/>
        </w:rPr>
        <w:t>支持农村电商发展。</w:t>
      </w:r>
      <w:r>
        <w:rPr>
          <w:rFonts w:hint="eastAsia" w:ascii="Times New Roman" w:hAnsi="Times New Roman" w:eastAsia="仿宋_GB2312" w:cs="Times New Roman"/>
          <w:color w:val="auto"/>
          <w:kern w:val="2"/>
          <w:sz w:val="32"/>
          <w:szCs w:val="32"/>
          <w:highlight w:val="none"/>
          <w:u w:val="none"/>
          <w:lang w:val="en-US" w:eastAsia="zh-CN" w:bidi="ar-SA"/>
        </w:rPr>
        <w:t>依托县级电商公共服务中心、电商产业园区等资源，提供电商实训、品牌培育、宣传推广、代运营等“一站式”服务，举办直播带货、资源对接等电商促销活动，</w:t>
      </w:r>
      <w:r>
        <w:rPr>
          <w:rFonts w:hint="eastAsia" w:eastAsia="仿宋_GB2312" w:cs="Times New Roman"/>
          <w:color w:val="auto"/>
          <w:kern w:val="2"/>
          <w:sz w:val="32"/>
          <w:szCs w:val="32"/>
          <w:highlight w:val="none"/>
          <w:u w:val="none"/>
          <w:lang w:val="en-US" w:eastAsia="zh-CN" w:bidi="ar-SA"/>
        </w:rPr>
        <w:t>畅通工业品下乡和农产品进城双向流通渠道。</w:t>
      </w:r>
    </w:p>
    <w:p>
      <w:pPr>
        <w:pStyle w:val="2"/>
        <w:rPr>
          <w:rFonts w:hint="eastAsia"/>
          <w:lang w:val="en-US" w:eastAsia="zh-CN"/>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343"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vertAlign w:val="baseline"/>
                <w:lang w:val="en-US" w:eastAsia="zh-CN"/>
              </w:rPr>
            </w:pPr>
            <w:r>
              <w:rPr>
                <w:rFonts w:hint="eastAsia" w:ascii="楷体" w:hAnsi="楷体" w:eastAsia="楷体" w:cs="楷体"/>
                <w:sz w:val="30"/>
                <w:szCs w:val="30"/>
                <w:vertAlign w:val="baseline"/>
                <w:lang w:val="en-US" w:eastAsia="zh-CN"/>
              </w:rPr>
              <w:t>专栏  创新消费载体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8343"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Times New Roman" w:hAnsi="Times New Roman" w:eastAsia="仿宋_GB2312" w:cs="Times New Roman"/>
                <w:b/>
                <w:bCs/>
                <w:color w:val="auto"/>
                <w:sz w:val="32"/>
                <w:szCs w:val="32"/>
                <w:highlight w:val="none"/>
                <w:vertAlign w:val="baseline"/>
                <w:lang w:val="en-US" w:eastAsia="zh-CN"/>
              </w:rPr>
            </w:pPr>
            <w:r>
              <w:rPr>
                <w:rFonts w:hint="eastAsia" w:ascii="Times New Roman" w:hAnsi="Times New Roman" w:eastAsia="仿宋_GB2312" w:cs="Times New Roman"/>
                <w:b/>
                <w:bCs/>
                <w:sz w:val="32"/>
                <w:szCs w:val="32"/>
                <w:vertAlign w:val="baseline"/>
                <w:lang w:val="en-US" w:eastAsia="zh-CN"/>
              </w:rPr>
              <w:t>1.推动步行街（商圈）提质升级。</w:t>
            </w:r>
            <w:r>
              <w:rPr>
                <w:rFonts w:hint="eastAsia" w:ascii="Times New Roman" w:hAnsi="Times New Roman" w:eastAsia="仿宋_GB2312"/>
                <w:color w:val="auto"/>
                <w:sz w:val="32"/>
                <w:highlight w:val="none"/>
                <w:lang w:val="en-US" w:eastAsia="zh-CN"/>
              </w:rPr>
              <w:t>聚焦实体商业消费，</w:t>
            </w:r>
            <w:r>
              <w:rPr>
                <w:rFonts w:hint="eastAsia" w:ascii="Times New Roman" w:hAnsi="Times New Roman" w:eastAsia="仿宋_GB2312" w:cs="Times New Roman"/>
                <w:color w:val="auto"/>
                <w:sz w:val="32"/>
                <w:highlight w:val="none"/>
                <w:u w:val="none"/>
                <w:lang w:val="en-US" w:eastAsia="zh-CN"/>
              </w:rPr>
              <w:t>发挥</w:t>
            </w:r>
            <w:r>
              <w:rPr>
                <w:rFonts w:hint="eastAsia" w:eastAsia="仿宋_GB2312" w:cs="Times New Roman"/>
                <w:color w:val="auto"/>
                <w:sz w:val="32"/>
                <w:highlight w:val="none"/>
                <w:u w:val="none"/>
                <w:lang w:val="en-US" w:eastAsia="zh-CN"/>
              </w:rPr>
              <w:t>本地玩具、纺织、美食等特色消费热点，</w:t>
            </w:r>
            <w:r>
              <w:rPr>
                <w:rFonts w:hint="eastAsia" w:ascii="Times New Roman" w:hAnsi="Times New Roman" w:eastAsia="仿宋_GB2312" w:cs="Times New Roman"/>
                <w:color w:val="auto"/>
                <w:sz w:val="32"/>
                <w:highlight w:val="none"/>
                <w:u w:val="none"/>
                <w:lang w:val="en-US" w:eastAsia="zh-CN"/>
              </w:rPr>
              <w:t>打造功能各异、特色鲜明、优势互补的县域商圈体系。</w:t>
            </w:r>
            <w:r>
              <w:rPr>
                <w:rFonts w:hint="eastAsia" w:ascii="Times New Roman" w:hAnsi="Times New Roman" w:eastAsia="仿宋_GB2312"/>
                <w:color w:val="auto"/>
                <w:sz w:val="32"/>
                <w:highlight w:val="none"/>
                <w:lang w:val="en-US" w:eastAsia="zh-CN"/>
              </w:rPr>
              <w:t>打造小公园开埠区、龙眼南美食街、环金砂公园商圈、东厦100+龙眼北百花路商圈、广厦片区商圈、珠港新城商圈、南滨商圈、澄华商圈、潮阳纺织服装商圈、纺织品众创街区、内衣文化创意街区、潮英生活特色街区、高铁新街区13个片区级商圈;结合历史文化和旅游资源，打造小公园历史文化商圈、南澳旅游商圈两大特色商圈。</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仿宋_GB2312" w:cs="Times New Roman"/>
                <w:color w:val="auto"/>
                <w:sz w:val="32"/>
                <w:szCs w:val="32"/>
                <w:highlight w:val="none"/>
                <w:vertAlign w:val="baseline"/>
                <w:lang w:val="en-US" w:eastAsia="zh-CN"/>
              </w:rPr>
            </w:pPr>
            <w:r>
              <w:rPr>
                <w:rFonts w:hint="eastAsia" w:ascii="Times New Roman" w:hAnsi="Times New Roman" w:eastAsia="仿宋_GB2312" w:cs="Times New Roman"/>
                <w:b/>
                <w:bCs/>
                <w:color w:val="auto"/>
                <w:sz w:val="32"/>
                <w:szCs w:val="32"/>
                <w:highlight w:val="none"/>
                <w:vertAlign w:val="baseline"/>
                <w:lang w:val="en-US" w:eastAsia="zh-CN"/>
              </w:rPr>
              <w:t>2.培育特色消费集聚区。</w:t>
            </w:r>
            <w:r>
              <w:rPr>
                <w:rFonts w:hint="eastAsia" w:ascii="Times New Roman" w:hAnsi="Times New Roman" w:eastAsia="仿宋_GB2312" w:cs="Times New Roman"/>
                <w:color w:val="auto"/>
                <w:sz w:val="32"/>
                <w:szCs w:val="32"/>
                <w:highlight w:val="none"/>
                <w:vertAlign w:val="baseline"/>
                <w:lang w:val="en-US" w:eastAsia="zh-CN"/>
              </w:rPr>
              <w:t>全市范围内高标准建设1个业态融合、特色鲜明、成效良好的消费集聚区。</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b/>
                <w:bCs/>
                <w:color w:val="auto"/>
                <w:sz w:val="32"/>
                <w:szCs w:val="32"/>
                <w:highlight w:val="none"/>
                <w:vertAlign w:val="baseline"/>
                <w:lang w:val="en-US" w:eastAsia="zh-CN"/>
              </w:rPr>
              <w:t>3</w:t>
            </w:r>
            <w:r>
              <w:rPr>
                <w:rFonts w:hint="default" w:ascii="Times New Roman" w:hAnsi="Times New Roman" w:eastAsia="仿宋_GB2312" w:cs="Times New Roman"/>
                <w:b/>
                <w:bCs/>
                <w:color w:val="auto"/>
                <w:sz w:val="32"/>
                <w:szCs w:val="32"/>
                <w:highlight w:val="none"/>
                <w:vertAlign w:val="baseline"/>
                <w:lang w:val="en-US" w:eastAsia="zh-CN"/>
              </w:rPr>
              <w:t>.支持开设首店</w:t>
            </w:r>
            <w:r>
              <w:rPr>
                <w:rFonts w:hint="eastAsia" w:ascii="Times New Roman" w:hAnsi="Times New Roman" w:eastAsia="仿宋_GB2312" w:cs="Times New Roman"/>
                <w:b/>
                <w:bCs/>
                <w:color w:val="auto"/>
                <w:sz w:val="32"/>
                <w:szCs w:val="32"/>
                <w:highlight w:val="none"/>
                <w:vertAlign w:val="baseline"/>
                <w:lang w:val="en-US" w:eastAsia="zh-CN"/>
              </w:rPr>
              <w:t>。</w:t>
            </w:r>
            <w:r>
              <w:rPr>
                <w:rFonts w:hint="eastAsia" w:ascii="Times New Roman" w:hAnsi="Times New Roman" w:eastAsia="仿宋_GB2312" w:cs="Times New Roman"/>
                <w:color w:val="auto"/>
                <w:sz w:val="32"/>
                <w:szCs w:val="32"/>
                <w:highlight w:val="none"/>
                <w:vertAlign w:val="baseline"/>
                <w:lang w:val="en-US" w:eastAsia="zh-CN"/>
              </w:rPr>
              <w:t>鼓励国内外优质品牌在汕头开</w:t>
            </w:r>
            <w:r>
              <w:rPr>
                <w:rFonts w:hint="eastAsia" w:ascii="Times New Roman" w:hAnsi="Times New Roman" w:eastAsia="仿宋_GB2312" w:cs="Times New Roman"/>
                <w:sz w:val="32"/>
                <w:szCs w:val="32"/>
                <w:vertAlign w:val="baseline"/>
                <w:lang w:val="en-US" w:eastAsia="zh-CN"/>
              </w:rPr>
              <w:t>设广东首店或粤东首店，争取全市新增首店150家。</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b/>
                <w:bCs/>
                <w:sz w:val="32"/>
                <w:szCs w:val="32"/>
                <w:vertAlign w:val="baseline"/>
                <w:lang w:val="en-US" w:eastAsia="zh-CN"/>
              </w:rPr>
              <w:t>4.发展首发经济。</w:t>
            </w:r>
            <w:r>
              <w:rPr>
                <w:rFonts w:hint="eastAsia" w:ascii="Times New Roman" w:hAnsi="Times New Roman" w:eastAsia="仿宋_GB2312" w:cs="Times New Roman"/>
                <w:sz w:val="32"/>
                <w:szCs w:val="32"/>
                <w:vertAlign w:val="baseline"/>
                <w:lang w:val="en-US" w:eastAsia="zh-CN"/>
              </w:rPr>
              <w:t>支持省级特色步行街（商圈）与首店对接，引导品牌企业在重点展会开设首发专区、专场，扩大宣传效果。</w:t>
            </w:r>
          </w:p>
        </w:tc>
      </w:tr>
    </w:tbl>
    <w:p>
      <w:pPr>
        <w:pStyle w:val="2"/>
        <w:ind w:left="0" w:leftChars="0" w:firstLine="0" w:firstLineChars="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eastAsia" w:ascii="黑体" w:hAnsi="黑体" w:eastAsia="黑体" w:cs="黑体"/>
          <w:color w:val="auto"/>
          <w:sz w:val="36"/>
          <w:szCs w:val="36"/>
          <w:highlight w:val="none"/>
          <w:u w:val="none"/>
          <w:lang w:val="en-US" w:eastAsia="zh-CN"/>
        </w:rPr>
      </w:pPr>
      <w:bookmarkStart w:id="29" w:name="_Toc219775784"/>
      <w:r>
        <w:rPr>
          <w:rFonts w:hint="eastAsia" w:ascii="黑体" w:hAnsi="黑体" w:eastAsia="黑体" w:cs="黑体"/>
          <w:color w:val="auto"/>
          <w:sz w:val="36"/>
          <w:szCs w:val="36"/>
          <w:highlight w:val="none"/>
          <w:u w:val="none"/>
          <w:lang w:val="en-US" w:eastAsia="zh-CN"/>
        </w:rPr>
        <w:t>第四章  加快建设粤东贸易强市</w:t>
      </w:r>
      <w:bookmarkEnd w:id="2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坚持“贸”字当先，</w:t>
      </w:r>
      <w:r>
        <w:rPr>
          <w:rFonts w:hint="eastAsia" w:eastAsia="仿宋_GB2312" w:cs="Times New Roman"/>
          <w:color w:val="auto"/>
          <w:kern w:val="2"/>
          <w:sz w:val="32"/>
          <w:szCs w:val="32"/>
          <w:highlight w:val="none"/>
          <w:u w:val="none"/>
          <w:lang w:val="en-US" w:eastAsia="zh-CN" w:bidi="ar-SA"/>
        </w:rPr>
        <w:t>发挥商贸优势，</w:t>
      </w:r>
      <w:r>
        <w:rPr>
          <w:rFonts w:hint="eastAsia" w:ascii="Times New Roman" w:hAnsi="Times New Roman" w:eastAsia="仿宋_GB2312" w:cs="Times New Roman"/>
          <w:color w:val="auto"/>
          <w:kern w:val="2"/>
          <w:sz w:val="32"/>
          <w:szCs w:val="32"/>
          <w:highlight w:val="none"/>
          <w:u w:val="none"/>
          <w:lang w:val="en-US" w:eastAsia="zh-CN" w:bidi="ar-SA"/>
        </w:rPr>
        <w:t>聚力补短板、强弱项，统筹</w:t>
      </w:r>
      <w:r>
        <w:rPr>
          <w:rFonts w:hint="eastAsia" w:eastAsia="仿宋_GB2312" w:cs="Times New Roman"/>
          <w:color w:val="auto"/>
          <w:kern w:val="2"/>
          <w:sz w:val="32"/>
          <w:szCs w:val="32"/>
          <w:highlight w:val="none"/>
          <w:u w:val="none"/>
          <w:lang w:val="en-US" w:eastAsia="zh-CN" w:bidi="ar-SA"/>
        </w:rPr>
        <w:t>推动</w:t>
      </w:r>
      <w:r>
        <w:rPr>
          <w:rFonts w:hint="eastAsia" w:ascii="Times New Roman" w:hAnsi="Times New Roman" w:eastAsia="仿宋_GB2312" w:cs="Times New Roman"/>
          <w:color w:val="auto"/>
          <w:kern w:val="2"/>
          <w:sz w:val="32"/>
          <w:szCs w:val="32"/>
          <w:highlight w:val="none"/>
          <w:u w:val="none"/>
          <w:lang w:val="en-US" w:eastAsia="zh-CN" w:bidi="ar-SA"/>
        </w:rPr>
        <w:t>进口与出口、货物贸易与服务贸易、传统贸易与数字贸易协调发展。</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0" w:name="_Toc1116428686"/>
      <w:r>
        <w:rPr>
          <w:rFonts w:hint="eastAsia" w:ascii="楷体" w:hAnsi="楷体" w:eastAsia="楷体" w:cs="楷体"/>
          <w:b/>
          <w:bCs/>
          <w:color w:val="auto"/>
          <w:spacing w:val="0"/>
          <w:kern w:val="10"/>
          <w:sz w:val="32"/>
          <w:szCs w:val="32"/>
          <w:highlight w:val="none"/>
          <w:u w:val="none"/>
          <w:lang w:val="en-US" w:eastAsia="zh-CN" w:bidi="ar-SA"/>
        </w:rPr>
        <w:t>第一节  推动货物贸易稳量提质</w:t>
      </w:r>
      <w:bookmarkEnd w:id="3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引进培育高能级外贸主体。</w:t>
      </w:r>
      <w:r>
        <w:rPr>
          <w:rFonts w:hint="eastAsia" w:ascii="Times New Roman" w:hAnsi="Times New Roman" w:eastAsia="仿宋_GB2312" w:cs="Times New Roman"/>
          <w:color w:val="auto"/>
          <w:kern w:val="2"/>
          <w:sz w:val="32"/>
          <w:szCs w:val="32"/>
          <w:highlight w:val="none"/>
          <w:u w:val="none"/>
          <w:lang w:val="en-US" w:eastAsia="zh-CN" w:bidi="ar-SA"/>
        </w:rPr>
        <w:t>深入实施外贸实力效益工程，</w:t>
      </w:r>
      <w:r>
        <w:rPr>
          <w:rFonts w:hint="default" w:ascii="Times New Roman" w:hAnsi="Times New Roman" w:eastAsia="仿宋_GB2312" w:cs="Times New Roman"/>
          <w:color w:val="auto"/>
          <w:kern w:val="2"/>
          <w:sz w:val="32"/>
          <w:szCs w:val="32"/>
          <w:highlight w:val="none"/>
          <w:u w:val="none"/>
          <w:lang w:val="en-US" w:eastAsia="zh-CN" w:bidi="ar-SA"/>
        </w:rPr>
        <w:t>重点培育一批进出口规模大、发展潜力大、带动作用明显的总部型、龙头型和综合型外贸企业</w:t>
      </w:r>
      <w:r>
        <w:rPr>
          <w:rFonts w:hint="eastAsia" w:ascii="Times New Roman" w:hAnsi="Times New Roman" w:eastAsia="仿宋_GB2312" w:cs="Times New Roman"/>
          <w:color w:val="auto"/>
          <w:kern w:val="2"/>
          <w:sz w:val="32"/>
          <w:szCs w:val="32"/>
          <w:highlight w:val="none"/>
          <w:u w:val="none"/>
          <w:lang w:val="en-US" w:eastAsia="zh-CN" w:bidi="ar-SA"/>
        </w:rPr>
        <w:t>。积极推动省进出口集团在汕头设立子公司，补齐龙头外贸主体短板。</w:t>
      </w:r>
      <w:r>
        <w:rPr>
          <w:rFonts w:hint="eastAsia" w:ascii="Times New Roman" w:hAnsi="Times New Roman" w:eastAsia="仿宋_GB2312"/>
          <w:sz w:val="32"/>
          <w:szCs w:val="32"/>
        </w:rPr>
        <w:t>支持外贸龙头企业与知名品牌策划</w:t>
      </w:r>
      <w:r>
        <w:rPr>
          <w:rFonts w:ascii="Times New Roman" w:hAnsi="Times New Roman" w:eastAsia="仿宋_GB2312"/>
          <w:sz w:val="32"/>
          <w:szCs w:val="32"/>
        </w:rPr>
        <w:t>公司深度合作，以技术、质量、管理、服务水平等夯实提升品牌内涵，支持企业通过自主培育、境外收购等方式推进品牌建设。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服务企业开拓国际市场。</w:t>
      </w:r>
      <w:r>
        <w:rPr>
          <w:rFonts w:hint="eastAsia" w:ascii="Times New Roman" w:hAnsi="Times New Roman" w:eastAsia="仿宋_GB2312" w:cs="Times New Roman"/>
          <w:color w:val="auto"/>
          <w:kern w:val="2"/>
          <w:sz w:val="32"/>
          <w:szCs w:val="32"/>
          <w:highlight w:val="none"/>
          <w:u w:val="none"/>
          <w:lang w:val="en-US" w:eastAsia="zh-CN" w:bidi="ar-SA"/>
        </w:rPr>
        <w:t>稳住欧美日韩等传统市场，挖掘中东、拉美、非洲、中亚等新兴市场潜力。组织企业参加中国进出口商品交易会（广交会）、华东进出口商品交易会（华交会）、中国国际进口博览会（进博会）及“粤贸全球”等重点展会，促进国内外市场供需高效对接，推动汕货“出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做大进口增量。</w:t>
      </w:r>
      <w:r>
        <w:rPr>
          <w:rFonts w:hint="eastAsia" w:ascii="Times New Roman" w:hAnsi="Times New Roman" w:eastAsia="仿宋_GB2312" w:cs="Times New Roman"/>
          <w:color w:val="auto"/>
          <w:kern w:val="2"/>
          <w:sz w:val="32"/>
          <w:szCs w:val="32"/>
          <w:highlight w:val="none"/>
          <w:u w:val="none"/>
          <w:lang w:val="en-US" w:eastAsia="zh-CN" w:bidi="ar-SA"/>
        </w:rPr>
        <w:t>加大煤炭、化工、农产品等领域进口供应链企业的培育与引进力度，结合东盟等市场资源优势，支持企业扩大液化石油气、东盟特色农产品、矿产资源等大宗商品进口规模</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促进进口产品与国内市场需求精准匹配。增强进口集散功能，依托华能煤炭码头，做大煤炭进口规模，打造华南煤炭集散中心。组织企业参加进博会等展会，对接国际先进产品和技术，以进口提质促进消费与产业链升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b/>
          <w:bCs/>
          <w:color w:val="auto"/>
          <w:kern w:val="2"/>
          <w:sz w:val="32"/>
          <w:szCs w:val="32"/>
          <w:highlight w:val="none"/>
          <w:u w:val="none"/>
          <w:lang w:val="en-US" w:eastAsia="zh-CN" w:bidi="ar-SA"/>
        </w:rPr>
        <w:t>优化商品结构。</w:t>
      </w:r>
      <w:r>
        <w:rPr>
          <w:rFonts w:hint="default" w:ascii="Times New Roman" w:hAnsi="Times New Roman" w:eastAsia="仿宋_GB2312" w:cs="Times New Roman"/>
          <w:color w:val="auto"/>
          <w:kern w:val="2"/>
          <w:sz w:val="32"/>
          <w:szCs w:val="32"/>
          <w:highlight w:val="none"/>
          <w:u w:val="none"/>
          <w:lang w:val="en-US" w:eastAsia="zh-CN" w:bidi="ar-SA"/>
        </w:rPr>
        <w:t>深度运用人工智能、大数据等新质生产力，强化市场需求研判，引导企业聚焦高附加值、高技术含量产品开展国际化经营，加快培育具有国际竞争力的汕头特色出口品牌。依托玩具创意、纺织服装等优势产业集群，推动AI智能交互玩具、高端潮玩、功能性纺织制品等优质商品拓展海外市场，做大高端消费品出口规模。围绕全市产业升级需求，精准扩大先进制造设备、关键零部件、核心技术及重要原辅材料进口，着力补齐产业链供应链关键短板，强化产业配套支撑能力。</w:t>
      </w:r>
    </w:p>
    <w:p>
      <w:pPr>
        <w:pStyle w:val="2"/>
        <w:ind w:firstLine="643" w:firstLineChars="200"/>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做强出口产业集群。</w:t>
      </w:r>
      <w:r>
        <w:rPr>
          <w:rFonts w:hint="eastAsia" w:ascii="Times New Roman" w:hAnsi="Times New Roman" w:eastAsia="仿宋_GB2312" w:cs="Times New Roman"/>
          <w:color w:val="auto"/>
          <w:kern w:val="2"/>
          <w:sz w:val="32"/>
          <w:szCs w:val="32"/>
          <w:highlight w:val="none"/>
          <w:u w:val="none"/>
          <w:lang w:val="en-US" w:eastAsia="zh-CN" w:bidi="ar-SA"/>
        </w:rPr>
        <w:t>立足本地产业优势，推动纺织服装、玩具创意、化工新材料等特色产品拓展国际市场，培育一批竞争力突出的出口产业集群。充分发挥产业集群的规模优势与协同效应，支持人工智能等新技术新模式为传统产业蓄势赋能，促进产业集聚、品牌提升与价值链优化。</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1" w:name="_Toc1988572855"/>
      <w:bookmarkStart w:id="32" w:name="_Toc1104120114_WPSOffice_Level1"/>
      <w:r>
        <w:rPr>
          <w:rFonts w:hint="eastAsia" w:ascii="楷体" w:hAnsi="楷体" w:eastAsia="楷体" w:cs="楷体"/>
          <w:b/>
          <w:bCs/>
          <w:color w:val="auto"/>
          <w:spacing w:val="0"/>
          <w:kern w:val="10"/>
          <w:sz w:val="32"/>
          <w:szCs w:val="32"/>
          <w:highlight w:val="none"/>
          <w:u w:val="none"/>
          <w:lang w:val="en-US" w:eastAsia="zh-CN" w:bidi="ar-SA"/>
        </w:rPr>
        <w:t>第二节  培育外贸新动能</w:t>
      </w:r>
      <w:bookmarkEnd w:id="31"/>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打造粤东跨境电商发展极。</w:t>
      </w:r>
      <w:r>
        <w:rPr>
          <w:rFonts w:hint="eastAsia" w:ascii="Times New Roman" w:hAnsi="Times New Roman" w:eastAsia="仿宋_GB2312" w:cs="Times New Roman"/>
          <w:color w:val="auto"/>
          <w:kern w:val="2"/>
          <w:sz w:val="32"/>
          <w:szCs w:val="32"/>
          <w:highlight w:val="none"/>
          <w:u w:val="none"/>
          <w:lang w:val="en-US" w:eastAsia="zh-CN" w:bidi="ar-SA"/>
        </w:rPr>
        <w:t>争取参与跨境电商海关监管措施创新试点，加快完善“两平台六体系”建设。发展“跨境电商+产业带”模式，</w:t>
      </w:r>
      <w:r>
        <w:rPr>
          <w:rFonts w:hint="eastAsia" w:eastAsia="仿宋_GB2312" w:cs="Times New Roman"/>
          <w:color w:val="auto"/>
          <w:kern w:val="2"/>
          <w:sz w:val="32"/>
          <w:szCs w:val="32"/>
          <w:highlight w:val="none"/>
          <w:u w:val="none"/>
          <w:lang w:val="en-US" w:eastAsia="zh-CN" w:bidi="ar-SA"/>
        </w:rPr>
        <w:t>瞄准重点市场开展跨境电商及产业带资源对接活动，</w:t>
      </w:r>
      <w:r>
        <w:rPr>
          <w:rFonts w:hint="eastAsia" w:ascii="Times New Roman" w:hAnsi="Times New Roman" w:eastAsia="仿宋_GB2312" w:cs="Times New Roman"/>
          <w:color w:val="auto"/>
          <w:kern w:val="2"/>
          <w:sz w:val="32"/>
          <w:szCs w:val="32"/>
          <w:highlight w:val="none"/>
          <w:u w:val="none"/>
          <w:lang w:val="en-US" w:eastAsia="zh-CN" w:bidi="ar-SA"/>
        </w:rPr>
        <w:t>复制推广澄海区玩具创意产业带试点工作经验，以点带面实现跨境电商赋能全域产业带发展。支持企业在</w:t>
      </w:r>
      <w:r>
        <w:rPr>
          <w:rFonts w:hint="eastAsia" w:eastAsia="仿宋_GB2312" w:cs="Times New Roman"/>
          <w:color w:val="auto"/>
          <w:kern w:val="2"/>
          <w:sz w:val="32"/>
          <w:szCs w:val="32"/>
          <w:highlight w:val="none"/>
          <w:u w:val="none"/>
          <w:lang w:val="en-US" w:eastAsia="zh-CN" w:bidi="ar-SA"/>
        </w:rPr>
        <w:t>东盟及</w:t>
      </w:r>
      <w:r>
        <w:rPr>
          <w:rFonts w:hint="eastAsia" w:ascii="Times New Roman" w:hAnsi="Times New Roman" w:eastAsia="仿宋_GB2312" w:cs="Times New Roman"/>
          <w:color w:val="auto"/>
          <w:kern w:val="2"/>
          <w:sz w:val="32"/>
          <w:szCs w:val="32"/>
          <w:highlight w:val="none"/>
          <w:u w:val="none"/>
          <w:lang w:val="en-US" w:eastAsia="zh-CN" w:bidi="ar-SA"/>
        </w:rPr>
        <w:t>“一带一路”沿线国家、欧洲、中东等国际市场布局海外仓，增强全球供应链协同能力。大力发展“保税+跨境电商”业态，探索发展“保税仓＋直播”“体验店＋直播”等新模式，强化“前</w:t>
      </w:r>
      <w:r>
        <w:rPr>
          <w:rFonts w:hint="eastAsia" w:eastAsia="仿宋_GB2312" w:cs="Times New Roman"/>
          <w:color w:val="auto"/>
          <w:kern w:val="2"/>
          <w:sz w:val="32"/>
          <w:szCs w:val="32"/>
          <w:highlight w:val="none"/>
          <w:u w:val="none"/>
          <w:lang w:val="en-US" w:eastAsia="zh-CN" w:bidi="ar-SA"/>
        </w:rPr>
        <w:t>展</w:t>
      </w:r>
      <w:r>
        <w:rPr>
          <w:rFonts w:hint="eastAsia" w:ascii="Times New Roman" w:hAnsi="Times New Roman" w:eastAsia="仿宋_GB2312" w:cs="Times New Roman"/>
          <w:color w:val="auto"/>
          <w:kern w:val="2"/>
          <w:sz w:val="32"/>
          <w:szCs w:val="32"/>
          <w:highlight w:val="none"/>
          <w:u w:val="none"/>
          <w:lang w:val="en-US" w:eastAsia="zh-CN" w:bidi="ar-SA"/>
        </w:rPr>
        <w:t>后仓”模式推广。推动跨境电商规范发展，</w:t>
      </w:r>
      <w:r>
        <w:rPr>
          <w:rFonts w:hint="eastAsia" w:eastAsia="仿宋_GB2312" w:cs="Times New Roman"/>
          <w:color w:val="auto"/>
          <w:kern w:val="2"/>
          <w:sz w:val="32"/>
          <w:szCs w:val="32"/>
          <w:highlight w:val="none"/>
          <w:u w:val="none"/>
          <w:lang w:val="en-US" w:eastAsia="zh-CN" w:bidi="ar-SA"/>
        </w:rPr>
        <w:t>建设</w:t>
      </w:r>
      <w:r>
        <w:rPr>
          <w:rFonts w:hint="eastAsia" w:ascii="Times New Roman" w:hAnsi="Times New Roman" w:eastAsia="仿宋_GB2312" w:cs="Times New Roman"/>
          <w:color w:val="auto"/>
          <w:kern w:val="2"/>
          <w:sz w:val="32"/>
          <w:szCs w:val="32"/>
          <w:highlight w:val="none"/>
          <w:u w:val="none"/>
          <w:lang w:val="en-US" w:eastAsia="zh-CN" w:bidi="ar-SA"/>
        </w:rPr>
        <w:t>跨境电子商务公共服务平台</w:t>
      </w:r>
      <w:r>
        <w:rPr>
          <w:rFonts w:hint="eastAsia" w:eastAsia="仿宋_GB2312" w:cs="Times New Roman"/>
          <w:color w:val="auto"/>
          <w:kern w:val="2"/>
          <w:sz w:val="32"/>
          <w:szCs w:val="32"/>
          <w:highlight w:val="none"/>
          <w:u w:val="none"/>
          <w:lang w:val="en-US" w:eastAsia="zh-CN" w:bidi="ar-SA"/>
        </w:rPr>
        <w:t>（二期）</w:t>
      </w:r>
      <w:r>
        <w:rPr>
          <w:rFonts w:hint="eastAsia" w:ascii="Times New Roman" w:hAnsi="Times New Roman" w:eastAsia="仿宋_GB2312" w:cs="Times New Roman"/>
          <w:color w:val="auto"/>
          <w:kern w:val="2"/>
          <w:sz w:val="32"/>
          <w:szCs w:val="32"/>
          <w:highlight w:val="none"/>
          <w:u w:val="none"/>
          <w:lang w:val="en-US" w:eastAsia="zh-CN" w:bidi="ar-SA"/>
        </w:rPr>
        <w:t>，推动海关、外汇、税务等部门数据互联互通，推</w:t>
      </w:r>
      <w:r>
        <w:rPr>
          <w:rFonts w:hint="default" w:ascii="Times New Roman" w:hAnsi="Times New Roman" w:eastAsia="仿宋_GB2312" w:cs="Times New Roman"/>
          <w:color w:val="auto"/>
          <w:kern w:val="2"/>
          <w:sz w:val="32"/>
          <w:szCs w:val="32"/>
          <w:highlight w:val="none"/>
          <w:u w:val="none"/>
          <w:lang w:val="en-US" w:eastAsia="zh-CN" w:bidi="ar-SA"/>
        </w:rPr>
        <w:t>进</w:t>
      </w:r>
      <w:r>
        <w:rPr>
          <w:rFonts w:hint="eastAsia" w:eastAsia="仿宋_GB2312" w:cs="Times New Roman"/>
          <w:color w:val="auto"/>
          <w:kern w:val="2"/>
          <w:sz w:val="32"/>
          <w:szCs w:val="32"/>
          <w:highlight w:val="none"/>
          <w:u w:val="none"/>
          <w:lang w:val="en-US" w:eastAsia="zh-CN" w:bidi="ar-SA"/>
        </w:rPr>
        <w:t>跨境电商阳光化试点工作</w:t>
      </w:r>
      <w:r>
        <w:rPr>
          <w:rFonts w:hint="eastAsia" w:ascii="Times New Roman" w:hAnsi="Times New Roman" w:eastAsia="仿宋_GB2312" w:cs="Times New Roman"/>
          <w:color w:val="auto"/>
          <w:kern w:val="2"/>
          <w:sz w:val="32"/>
          <w:szCs w:val="32"/>
          <w:highlight w:val="none"/>
          <w:u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做优外贸新业态。</w:t>
      </w:r>
      <w:r>
        <w:rPr>
          <w:rFonts w:hint="eastAsia" w:ascii="Times New Roman" w:hAnsi="Times New Roman" w:eastAsia="仿宋_GB2312" w:cs="Times New Roman"/>
          <w:color w:val="auto"/>
          <w:kern w:val="2"/>
          <w:sz w:val="32"/>
          <w:szCs w:val="32"/>
          <w:highlight w:val="none"/>
          <w:u w:val="none"/>
          <w:lang w:val="en-US" w:eastAsia="zh-CN" w:bidi="ar-SA"/>
        </w:rPr>
        <w:t>扩大</w:t>
      </w:r>
      <w:r>
        <w:rPr>
          <w:rFonts w:hint="default" w:ascii="Times New Roman" w:hAnsi="Times New Roman" w:eastAsia="仿宋_GB2312" w:cs="Times New Roman"/>
          <w:color w:val="auto"/>
          <w:kern w:val="2"/>
          <w:sz w:val="32"/>
          <w:szCs w:val="32"/>
          <w:highlight w:val="none"/>
          <w:u w:val="none"/>
          <w:lang w:val="en-US" w:eastAsia="zh-CN" w:bidi="ar-SA"/>
        </w:rPr>
        <w:t>市场采购贸易规模，</w:t>
      </w:r>
      <w:r>
        <w:rPr>
          <w:rFonts w:hint="eastAsia" w:ascii="Times New Roman" w:hAnsi="Times New Roman" w:eastAsia="仿宋_GB2312" w:cs="Times New Roman"/>
          <w:color w:val="auto"/>
          <w:kern w:val="2"/>
          <w:sz w:val="32"/>
          <w:szCs w:val="32"/>
          <w:highlight w:val="none"/>
          <w:u w:val="none"/>
          <w:lang w:val="en-US" w:eastAsia="zh-CN" w:bidi="ar-SA"/>
        </w:rPr>
        <w:t>推动宝奥城市场采购集聚区拓展至国际纺织城。打造“跨境电商+外综服”模式，整合跨境电商平台与外贸综合服务企业资源，为产业带企业提供通关、外汇、物流、退税等优质的“一站式”综合服务。发展</w:t>
      </w:r>
      <w:r>
        <w:rPr>
          <w:rFonts w:hint="eastAsia" w:ascii="Times New Roman" w:hAnsi="Times New Roman" w:eastAsia="仿宋_GB2312" w:cs="Times New Roman"/>
          <w:color w:val="auto"/>
          <w:kern w:val="2"/>
          <w:sz w:val="32"/>
          <w:szCs w:val="32"/>
          <w:highlight w:val="yellow"/>
          <w:u w:val="none"/>
          <w:lang w:val="en-US" w:eastAsia="zh-CN" w:bidi="ar-SA"/>
        </w:rPr>
        <w:t>加工贸易</w:t>
      </w:r>
      <w:r>
        <w:rPr>
          <w:rFonts w:hint="eastAsia" w:ascii="Times New Roman" w:hAnsi="Times New Roman" w:eastAsia="仿宋_GB2312" w:cs="Times New Roman"/>
          <w:color w:val="auto"/>
          <w:kern w:val="2"/>
          <w:sz w:val="32"/>
          <w:szCs w:val="32"/>
          <w:highlight w:val="none"/>
          <w:u w:val="none"/>
          <w:lang w:val="en-US" w:eastAsia="zh-CN" w:bidi="ar-SA"/>
        </w:rPr>
        <w:t>，强化基础设施、产业配套、人才支持等政策支持。培育中间品贸易，全面梳理中间品行业，培育一批优质中间品骨干企业，完善中间品供应链体系。</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3" w:name="_Toc2098251297"/>
      <w:r>
        <w:rPr>
          <w:rFonts w:hint="eastAsia" w:ascii="楷体" w:hAnsi="楷体" w:eastAsia="楷体" w:cs="楷体"/>
          <w:b/>
          <w:bCs/>
          <w:color w:val="auto"/>
          <w:spacing w:val="0"/>
          <w:kern w:val="10"/>
          <w:sz w:val="32"/>
          <w:szCs w:val="32"/>
          <w:highlight w:val="none"/>
          <w:u w:val="none"/>
          <w:lang w:val="en-US" w:eastAsia="zh-CN" w:bidi="ar-SA"/>
        </w:rPr>
        <w:t>第三节  打造高水平商贸平台</w:t>
      </w:r>
      <w:bookmarkEnd w:id="33"/>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打造新兴会展名城。</w:t>
      </w:r>
      <w:r>
        <w:rPr>
          <w:rFonts w:hint="eastAsia" w:ascii="Times New Roman" w:hAnsi="Times New Roman" w:eastAsia="仿宋_GB2312" w:cs="Times New Roman"/>
          <w:color w:val="auto"/>
          <w:kern w:val="2"/>
          <w:sz w:val="32"/>
          <w:szCs w:val="32"/>
          <w:highlight w:val="none"/>
          <w:u w:val="none"/>
          <w:lang w:val="en-US" w:eastAsia="zh-CN" w:bidi="ar-SA"/>
        </w:rPr>
        <w:t>推动汕头会展业专业化、品牌化、市场化和国际化发展。重点围绕“三新两特一大”产业格局，打造一批具有行业影响力与区域特色的专业展会。做大做强“潮汕国际纺织服装博览会”“汕头·澄海国际玩具礼品博览会”两大核心品牌，加快培育潮汕菜大会、跨境电商展、</w:t>
      </w:r>
      <w:r>
        <w:rPr>
          <w:rFonts w:hint="default" w:ascii="Times New Roman" w:hAnsi="Times New Roman" w:eastAsia="仿宋_GB2312" w:cs="Times New Roman"/>
          <w:color w:val="auto"/>
          <w:kern w:val="2"/>
          <w:sz w:val="32"/>
          <w:szCs w:val="32"/>
          <w:highlight w:val="none"/>
          <w:u w:val="none"/>
          <w:lang w:val="en-US" w:eastAsia="zh-CN" w:bidi="ar-SA"/>
        </w:rPr>
        <w:t>潮汕特色文化展</w:t>
      </w:r>
      <w:r>
        <w:rPr>
          <w:rFonts w:hint="eastAsia" w:ascii="Times New Roman" w:hAnsi="Times New Roman" w:eastAsia="仿宋_GB2312" w:cs="Times New Roman"/>
          <w:color w:val="auto"/>
          <w:kern w:val="2"/>
          <w:sz w:val="32"/>
          <w:szCs w:val="32"/>
          <w:highlight w:val="none"/>
          <w:u w:val="none"/>
          <w:lang w:val="en-US" w:eastAsia="zh-CN" w:bidi="ar-SA"/>
        </w:rPr>
        <w:t>等特色展会，构建特色展会矩阵。扩大会展经济效益，推进“会展+消费”“会展+招商”“会展+文旅”等模式，提升展会综合吸引力。探索开发线上虚拟展厅与线下实体展会联动模式，运用</w:t>
      </w:r>
      <w:r>
        <w:rPr>
          <w:rFonts w:hint="default" w:ascii="Times New Roman" w:hAnsi="Times New Roman" w:eastAsia="仿宋_GB2312" w:cs="Times New Roman"/>
          <w:color w:val="auto"/>
          <w:kern w:val="2"/>
          <w:sz w:val="32"/>
          <w:szCs w:val="32"/>
          <w:highlight w:val="none"/>
          <w:u w:val="none"/>
          <w:lang w:val="en-US" w:eastAsia="zh-CN" w:bidi="ar-SA"/>
        </w:rPr>
        <w:t>VR/AR</w:t>
      </w:r>
      <w:r>
        <w:rPr>
          <w:rFonts w:hint="eastAsia" w:ascii="Times New Roman" w:hAnsi="Times New Roman" w:eastAsia="仿宋_GB2312" w:cs="Times New Roman"/>
          <w:color w:val="auto"/>
          <w:kern w:val="2"/>
          <w:sz w:val="32"/>
          <w:szCs w:val="32"/>
          <w:highlight w:val="none"/>
          <w:u w:val="none"/>
          <w:lang w:val="en-US" w:eastAsia="zh-CN" w:bidi="ar-SA"/>
        </w:rPr>
        <w:t>、大数据等现代信息</w:t>
      </w:r>
      <w:r>
        <w:rPr>
          <w:rFonts w:hint="default" w:ascii="Times New Roman" w:hAnsi="Times New Roman" w:eastAsia="仿宋_GB2312" w:cs="Times New Roman"/>
          <w:color w:val="auto"/>
          <w:kern w:val="2"/>
          <w:sz w:val="32"/>
          <w:szCs w:val="32"/>
          <w:highlight w:val="none"/>
          <w:u w:val="none"/>
          <w:lang w:val="en-US" w:eastAsia="zh-CN" w:bidi="ar-SA"/>
        </w:rPr>
        <w:t>技术实现展会360°</w:t>
      </w:r>
      <w:r>
        <w:rPr>
          <w:rFonts w:hint="eastAsia" w:ascii="Times New Roman" w:hAnsi="Times New Roman" w:eastAsia="仿宋_GB2312" w:cs="Times New Roman"/>
          <w:color w:val="auto"/>
          <w:kern w:val="2"/>
          <w:sz w:val="32"/>
          <w:szCs w:val="32"/>
          <w:highlight w:val="none"/>
          <w:u w:val="none"/>
          <w:lang w:val="en-US" w:eastAsia="zh-CN" w:bidi="ar-SA"/>
        </w:rPr>
        <w:t>全景直播、智能匹配供需对接及跨境云洽谈等功能。培育一批本土会展龙头企业，积极引进国内外知名品牌展会、会展机构及其上下游配套企业。制订会展业发展扶持政策实施细则，健全完善会展业服务保障和评估机制，促进会展业规范发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做强“保税+”业态。</w:t>
      </w:r>
      <w:r>
        <w:rPr>
          <w:rFonts w:hint="eastAsia" w:ascii="Times New Roman" w:hAnsi="Times New Roman" w:eastAsia="仿宋_GB2312" w:cs="Times New Roman"/>
          <w:color w:val="auto"/>
          <w:kern w:val="2"/>
          <w:sz w:val="32"/>
          <w:szCs w:val="32"/>
          <w:highlight w:val="none"/>
          <w:u w:val="none"/>
          <w:lang w:val="en-US" w:eastAsia="zh-CN" w:bidi="ar-SA"/>
        </w:rPr>
        <w:t>推动汕头综合保税区跨境贸易集聚发展，支持</w:t>
      </w:r>
      <w:r>
        <w:rPr>
          <w:rFonts w:hint="default" w:ascii="Times New Roman" w:hAnsi="Times New Roman" w:eastAsia="仿宋_GB2312" w:cs="Times New Roman"/>
          <w:color w:val="auto"/>
          <w:kern w:val="2"/>
          <w:sz w:val="32"/>
          <w:szCs w:val="32"/>
          <w:highlight w:val="none"/>
          <w:u w:val="none"/>
          <w:lang w:val="en-US" w:eastAsia="zh-CN" w:bidi="ar-SA"/>
        </w:rPr>
        <w:t>综合保税区</w:t>
      </w:r>
      <w:r>
        <w:rPr>
          <w:rFonts w:hint="eastAsia" w:ascii="Times New Roman" w:hAnsi="Times New Roman" w:eastAsia="仿宋_GB2312" w:cs="Times New Roman"/>
          <w:color w:val="auto"/>
          <w:kern w:val="2"/>
          <w:sz w:val="32"/>
          <w:szCs w:val="32"/>
          <w:highlight w:val="none"/>
          <w:u w:val="none"/>
          <w:lang w:val="en-US" w:eastAsia="zh-CN" w:bidi="ar-SA"/>
        </w:rPr>
        <w:t>大力</w:t>
      </w:r>
      <w:r>
        <w:rPr>
          <w:rFonts w:hint="default" w:ascii="Times New Roman" w:hAnsi="Times New Roman" w:eastAsia="仿宋_GB2312" w:cs="Times New Roman"/>
          <w:color w:val="auto"/>
          <w:kern w:val="2"/>
          <w:sz w:val="32"/>
          <w:szCs w:val="32"/>
          <w:highlight w:val="none"/>
          <w:u w:val="none"/>
          <w:lang w:val="en-US" w:eastAsia="zh-CN" w:bidi="ar-SA"/>
        </w:rPr>
        <w:t>发展国际中转、配送、采购、转口贸易、出口加工等业务，</w:t>
      </w:r>
      <w:r>
        <w:rPr>
          <w:rFonts w:hint="eastAsia" w:ascii="Times New Roman" w:hAnsi="Times New Roman" w:eastAsia="仿宋_GB2312" w:cs="Times New Roman"/>
          <w:color w:val="auto"/>
          <w:kern w:val="2"/>
          <w:sz w:val="32"/>
          <w:szCs w:val="32"/>
          <w:highlight w:val="none"/>
          <w:u w:val="none"/>
          <w:lang w:val="en-US" w:eastAsia="zh-CN" w:bidi="ar-SA"/>
        </w:rPr>
        <w:t>拓展保税维修业务，打造保税维修产业集聚区。加大力度发展</w:t>
      </w:r>
      <w:r>
        <w:rPr>
          <w:rFonts w:hint="default" w:ascii="Times New Roman" w:hAnsi="Times New Roman" w:eastAsia="仿宋_GB2312" w:cs="Times New Roman"/>
          <w:color w:val="auto"/>
          <w:kern w:val="2"/>
          <w:sz w:val="32"/>
          <w:szCs w:val="32"/>
          <w:highlight w:val="none"/>
          <w:u w:val="none"/>
          <w:lang w:val="en-US" w:eastAsia="zh-CN" w:bidi="ar-SA"/>
        </w:rPr>
        <w:t>保税加工、保税物流、保税研发、</w:t>
      </w:r>
      <w:r>
        <w:rPr>
          <w:rFonts w:hint="eastAsia" w:ascii="Times New Roman" w:hAnsi="Times New Roman" w:eastAsia="仿宋_GB2312" w:cs="Times New Roman"/>
          <w:color w:val="auto"/>
          <w:kern w:val="2"/>
          <w:sz w:val="32"/>
          <w:szCs w:val="32"/>
          <w:highlight w:val="none"/>
          <w:u w:val="none"/>
          <w:lang w:val="en-US" w:eastAsia="zh-CN" w:bidi="ar-SA"/>
        </w:rPr>
        <w:t>保税油加注、</w:t>
      </w:r>
      <w:r>
        <w:rPr>
          <w:rFonts w:hint="default" w:ascii="Times New Roman" w:hAnsi="Times New Roman" w:eastAsia="仿宋_GB2312" w:cs="Times New Roman"/>
          <w:color w:val="auto"/>
          <w:kern w:val="2"/>
          <w:sz w:val="32"/>
          <w:szCs w:val="32"/>
          <w:highlight w:val="none"/>
          <w:u w:val="none"/>
          <w:lang w:val="en-US" w:eastAsia="zh-CN" w:bidi="ar-SA"/>
        </w:rPr>
        <w:t>港口服务等</w:t>
      </w:r>
      <w:r>
        <w:rPr>
          <w:rFonts w:hint="eastAsia" w:ascii="Times New Roman" w:hAnsi="Times New Roman" w:eastAsia="仿宋_GB2312" w:cs="Times New Roman"/>
          <w:color w:val="auto"/>
          <w:kern w:val="2"/>
          <w:sz w:val="32"/>
          <w:szCs w:val="32"/>
          <w:highlight w:val="none"/>
          <w:u w:val="none"/>
          <w:lang w:val="en-US" w:eastAsia="zh-CN" w:bidi="ar-SA"/>
        </w:rPr>
        <w:t>业务，做强综合保税区平台。</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b/>
          <w:bCs/>
          <w:sz w:val="32"/>
          <w:szCs w:val="32"/>
          <w:vertAlign w:val="baseline"/>
          <w:lang w:val="en-US" w:eastAsia="zh-CN"/>
        </w:rPr>
        <w:t>推动外贸转型升级基地扩容提质。</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大健康</w:t>
      </w:r>
      <w:r>
        <w:rPr>
          <w:rFonts w:hint="eastAsia" w:ascii="仿宋_GB2312" w:hAnsi="仿宋_GB2312" w:eastAsia="仿宋_GB2312" w:cs="仿宋_GB2312"/>
          <w:sz w:val="32"/>
          <w:szCs w:val="32"/>
          <w:lang w:eastAsia="zh-CN"/>
        </w:rPr>
        <w:t>、日用品（酒店）为重点</w:t>
      </w:r>
      <w:r>
        <w:rPr>
          <w:rFonts w:hint="eastAsia" w:ascii="仿宋_GB2312" w:hAnsi="仿宋_GB2312" w:eastAsia="仿宋_GB2312" w:cs="仿宋_GB2312"/>
          <w:sz w:val="32"/>
          <w:szCs w:val="32"/>
        </w:rPr>
        <w:t>领域，积极</w:t>
      </w:r>
      <w:r>
        <w:rPr>
          <w:rFonts w:hint="eastAsia" w:ascii="仿宋_GB2312" w:hAnsi="仿宋_GB2312" w:eastAsia="仿宋_GB2312" w:cs="仿宋_GB2312"/>
          <w:sz w:val="32"/>
          <w:szCs w:val="32"/>
          <w:lang w:eastAsia="zh-CN"/>
        </w:rPr>
        <w:t>培育</w:t>
      </w:r>
      <w:r>
        <w:rPr>
          <w:rFonts w:hint="eastAsia" w:ascii="仿宋_GB2312" w:hAnsi="仿宋_GB2312" w:eastAsia="仿宋_GB2312" w:cs="仿宋_GB2312"/>
          <w:sz w:val="32"/>
          <w:szCs w:val="32"/>
        </w:rPr>
        <w:t>新的外贸转型升级基地，</w:t>
      </w:r>
      <w:r>
        <w:rPr>
          <w:rFonts w:hint="eastAsia" w:ascii="仿宋_GB2312" w:hAnsi="仿宋_GB2312" w:eastAsia="仿宋_GB2312" w:cs="仿宋_GB2312"/>
          <w:sz w:val="32"/>
          <w:szCs w:val="32"/>
          <w:lang w:eastAsia="zh-CN"/>
        </w:rPr>
        <w:t>依托现有产业基础及相关商协会，加快推动产业链上下游协同发展，</w:t>
      </w:r>
      <w:r>
        <w:rPr>
          <w:rFonts w:hint="eastAsia" w:ascii="仿宋_GB2312" w:hAnsi="仿宋_GB2312" w:eastAsia="仿宋_GB2312" w:cs="仿宋_GB2312"/>
          <w:sz w:val="32"/>
          <w:szCs w:val="32"/>
        </w:rPr>
        <w:t>着力打造产业优势突出、贸易体系健全、区域特色鲜明的高质量基地。落实“政府+基地工作站”体系，推动实现一个基地对应一个工作站。</w:t>
      </w:r>
      <w:r>
        <w:rPr>
          <w:rFonts w:hint="eastAsia" w:ascii="Times New Roman" w:hAnsi="Times New Roman" w:eastAsia="仿宋_GB2312" w:cs="Times New Roman"/>
          <w:b w:val="0"/>
          <w:bCs w:val="0"/>
          <w:sz w:val="32"/>
          <w:szCs w:val="32"/>
          <w:vertAlign w:val="baseline"/>
          <w:lang w:val="en-US" w:eastAsia="zh-CN"/>
        </w:rPr>
        <w:t>培育宣传区域品牌，</w:t>
      </w:r>
      <w:r>
        <w:rPr>
          <w:rFonts w:hint="eastAsia" w:ascii="仿宋_GB2312" w:hAnsi="仿宋_GB2312" w:eastAsia="仿宋_GB2312" w:cs="仿宋_GB2312"/>
          <w:sz w:val="32"/>
          <w:szCs w:val="32"/>
        </w:rPr>
        <w:t>引导</w:t>
      </w:r>
      <w:r>
        <w:rPr>
          <w:rFonts w:hint="eastAsia" w:ascii="仿宋_GB2312" w:hAnsi="仿宋_GB2312" w:eastAsia="仿宋_GB2312" w:cs="仿宋_GB2312"/>
          <w:sz w:val="32"/>
          <w:szCs w:val="32"/>
          <w:lang w:eastAsia="zh-CN"/>
        </w:rPr>
        <w:t>现有</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个</w:t>
      </w:r>
      <w:r>
        <w:rPr>
          <w:rFonts w:hint="eastAsia" w:ascii="仿宋_GB2312" w:hAnsi="仿宋_GB2312" w:eastAsia="仿宋_GB2312" w:cs="仿宋_GB2312"/>
          <w:sz w:val="32"/>
          <w:szCs w:val="32"/>
        </w:rPr>
        <w:t>基地积极培育</w:t>
      </w:r>
      <w:r>
        <w:rPr>
          <w:rFonts w:hint="eastAsia" w:ascii="仿宋_GB2312" w:hAnsi="仿宋_GB2312" w:eastAsia="仿宋_GB2312" w:cs="仿宋_GB2312"/>
          <w:sz w:val="32"/>
          <w:szCs w:val="32"/>
          <w:lang w:eastAsia="zh-CN"/>
        </w:rPr>
        <w:t>具有</w:t>
      </w:r>
      <w:r>
        <w:rPr>
          <w:rFonts w:hint="eastAsia" w:ascii="仿宋_GB2312" w:hAnsi="仿宋_GB2312" w:eastAsia="仿宋_GB2312" w:cs="仿宋_GB2312"/>
          <w:sz w:val="32"/>
          <w:szCs w:val="32"/>
        </w:rPr>
        <w:t>较高辨识度</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区域品牌。</w:t>
      </w:r>
      <w:r>
        <w:rPr>
          <w:rFonts w:hint="eastAsia" w:ascii="Times New Roman" w:hAnsi="Times New Roman" w:eastAsia="仿宋_GB2312" w:cs="Times New Roman"/>
          <w:b w:val="0"/>
          <w:bCs w:val="0"/>
          <w:sz w:val="32"/>
          <w:szCs w:val="32"/>
          <w:vertAlign w:val="baseline"/>
          <w:lang w:val="en-US" w:eastAsia="zh-CN"/>
        </w:rPr>
        <w:t>推动企业抱团参展，</w:t>
      </w:r>
      <w:r>
        <w:rPr>
          <w:rFonts w:hint="eastAsia" w:ascii="仿宋_GB2312" w:hAnsi="仿宋_GB2312" w:eastAsia="仿宋_GB2312" w:cs="仿宋_GB2312"/>
          <w:sz w:val="32"/>
          <w:szCs w:val="32"/>
        </w:rPr>
        <w:t>每年组织</w:t>
      </w:r>
      <w:r>
        <w:rPr>
          <w:rFonts w:hint="eastAsia" w:ascii="仿宋_GB2312" w:hAnsi="仿宋_GB2312" w:eastAsia="仿宋_GB2312" w:cs="仿宋_GB2312"/>
          <w:sz w:val="32"/>
          <w:szCs w:val="32"/>
          <w:lang w:eastAsia="zh-CN"/>
        </w:rPr>
        <w:t>玩具、纺织服装等重要</w:t>
      </w:r>
      <w:r>
        <w:rPr>
          <w:rFonts w:hint="eastAsia" w:ascii="仿宋_GB2312" w:hAnsi="仿宋_GB2312" w:eastAsia="仿宋_GB2312" w:cs="仿宋_GB2312"/>
          <w:sz w:val="32"/>
          <w:szCs w:val="32"/>
        </w:rPr>
        <w:t>基地企业抱团参加重点展会</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场以上，持续扩大对基地企业的服务覆盖面。</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rPr>
        <w:t>打造外贸综合服务平台。</w:t>
      </w:r>
      <w:r>
        <w:rPr>
          <w:rFonts w:ascii="Times New Roman" w:hAnsi="Times New Roman" w:eastAsia="仿宋_GB2312"/>
          <w:sz w:val="32"/>
          <w:szCs w:val="32"/>
        </w:rPr>
        <w:t>培育一批外贸综合服务示范企业和成长型企业，支持外贸综合服务企业建设综合服务信息平台。探索符合外贸综合服务企业特点的容错机制、监管模式和政企联合风险防控机制</w:t>
      </w:r>
      <w:r>
        <w:rPr>
          <w:rFonts w:hint="eastAsia" w:ascii="Times New Roman" w:hAnsi="Times New Roman" w:eastAsia="仿宋_GB2312"/>
          <w:sz w:val="32"/>
          <w:szCs w:val="32"/>
        </w:rPr>
        <w:t>。支持汕头</w:t>
      </w:r>
      <w:r>
        <w:rPr>
          <w:rFonts w:ascii="Times New Roman" w:hAnsi="Times New Roman" w:eastAsia="仿宋_GB2312"/>
          <w:sz w:val="32"/>
          <w:szCs w:val="32"/>
        </w:rPr>
        <w:t>外贸综合服务</w:t>
      </w:r>
      <w:r>
        <w:rPr>
          <w:rFonts w:hint="eastAsia" w:ascii="Times New Roman" w:hAnsi="Times New Roman" w:eastAsia="仿宋_GB2312"/>
          <w:sz w:val="32"/>
          <w:szCs w:val="32"/>
        </w:rPr>
        <w:t>企业降低一站式中小企业服务费用，给予</w:t>
      </w:r>
      <w:r>
        <w:rPr>
          <w:rFonts w:ascii="Times New Roman" w:hAnsi="Times New Roman" w:eastAsia="仿宋_GB2312"/>
          <w:sz w:val="32"/>
          <w:szCs w:val="32"/>
        </w:rPr>
        <w:t>中小企业</w:t>
      </w:r>
      <w:r>
        <w:rPr>
          <w:rFonts w:hint="eastAsia" w:ascii="Times New Roman" w:hAnsi="Times New Roman" w:eastAsia="仿宋_GB2312"/>
          <w:sz w:val="32"/>
          <w:szCs w:val="32"/>
        </w:rPr>
        <w:t>供应链融资贴息，增强</w:t>
      </w:r>
      <w:r>
        <w:rPr>
          <w:rFonts w:ascii="Times New Roman" w:hAnsi="Times New Roman" w:eastAsia="仿宋_GB2312"/>
          <w:sz w:val="32"/>
          <w:szCs w:val="32"/>
        </w:rPr>
        <w:t>外贸中小企业</w:t>
      </w:r>
      <w:r>
        <w:rPr>
          <w:rFonts w:hint="eastAsia" w:ascii="Times New Roman" w:hAnsi="Times New Roman" w:eastAsia="仿宋_GB2312"/>
          <w:sz w:val="32"/>
        </w:rPr>
        <w:t>税务备案</w:t>
      </w:r>
      <w:r>
        <w:rPr>
          <w:rFonts w:hint="eastAsia" w:ascii="Times New Roman" w:hAnsi="Times New Roman" w:eastAsia="仿宋_GB2312"/>
          <w:sz w:val="32"/>
          <w:szCs w:val="32"/>
        </w:rPr>
        <w:t>意愿，推动外贸数据回归汕头。</w:t>
      </w:r>
    </w:p>
    <w:tbl>
      <w:tblPr>
        <w:tblStyle w:val="12"/>
        <w:tblpPr w:leftFromText="180" w:rightFromText="180" w:vertAnchor="text" w:horzAnchor="page" w:tblpX="1995" w:tblpY="8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vertAlign w:val="baseline"/>
                <w:lang w:val="en-US" w:eastAsia="zh-CN"/>
              </w:rPr>
            </w:pPr>
            <w:r>
              <w:rPr>
                <w:rFonts w:hint="eastAsia" w:ascii="楷体" w:hAnsi="楷体" w:eastAsia="楷体" w:cs="楷体"/>
                <w:sz w:val="30"/>
                <w:szCs w:val="30"/>
                <w:vertAlign w:val="baseline"/>
                <w:lang w:val="en-US" w:eastAsia="zh-CN"/>
              </w:rPr>
              <w:t>专栏  重点展会项目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sz w:val="32"/>
                <w:szCs w:val="32"/>
                <w:vertAlign w:val="baseline"/>
                <w:lang w:val="en-US" w:eastAsia="zh-CN"/>
              </w:rPr>
              <w:t>1.专业特色展会。</w:t>
            </w:r>
            <w:r>
              <w:rPr>
                <w:rFonts w:hint="eastAsia" w:ascii="Times New Roman" w:hAnsi="Times New Roman" w:eastAsia="仿宋_GB2312" w:cs="Times New Roman"/>
                <w:color w:val="auto"/>
                <w:kern w:val="2"/>
                <w:sz w:val="32"/>
                <w:szCs w:val="32"/>
                <w:highlight w:val="none"/>
                <w:u w:val="none"/>
                <w:lang w:val="en-US" w:eastAsia="zh-CN" w:bidi="ar-SA"/>
              </w:rPr>
              <w:t>推动潮汕国际纺织服装博览会、汕头·澄海国际玩具礼品博览会两大品牌展会提质升级。</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sz w:val="32"/>
                <w:szCs w:val="32"/>
                <w:vertAlign w:val="baseline"/>
                <w:lang w:val="en-US" w:eastAsia="zh-CN"/>
              </w:rPr>
              <w:t>2.美好生活消费展。</w:t>
            </w:r>
            <w:r>
              <w:rPr>
                <w:rFonts w:hint="eastAsia" w:ascii="Times New Roman" w:hAnsi="Times New Roman" w:eastAsia="仿宋_GB2312" w:cs="Times New Roman"/>
                <w:color w:val="auto"/>
                <w:kern w:val="2"/>
                <w:sz w:val="32"/>
                <w:szCs w:val="32"/>
                <w:highlight w:val="none"/>
                <w:u w:val="none"/>
                <w:lang w:val="en-US" w:eastAsia="zh-CN" w:bidi="ar-SA"/>
              </w:rPr>
              <w:t>办好潮汕菜大会、潮汕特色文化展、家博会等促进消费升级和文化交流的展会。</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3.培育新兴会展品牌。</w:t>
            </w:r>
            <w:r>
              <w:rPr>
                <w:rFonts w:hint="eastAsia" w:ascii="Times New Roman" w:hAnsi="Times New Roman" w:eastAsia="仿宋_GB2312" w:cs="Times New Roman"/>
                <w:b w:val="0"/>
                <w:bCs w:val="0"/>
                <w:color w:val="auto"/>
                <w:kern w:val="2"/>
                <w:sz w:val="32"/>
                <w:szCs w:val="32"/>
                <w:highlight w:val="none"/>
                <w:u w:val="none"/>
                <w:lang w:val="en-US" w:eastAsia="zh-CN" w:bidi="ar-SA"/>
              </w:rPr>
              <w:t>培育日用百货展、跨境电商展等具有发展潜力的新兴展会品牌。</w:t>
            </w:r>
          </w:p>
        </w:tc>
      </w:tr>
    </w:tbl>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4" w:name="_Toc1426570662"/>
      <w:r>
        <w:rPr>
          <w:rFonts w:hint="eastAsia" w:ascii="楷体" w:hAnsi="楷体" w:eastAsia="楷体" w:cs="楷体"/>
          <w:b/>
          <w:bCs/>
          <w:color w:val="auto"/>
          <w:spacing w:val="0"/>
          <w:kern w:val="10"/>
          <w:sz w:val="32"/>
          <w:szCs w:val="32"/>
          <w:highlight w:val="none"/>
          <w:u w:val="none"/>
          <w:lang w:val="en-US" w:eastAsia="zh-CN" w:bidi="ar-SA"/>
        </w:rPr>
        <w:t>第四节  促进内外贸一体化</w:t>
      </w:r>
      <w:bookmarkEnd w:id="34"/>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促进国内外市场对接。</w:t>
      </w:r>
      <w:r>
        <w:rPr>
          <w:rFonts w:hint="eastAsia" w:ascii="Times New Roman" w:hAnsi="Times New Roman" w:eastAsia="仿宋_GB2312" w:cs="Times New Roman"/>
          <w:color w:val="auto"/>
          <w:kern w:val="2"/>
          <w:sz w:val="32"/>
          <w:szCs w:val="32"/>
          <w:highlight w:val="none"/>
          <w:u w:val="none"/>
          <w:lang w:val="en-US" w:eastAsia="zh-CN" w:bidi="ar-SA"/>
        </w:rPr>
        <w:t>支持外贸企业开拓国内市场，组织企业参加“粤贸全国”、广东优品展、</w:t>
      </w:r>
      <w:r>
        <w:rPr>
          <w:rFonts w:hint="eastAsia" w:eastAsia="仿宋_GB2312" w:cs="Times New Roman"/>
          <w:color w:val="auto"/>
          <w:kern w:val="2"/>
          <w:sz w:val="32"/>
          <w:szCs w:val="32"/>
          <w:highlight w:val="none"/>
          <w:u w:val="none"/>
          <w:lang w:val="en-US" w:eastAsia="zh-CN" w:bidi="ar-SA"/>
        </w:rPr>
        <w:t>广货行天下、</w:t>
      </w:r>
      <w:r>
        <w:rPr>
          <w:rFonts w:hint="eastAsia" w:ascii="Times New Roman" w:hAnsi="Times New Roman" w:eastAsia="仿宋_GB2312" w:cs="Times New Roman"/>
          <w:color w:val="auto"/>
          <w:kern w:val="2"/>
          <w:sz w:val="32"/>
          <w:szCs w:val="32"/>
          <w:highlight w:val="none"/>
          <w:u w:val="none"/>
          <w:lang w:val="en-US" w:eastAsia="zh-CN" w:bidi="ar-SA"/>
        </w:rPr>
        <w:t>外贸优品中华行等系列活动。拓展出口产品内销渠道，鼓励优质外贸产品进电商平台、进商场超市、进商圈步行街、进工厂折扣店、进商品交易市场。支持内贸企业入驻跨境电商平台，鼓励企业参加国内外重点展会</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拓展国际市场。</w:t>
      </w:r>
      <w:r>
        <w:rPr>
          <w:rFonts w:hint="eastAsia" w:ascii="仿宋_GB2312" w:hAnsi="楷体_GB2312" w:eastAsia="仿宋_GB2312"/>
          <w:b/>
          <w:bCs/>
          <w:sz w:val="32"/>
          <w:szCs w:val="32"/>
          <w:lang w:val="en-US" w:eastAsia="zh-CN"/>
        </w:rPr>
        <w:t>扩大政策性出口信用保险覆盖面，</w:t>
      </w:r>
      <w:r>
        <w:rPr>
          <w:rFonts w:hint="eastAsia" w:ascii="仿宋_GB2312" w:hAnsi="仿宋_GB2312" w:eastAsia="仿宋_GB2312" w:cs="仿宋_GB2312"/>
          <w:sz w:val="32"/>
          <w:szCs w:val="32"/>
          <w:lang w:val="en-US" w:eastAsia="zh-CN"/>
        </w:rPr>
        <w:t>发挥国内贸易信用保险作用，支持</w:t>
      </w:r>
      <w:r>
        <w:rPr>
          <w:rFonts w:hint="eastAsia" w:ascii="仿宋_GB2312" w:hAnsi="仿宋_GB2312" w:eastAsia="仿宋_GB2312" w:cs="仿宋_GB2312"/>
          <w:b/>
          <w:bCs/>
          <w:sz w:val="32"/>
          <w:szCs w:val="32"/>
          <w:lang w:val="en-US" w:eastAsia="zh-CN"/>
        </w:rPr>
        <w:t>中小微外贸企业开拓</w:t>
      </w:r>
      <w:r>
        <w:rPr>
          <w:rFonts w:hint="eastAsia" w:ascii="仿宋_GB2312" w:hAnsi="仿宋_GB2312" w:eastAsia="仿宋_GB2312" w:cs="仿宋_GB2312"/>
          <w:sz w:val="32"/>
          <w:szCs w:val="32"/>
          <w:lang w:val="en-US" w:eastAsia="zh-CN"/>
        </w:rPr>
        <w:t>国内国际两个市场。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培育自主品牌。</w:t>
      </w:r>
      <w:r>
        <w:rPr>
          <w:rFonts w:hint="eastAsia" w:ascii="Times New Roman" w:hAnsi="Times New Roman" w:eastAsia="仿宋_GB2312" w:cs="Times New Roman"/>
          <w:color w:val="auto"/>
          <w:kern w:val="2"/>
          <w:sz w:val="32"/>
          <w:szCs w:val="32"/>
          <w:highlight w:val="none"/>
          <w:u w:val="none"/>
          <w:lang w:val="en-US" w:eastAsia="zh-CN" w:bidi="ar-SA"/>
        </w:rPr>
        <w:t>培育一批内外贸融合、经营能力强的商贸龙头企业，鼓励外贸代工企业与国内品牌商合作，鼓励商贸企业与制造企业开展品牌合作，发展自有品牌，提升产品附加值和品牌影响力。加大汕头品牌宣传力度，推动广东老字号、汕头老字号品牌走向国际市场，促进本土品牌“销全国、卖全球”。</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5" w:name="_Toc446783147"/>
      <w:r>
        <w:rPr>
          <w:rFonts w:hint="eastAsia" w:ascii="楷体" w:hAnsi="楷体" w:eastAsia="楷体" w:cs="楷体"/>
          <w:b/>
          <w:bCs/>
          <w:color w:val="auto"/>
          <w:spacing w:val="0"/>
          <w:kern w:val="10"/>
          <w:sz w:val="32"/>
          <w:szCs w:val="32"/>
          <w:highlight w:val="none"/>
          <w:u w:val="none"/>
          <w:lang w:val="en-US" w:eastAsia="zh-CN" w:bidi="ar-SA"/>
        </w:rPr>
        <w:t>第五节  加快培育服务贸易</w:t>
      </w:r>
      <w:bookmarkEnd w:id="35"/>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促进传统服务贸易转型升级。</w:t>
      </w:r>
      <w:r>
        <w:rPr>
          <w:rFonts w:hint="eastAsia" w:ascii="Times New Roman" w:hAnsi="Times New Roman" w:eastAsia="仿宋_GB2312" w:cs="Times New Roman"/>
          <w:color w:val="auto"/>
          <w:kern w:val="2"/>
          <w:sz w:val="32"/>
          <w:szCs w:val="32"/>
          <w:highlight w:val="none"/>
          <w:u w:val="none"/>
          <w:lang w:val="en-US" w:eastAsia="zh-CN" w:bidi="ar-SA"/>
        </w:rPr>
        <w:t>优化入境旅游产品供给，借助本地网络平台推出精品线路及侨人打卡等特色活动，打造一批入境游品牌和精品路线，推介汕头旅游、购物和美食地图。积极推动开展国际医疗服务试点，支持汕大医学院第一附属医院申报“广东省国际医疗服务试点医疗机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拓展特色服务贸易。</w:t>
      </w:r>
      <w:r>
        <w:rPr>
          <w:rFonts w:hint="eastAsia" w:ascii="Times New Roman" w:hAnsi="Times New Roman" w:eastAsia="仿宋_GB2312" w:cs="Times New Roman"/>
          <w:color w:val="auto"/>
          <w:kern w:val="2"/>
          <w:sz w:val="32"/>
          <w:szCs w:val="32"/>
          <w:highlight w:val="none"/>
          <w:u w:val="none"/>
          <w:lang w:val="en-US" w:eastAsia="zh-CN" w:bidi="ar-SA"/>
        </w:rPr>
        <w:t>促进文化产品出口，深挖潮侨文化底蕴，依托非遗工艺、民俗演艺等特色资源，打造潮文化出口品牌。联动海外潮籍侨团，拓展文创产品、潮剧展演等出口业务。推动非遗与数字融合，发展数字文创、线上文化展演等新型贸易，以潮侨文化为纽带，拓宽文化出海路径，提升汕头文化国际影响力。扩大中医药出口，规范中药材、中成药生产标准，突破海外市场准入壁垒，扩大对东南亚等地区的中医药产品出口。发展跨境中医诊疗、康养理疗服务，联合海外侨胞建设海外中医馆，推动中医药与文旅康养融合，打造特色中医药服务出口板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做大服务外包规模。</w:t>
      </w:r>
      <w:r>
        <w:rPr>
          <w:rFonts w:hint="eastAsia" w:ascii="Times New Roman" w:hAnsi="Times New Roman" w:eastAsia="仿宋_GB2312" w:cs="Times New Roman"/>
          <w:color w:val="auto"/>
          <w:kern w:val="2"/>
          <w:sz w:val="32"/>
          <w:szCs w:val="32"/>
          <w:highlight w:val="none"/>
          <w:u w:val="none"/>
          <w:lang w:val="en-US" w:eastAsia="zh-CN" w:bidi="ar-SA"/>
        </w:rPr>
        <w:t>聚焦信息技术、生物医药、金融科技等领域，构建梯度化服务外包企业培育体系，扶持发展一批专精特新中小型服务外包企业，培育</w:t>
      </w:r>
      <w:r>
        <w:rPr>
          <w:rFonts w:hint="eastAsia" w:eastAsia="仿宋_GB2312" w:cs="Times New Roman"/>
          <w:color w:val="auto"/>
          <w:kern w:val="2"/>
          <w:sz w:val="32"/>
          <w:szCs w:val="32"/>
          <w:highlight w:val="none"/>
          <w:u w:val="none"/>
          <w:lang w:val="en-US" w:eastAsia="zh-CN" w:bidi="ar-SA"/>
        </w:rPr>
        <w:t>壮大</w:t>
      </w:r>
      <w:r>
        <w:rPr>
          <w:rFonts w:hint="eastAsia" w:ascii="Times New Roman" w:hAnsi="Times New Roman" w:eastAsia="仿宋_GB2312" w:cs="Times New Roman"/>
          <w:color w:val="auto"/>
          <w:kern w:val="2"/>
          <w:sz w:val="32"/>
          <w:szCs w:val="32"/>
          <w:highlight w:val="none"/>
          <w:u w:val="none"/>
          <w:lang w:val="en-US" w:eastAsia="zh-CN" w:bidi="ar-SA"/>
        </w:rPr>
        <w:t>服务外包龙头企业，加快服务外包向高端化、数字化、离岸化转型升级。落实重点服务外包企业统计监测制度，扩大服务外包统计监测覆盖面。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发展数字贸易。</w:t>
      </w:r>
      <w:r>
        <w:rPr>
          <w:rFonts w:hint="eastAsia" w:ascii="Times New Roman" w:hAnsi="Times New Roman" w:eastAsia="仿宋_GB2312" w:cs="Times New Roman"/>
          <w:color w:val="auto"/>
          <w:kern w:val="2"/>
          <w:sz w:val="32"/>
          <w:szCs w:val="32"/>
          <w:highlight w:val="none"/>
          <w:u w:val="none"/>
          <w:lang w:val="en-US" w:eastAsia="zh-CN" w:bidi="ar-SA"/>
        </w:rPr>
        <w:t>借力</w:t>
      </w:r>
      <w:r>
        <w:rPr>
          <w:rFonts w:hint="eastAsia" w:eastAsia="仿宋_GB2312" w:cs="Times New Roman"/>
          <w:color w:val="auto"/>
          <w:kern w:val="2"/>
          <w:sz w:val="32"/>
          <w:szCs w:val="32"/>
          <w:highlight w:val="none"/>
          <w:u w:val="none"/>
          <w:lang w:val="en-US" w:eastAsia="zh-CN" w:bidi="ar-SA"/>
        </w:rPr>
        <w:t>海上风电、</w:t>
      </w:r>
      <w:r>
        <w:rPr>
          <w:rFonts w:hint="eastAsia" w:ascii="Times New Roman" w:hAnsi="Times New Roman" w:eastAsia="仿宋_GB2312" w:cs="Times New Roman"/>
          <w:color w:val="auto"/>
          <w:kern w:val="2"/>
          <w:sz w:val="32"/>
          <w:szCs w:val="32"/>
          <w:highlight w:val="none"/>
          <w:u w:val="none"/>
          <w:lang w:val="en-US" w:eastAsia="zh-CN" w:bidi="ar-SA"/>
        </w:rPr>
        <w:t>国际海缆登陆站、区域性国际通信出入口局</w:t>
      </w:r>
      <w:r>
        <w:rPr>
          <w:rFonts w:hint="eastAsia" w:eastAsia="仿宋_GB2312" w:cs="Times New Roman"/>
          <w:color w:val="auto"/>
          <w:kern w:val="2"/>
          <w:sz w:val="32"/>
          <w:szCs w:val="32"/>
          <w:highlight w:val="none"/>
          <w:u w:val="none"/>
          <w:lang w:val="en-US" w:eastAsia="zh-CN" w:bidi="ar-SA"/>
        </w:rPr>
        <w:t>等</w:t>
      </w:r>
      <w:r>
        <w:rPr>
          <w:rFonts w:hint="eastAsia" w:ascii="Times New Roman" w:hAnsi="Times New Roman" w:eastAsia="仿宋_GB2312" w:cs="Times New Roman"/>
          <w:color w:val="auto"/>
          <w:kern w:val="2"/>
          <w:sz w:val="32"/>
          <w:szCs w:val="32"/>
          <w:highlight w:val="none"/>
          <w:u w:val="none"/>
          <w:lang w:val="en-US" w:eastAsia="zh-CN" w:bidi="ar-SA"/>
        </w:rPr>
        <w:t>优势，培育数字贸易新动能。完善数字基建，</w:t>
      </w:r>
      <w:r>
        <w:rPr>
          <w:rFonts w:hint="default" w:ascii="Times New Roman" w:hAnsi="Times New Roman" w:eastAsia="仿宋_GB2312" w:cs="Times New Roman"/>
          <w:color w:val="auto"/>
          <w:kern w:val="2"/>
          <w:sz w:val="32"/>
          <w:szCs w:val="32"/>
          <w:highlight w:val="none"/>
          <w:u w:val="none"/>
          <w:lang w:eastAsia="zh-CN" w:bidi="ar-SA"/>
        </w:rPr>
        <w:t>依托华侨试验区</w:t>
      </w:r>
      <w:r>
        <w:rPr>
          <w:rFonts w:hint="eastAsia" w:ascii="Times New Roman" w:hAnsi="Times New Roman" w:eastAsia="仿宋_GB2312" w:cs="Times New Roman"/>
          <w:color w:val="auto"/>
          <w:kern w:val="2"/>
          <w:sz w:val="32"/>
          <w:szCs w:val="32"/>
          <w:highlight w:val="none"/>
          <w:u w:val="none"/>
          <w:lang w:val="en-US" w:eastAsia="zh-CN" w:bidi="ar-SA"/>
        </w:rPr>
        <w:t>“来数加工”试点</w:t>
      </w:r>
      <w:r>
        <w:rPr>
          <w:rFonts w:hint="default" w:ascii="Times New Roman" w:hAnsi="Times New Roman" w:eastAsia="仿宋_GB2312" w:cs="Times New Roman"/>
          <w:color w:val="auto"/>
          <w:kern w:val="2"/>
          <w:sz w:val="32"/>
          <w:szCs w:val="32"/>
          <w:highlight w:val="none"/>
          <w:u w:val="none"/>
          <w:lang w:eastAsia="zh-CN" w:bidi="ar-SA"/>
        </w:rPr>
        <w:t>和词元经济新优势</w:t>
      </w:r>
      <w:r>
        <w:rPr>
          <w:rFonts w:hint="eastAsia" w:ascii="Times New Roman" w:hAnsi="Times New Roman" w:eastAsia="仿宋_GB2312" w:cs="Times New Roman"/>
          <w:color w:val="auto"/>
          <w:kern w:val="2"/>
          <w:sz w:val="32"/>
          <w:szCs w:val="32"/>
          <w:highlight w:val="none"/>
          <w:u w:val="none"/>
          <w:lang w:val="en-US" w:eastAsia="zh-CN" w:bidi="ar-SA"/>
        </w:rPr>
        <w:t>，</w:t>
      </w:r>
      <w:r>
        <w:rPr>
          <w:rFonts w:hint="default" w:ascii="Times New Roman" w:hAnsi="Times New Roman" w:eastAsia="仿宋_GB2312" w:cs="Times New Roman"/>
          <w:color w:val="auto"/>
          <w:kern w:val="2"/>
          <w:sz w:val="32"/>
          <w:szCs w:val="32"/>
          <w:highlight w:val="none"/>
          <w:u w:val="none"/>
          <w:lang w:val="en-US" w:eastAsia="zh-CN" w:bidi="ar-SA"/>
        </w:rPr>
        <w:t>形成上下游协同的</w:t>
      </w:r>
      <w:r>
        <w:rPr>
          <w:rFonts w:hint="eastAsia" w:ascii="Times New Roman" w:hAnsi="Times New Roman" w:eastAsia="仿宋_GB2312" w:cs="Times New Roman"/>
          <w:color w:val="auto"/>
          <w:kern w:val="2"/>
          <w:sz w:val="32"/>
          <w:szCs w:val="32"/>
          <w:highlight w:val="none"/>
          <w:u w:val="none"/>
          <w:lang w:val="en-US" w:eastAsia="zh-CN" w:bidi="ar-SA"/>
        </w:rPr>
        <w:t>T</w:t>
      </w:r>
      <w:r>
        <w:rPr>
          <w:rFonts w:hint="default" w:ascii="Times New Roman" w:hAnsi="Times New Roman" w:eastAsia="仿宋_GB2312" w:cs="Times New Roman"/>
          <w:color w:val="auto"/>
          <w:kern w:val="2"/>
          <w:sz w:val="32"/>
          <w:szCs w:val="32"/>
          <w:highlight w:val="none"/>
          <w:u w:val="none"/>
          <w:lang w:val="en-US" w:eastAsia="zh-CN" w:bidi="ar-SA"/>
        </w:rPr>
        <w:t>oken出海产业集群，打造 “算力+数据+服务” 融合发展的数字</w:t>
      </w:r>
      <w:r>
        <w:rPr>
          <w:rFonts w:hint="eastAsia" w:ascii="Times New Roman" w:hAnsi="Times New Roman" w:eastAsia="仿宋_GB2312" w:cs="Times New Roman"/>
          <w:color w:val="auto"/>
          <w:kern w:val="2"/>
          <w:sz w:val="32"/>
          <w:szCs w:val="32"/>
          <w:highlight w:val="none"/>
          <w:u w:val="none"/>
          <w:lang w:val="en-US" w:eastAsia="zh-CN" w:bidi="ar-SA"/>
        </w:rPr>
        <w:t>服务贸易新体系</w:t>
      </w:r>
      <w:r>
        <w:rPr>
          <w:rFonts w:hint="default" w:ascii="Times New Roman" w:hAnsi="Times New Roman"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发展跨境数据、云计算服务。拓展跨境电商、数字营销、软件服务等业态，鼓励企业抱团参加境内外数字贸易和服务贸易专题展会，拓展国际市场。优化数字贸易便利化政策，打造粤东数字贸易发展高地。</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eastAsia" w:ascii="黑体" w:hAnsi="黑体" w:eastAsia="黑体" w:cs="黑体"/>
          <w:color w:val="auto"/>
          <w:sz w:val="36"/>
          <w:szCs w:val="36"/>
          <w:highlight w:val="none"/>
          <w:u w:val="none"/>
          <w:lang w:val="en-US" w:eastAsia="zh-CN"/>
        </w:rPr>
      </w:pPr>
      <w:bookmarkStart w:id="36" w:name="_Toc1638527067"/>
      <w:r>
        <w:rPr>
          <w:rFonts w:hint="eastAsia" w:ascii="黑体" w:hAnsi="黑体" w:eastAsia="黑体" w:cs="黑体"/>
          <w:color w:val="auto"/>
          <w:sz w:val="36"/>
          <w:szCs w:val="36"/>
          <w:highlight w:val="none"/>
          <w:u w:val="none"/>
          <w:lang w:val="en-US" w:eastAsia="zh-CN"/>
        </w:rPr>
        <w:t>第五章  高质量招商引资</w:t>
      </w:r>
      <w:bookmarkEnd w:id="32"/>
      <w:bookmarkEnd w:id="3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立足侨乡优势与临港经济禀赋，扎实推进重点领域高水平对外开放，营造市场化法治化国际化一流营商环境，健全外商投资和聚侨引侨全周期服务保障体系，巩固利用外资稳定发展态势，提升招商引资精准度和实效性，着力吸引全球优质资源要素集聚汕头。</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7" w:name="_Toc1234614326"/>
      <w:r>
        <w:rPr>
          <w:rFonts w:hint="eastAsia" w:ascii="楷体" w:hAnsi="楷体" w:eastAsia="楷体" w:cs="楷体"/>
          <w:b/>
          <w:bCs/>
          <w:color w:val="auto"/>
          <w:spacing w:val="0"/>
          <w:kern w:val="10"/>
          <w:sz w:val="32"/>
          <w:szCs w:val="32"/>
          <w:highlight w:val="none"/>
          <w:u w:val="none"/>
          <w:lang w:val="en-US" w:eastAsia="zh-CN" w:bidi="ar-SA"/>
        </w:rPr>
        <w:t>第一节  建强招商工作体系</w:t>
      </w:r>
      <w:bookmarkEnd w:id="37"/>
    </w:p>
    <w:p>
      <w:pPr>
        <w:pStyle w:val="5"/>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健全招商工作机制。</w:t>
      </w:r>
      <w:r>
        <w:rPr>
          <w:rFonts w:hint="eastAsia" w:ascii="Times New Roman" w:hAnsi="Times New Roman" w:eastAsia="仿宋_GB2312" w:cs="Times New Roman"/>
          <w:color w:val="auto"/>
          <w:kern w:val="2"/>
          <w:sz w:val="32"/>
          <w:szCs w:val="32"/>
          <w:highlight w:val="none"/>
          <w:u w:val="none"/>
          <w:lang w:val="en-US" w:eastAsia="zh-CN" w:bidi="ar-SA"/>
        </w:rPr>
        <w:t>落实“十个一”招商工作机制，发挥全市利用外资工作领导小组作用，运用市级利用外资工作联席会议制度，形成全市统一、全面统筹、全域共享的大利用外资格局。完善重大项目推进机制，常态化开展助企惠企行动，强化要素支持和服务供给，攻坚解决制约重大招商项目落地的瓶颈问题。创新招商资源共享模式，落实项目流转和招商载体共享机制，促进优质项目落地。</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落实“一把手”招商。</w:t>
      </w:r>
      <w:r>
        <w:rPr>
          <w:rFonts w:hint="eastAsia" w:ascii="Times New Roman" w:hAnsi="Times New Roman" w:eastAsia="仿宋_GB2312" w:cs="Times New Roman"/>
          <w:color w:val="auto"/>
          <w:kern w:val="2"/>
          <w:sz w:val="32"/>
          <w:szCs w:val="32"/>
          <w:highlight w:val="none"/>
          <w:u w:val="none"/>
          <w:lang w:val="en-US" w:eastAsia="zh-CN" w:bidi="ar-SA"/>
        </w:rPr>
        <w:t>深入实施招商引资“一把手”工程，强化“一把手”领导带头招商示范引领作用，推动市、区（县）两级主要负责同志带队走访对接国内外重点产业平台、龙头企业和商协会组织，深度链接全球全国优质项目资源。主动赴境外国家和地区开展经贸交流活动，积极邀请境外政府机构、海外侨团和优质企业来汕考察交流，持续拓展招商引资渠道。</w:t>
      </w:r>
    </w:p>
    <w:p>
      <w:pPr>
        <w:pStyle w:val="5"/>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建强招商工作队伍。</w:t>
      </w:r>
      <w:r>
        <w:rPr>
          <w:rFonts w:hint="eastAsia" w:ascii="Times New Roman" w:hAnsi="Times New Roman" w:eastAsia="仿宋_GB2312" w:cs="Times New Roman"/>
          <w:color w:val="auto"/>
          <w:kern w:val="2"/>
          <w:sz w:val="32"/>
          <w:szCs w:val="32"/>
          <w:highlight w:val="none"/>
          <w:u w:val="none"/>
          <w:lang w:val="en-US" w:eastAsia="zh-CN" w:bidi="ar-SA"/>
        </w:rPr>
        <w:t>各区</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县</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、功能区领导牵头挂帅、靠前指挥</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坚持选优配强、精准赋能，从经济部门、地方国企、专业机构等单位，择优吸纳一批懂产业、懂政策、善洽谈、精服务的优秀专业人才。常态化开展招商对接与项目洽谈，持续强化业务培训和实战练兵，全面增强招商队伍综合素养。</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8" w:name="_Toc734008244"/>
      <w:r>
        <w:rPr>
          <w:rFonts w:hint="eastAsia" w:ascii="楷体" w:hAnsi="楷体" w:eastAsia="楷体" w:cs="楷体"/>
          <w:b/>
          <w:bCs/>
          <w:color w:val="auto"/>
          <w:spacing w:val="0"/>
          <w:kern w:val="10"/>
          <w:sz w:val="32"/>
          <w:szCs w:val="32"/>
          <w:highlight w:val="none"/>
          <w:u w:val="none"/>
          <w:lang w:val="en-US" w:eastAsia="zh-CN" w:bidi="ar-SA"/>
        </w:rPr>
        <w:t>第二节  提升招商引资质量</w:t>
      </w:r>
      <w:bookmarkEnd w:id="38"/>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开展大走访大对接。</w:t>
      </w:r>
      <w:r>
        <w:rPr>
          <w:rFonts w:hint="eastAsia" w:ascii="Times New Roman" w:hAnsi="Times New Roman" w:eastAsia="仿宋_GB2312" w:cs="Times New Roman"/>
          <w:color w:val="auto"/>
          <w:kern w:val="2"/>
          <w:sz w:val="32"/>
          <w:szCs w:val="32"/>
          <w:highlight w:val="none"/>
          <w:u w:val="none"/>
          <w:lang w:val="en-US" w:eastAsia="zh-CN" w:bidi="ar-SA"/>
        </w:rPr>
        <w:t>立足全市产业发展布局与转型升级需求，聚焦重点产业链关键核心环节，主动对接有在华业务的世界500强、中国500强、重点单项冠军、行业领军企业等各类优质项目主体，深度挖掘产业合作机遇。持续深化本土企业精准服务，常态化走访对接本地上市公司、链主企业、专精特新企业及隐形冠军企业，全面摸排企业发展诉求和投资意愿，强化靠前服务与供需对接，积极引导企业新增投资、增资扩产项目就地落地。</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深化产业链招商。</w:t>
      </w:r>
      <w:r>
        <w:rPr>
          <w:rFonts w:hint="eastAsia" w:ascii="Times New Roman" w:hAnsi="Times New Roman" w:eastAsia="仿宋_GB2312" w:cs="Times New Roman"/>
          <w:color w:val="auto"/>
          <w:kern w:val="2"/>
          <w:sz w:val="32"/>
          <w:szCs w:val="32"/>
          <w:highlight w:val="none"/>
          <w:u w:val="none"/>
          <w:lang w:val="en-US" w:eastAsia="zh-CN" w:bidi="ar-SA"/>
        </w:rPr>
        <w:t>用好用足产业招商图谱，围绕产业链强链、补链、延链需求，锚定“三新两特一大”主导产业</w:t>
      </w:r>
      <w:r>
        <w:rPr>
          <w:rFonts w:hint="default" w:ascii="Times New Roman" w:hAnsi="Times New Roman" w:eastAsia="仿宋_GB2312" w:cs="Times New Roman"/>
          <w:color w:val="auto"/>
          <w:kern w:val="2"/>
          <w:sz w:val="32"/>
          <w:szCs w:val="32"/>
          <w:highlight w:val="none"/>
          <w:u w:val="none"/>
          <w:lang w:val="en-US" w:eastAsia="zh-CN" w:bidi="ar-SA"/>
        </w:rPr>
        <w:t>的关键缺失环节开</w:t>
      </w:r>
      <w:r>
        <w:rPr>
          <w:rFonts w:hint="eastAsia" w:ascii="Times New Roman" w:hAnsi="Times New Roman" w:eastAsia="仿宋_GB2312" w:cs="Times New Roman"/>
          <w:color w:val="auto"/>
          <w:kern w:val="2"/>
          <w:sz w:val="32"/>
          <w:szCs w:val="32"/>
          <w:highlight w:val="none"/>
          <w:u w:val="none"/>
          <w:lang w:val="en-US" w:eastAsia="zh-CN" w:bidi="ar-SA"/>
        </w:rPr>
        <w:t>展“靶向补链”，开展“以商招商”“以企引企”，吸引上下游配套企业。大力开展链主招商，推动跨国公司参与产业链上下游配套协作。</w:t>
      </w:r>
      <w:r>
        <w:rPr>
          <w:rFonts w:hint="default" w:ascii="Times New Roman" w:hAnsi="Times New Roman" w:eastAsia="仿宋_GB2312" w:cs="Times New Roman"/>
          <w:color w:val="auto"/>
          <w:kern w:val="2"/>
          <w:sz w:val="32"/>
          <w:szCs w:val="32"/>
          <w:highlight w:val="none"/>
          <w:u w:val="none"/>
          <w:lang w:val="en-US" w:eastAsia="zh-CN" w:bidi="ar-SA"/>
        </w:rPr>
        <w:t>积极承接大湾区产业外溢，立足自身优势精准招引大湾区优质外企在汕布局强链扩链型、集群配套型、龙头基地型项目。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提升招商引资能级。</w:t>
      </w:r>
      <w:r>
        <w:rPr>
          <w:rFonts w:hint="eastAsia" w:ascii="Times New Roman" w:hAnsi="Times New Roman" w:eastAsia="仿宋_GB2312" w:cs="Times New Roman"/>
          <w:color w:val="auto"/>
          <w:kern w:val="2"/>
          <w:sz w:val="32"/>
          <w:szCs w:val="32"/>
          <w:highlight w:val="none"/>
          <w:u w:val="none"/>
          <w:lang w:val="en-US" w:eastAsia="zh-CN" w:bidi="ar-SA"/>
        </w:rPr>
        <w:t>坚持精准招商、靶向发力，聚焦东南亚、欧美等重点目标国家，深度对接全球产业链高端环节，鼓励和引导外资更多投向科技创新领域。围绕先进制造业、高端服务业等重点领域，精准招引一批产业链龙头项目、战略性新兴产业项目，大力吸引高能级跨国公司总部及外资研发机构等高端载体落户，持续优化外资产业结构。</w:t>
      </w:r>
    </w:p>
    <w:p>
      <w:pPr>
        <w:pStyle w:val="5"/>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促进利润再投资。</w:t>
      </w:r>
      <w:r>
        <w:rPr>
          <w:rFonts w:hint="eastAsia" w:ascii="Times New Roman" w:hAnsi="Times New Roman" w:eastAsia="仿宋_GB2312" w:cs="Times New Roman"/>
          <w:color w:val="auto"/>
          <w:kern w:val="2"/>
          <w:sz w:val="32"/>
          <w:szCs w:val="32"/>
          <w:highlight w:val="none"/>
          <w:u w:val="none"/>
          <w:lang w:val="en-US" w:eastAsia="zh-CN" w:bidi="ar-SA"/>
        </w:rPr>
        <w:t>用好用足各项外资惠企政策，支持和引导现有外资企业深耕本地市场，鼓励企业以未分配利润、转增资本等方式扩大利润再投资规模，持续激发存量外资增资扩产内生动力。不断提升利润再投资额占实际利用外资比重，推动外资企业从落地投产发展为增资扩产。</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39" w:name="_Toc1564020466"/>
      <w:r>
        <w:rPr>
          <w:rFonts w:hint="eastAsia" w:ascii="楷体" w:hAnsi="楷体" w:eastAsia="楷体" w:cs="楷体"/>
          <w:b/>
          <w:bCs/>
          <w:color w:val="auto"/>
          <w:spacing w:val="0"/>
          <w:kern w:val="10"/>
          <w:sz w:val="32"/>
          <w:szCs w:val="32"/>
          <w:highlight w:val="none"/>
          <w:u w:val="none"/>
          <w:lang w:val="en-US" w:eastAsia="zh-CN" w:bidi="ar-SA"/>
        </w:rPr>
        <w:t>第三节  打造多元招商模式</w:t>
      </w:r>
      <w:bookmarkEnd w:id="39"/>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打好“侨牌”招商。</w:t>
      </w:r>
      <w:r>
        <w:rPr>
          <w:rFonts w:hint="eastAsia" w:ascii="Times New Roman" w:hAnsi="Times New Roman" w:eastAsia="仿宋_GB2312" w:cs="Times New Roman"/>
          <w:color w:val="auto"/>
          <w:kern w:val="2"/>
          <w:sz w:val="32"/>
          <w:szCs w:val="32"/>
          <w:highlight w:val="none"/>
          <w:u w:val="none"/>
          <w:lang w:val="en-US" w:eastAsia="zh-CN" w:bidi="ar-SA"/>
        </w:rPr>
        <w:t>立足侨乡优势，实施“潮商返乡工程”，构建全球招商网络，积极吸引港澳潮商和国外侨商回乡投资，拓展平台招商、场景招商、基金招商等招商模式，鼓励和引导华侨华人在金融、文化、旅游休闲、数字经济、教育培训、医疗养老服务、生物医药等重点产业投资兴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做好展会招商。</w:t>
      </w:r>
      <w:r>
        <w:rPr>
          <w:rFonts w:hint="eastAsia" w:ascii="Times New Roman" w:hAnsi="Times New Roman" w:eastAsia="仿宋_GB2312" w:cs="Times New Roman"/>
          <w:color w:val="auto"/>
          <w:kern w:val="2"/>
          <w:sz w:val="32"/>
          <w:szCs w:val="32"/>
          <w:highlight w:val="none"/>
          <w:u w:val="none"/>
          <w:lang w:val="en-US" w:eastAsia="zh-CN" w:bidi="ar-SA"/>
        </w:rPr>
        <w:t>以会为媒、以展促招，依托进博会、投洽会、粤港澳招商大会等国家、省级重点活动平台，争取更多优质项目与资源在汕布局落地。提升服博会、玩博会等本地展会“磁场效应”，组织参展企业实地考察，推动“展商变投资商”。</w:t>
      </w:r>
    </w:p>
    <w:p>
      <w:pPr>
        <w:pStyle w:val="5"/>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加强县域招商。</w:t>
      </w:r>
      <w:r>
        <w:rPr>
          <w:rFonts w:hint="eastAsia" w:ascii="Times New Roman" w:hAnsi="Times New Roman" w:eastAsia="仿宋_GB2312" w:cs="Times New Roman"/>
          <w:color w:val="auto"/>
          <w:kern w:val="2"/>
          <w:sz w:val="32"/>
          <w:szCs w:val="32"/>
          <w:highlight w:val="none"/>
          <w:u w:val="none"/>
          <w:lang w:val="en-US" w:eastAsia="zh-CN" w:bidi="ar-SA"/>
        </w:rPr>
        <w:t>支持各区（县）立足本地特色产业及文化旅游、乡贤资源等优势，围绕产业链关键环节实施精准招商，力争引进符合当地发展需求的优质投资项目，推动重点领域实现外资项目引进的新突破。</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40" w:name="_Toc1081770463"/>
      <w:r>
        <w:rPr>
          <w:rFonts w:hint="eastAsia" w:ascii="楷体" w:hAnsi="楷体" w:eastAsia="楷体" w:cs="楷体"/>
          <w:b/>
          <w:bCs/>
          <w:color w:val="auto"/>
          <w:spacing w:val="0"/>
          <w:kern w:val="10"/>
          <w:sz w:val="32"/>
          <w:szCs w:val="32"/>
          <w:highlight w:val="none"/>
          <w:u w:val="none"/>
          <w:lang w:val="en-US" w:eastAsia="zh-CN" w:bidi="ar-SA"/>
        </w:rPr>
        <w:t>第四节  筑牢招商引资平台</w:t>
      </w:r>
      <w:bookmarkEnd w:id="40"/>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建强园区载体。</w:t>
      </w:r>
      <w:r>
        <w:rPr>
          <w:rFonts w:hint="eastAsia" w:ascii="Times New Roman" w:hAnsi="Times New Roman" w:eastAsia="仿宋_GB2312" w:cs="Times New Roman"/>
          <w:color w:val="auto"/>
          <w:kern w:val="2"/>
          <w:sz w:val="32"/>
          <w:szCs w:val="32"/>
          <w:highlight w:val="none"/>
          <w:u w:val="none"/>
          <w:lang w:val="en-US" w:eastAsia="zh-CN" w:bidi="ar-SA"/>
        </w:rPr>
        <w:t>鼓励外资、侨资通过市场化合作方式参与产业园区招商运营，提升园区专业化招商和市场化运营能力。加快推进汕头临港经济区开发建设，支持综合保税区扩容提质、华侨试验区争创省级经济开发区，拓展外商投资空间。充分发挥海关特殊监管区域、跨境数据传输先行先试等优势，依托海洋资源禀赋，精准招引新能源、生物医药、食品加工、滨海旅游、数字经济等临港特色外资项目落地集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擦亮“投资汕头”品牌。</w:t>
      </w:r>
      <w:r>
        <w:rPr>
          <w:rFonts w:hint="eastAsia" w:ascii="Times New Roman" w:hAnsi="Times New Roman" w:eastAsia="仿宋_GB2312" w:cs="Times New Roman"/>
          <w:color w:val="auto"/>
          <w:kern w:val="2"/>
          <w:sz w:val="32"/>
          <w:szCs w:val="32"/>
          <w:highlight w:val="none"/>
          <w:u w:val="none"/>
          <w:lang w:val="en-US" w:eastAsia="zh-CN" w:bidi="ar-SA"/>
        </w:rPr>
        <w:t>每年举办不少于2场“投资汕头”系列招商活动，着力招引全球优质企业和创新资源，积极承接省内外产业转移。组织区县和重点园区常态化赴欧美日韩、东南亚、中东、港澳等地开展境外招商，深度对接境外商协会、跨国企业及侨商资源，全方位宣介汕头投资优势和营商环境，强化重点外资项目的洽谈对接与跟踪落地，不断提升招商引资实效。</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41" w:name="_Toc873987128"/>
      <w:r>
        <w:rPr>
          <w:rFonts w:hint="eastAsia" w:ascii="楷体" w:hAnsi="楷体" w:eastAsia="楷体" w:cs="楷体"/>
          <w:b/>
          <w:bCs/>
          <w:color w:val="auto"/>
          <w:spacing w:val="0"/>
          <w:kern w:val="10"/>
          <w:sz w:val="32"/>
          <w:szCs w:val="32"/>
          <w:highlight w:val="none"/>
          <w:u w:val="none"/>
          <w:lang w:val="en-US" w:eastAsia="zh-CN" w:bidi="ar-SA"/>
        </w:rPr>
        <w:t>第五节  健全外商投资服务体系</w:t>
      </w:r>
      <w:bookmarkEnd w:id="41"/>
    </w:p>
    <w:p>
      <w:pPr>
        <w:pStyle w:val="5"/>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持续放宽市场准入。</w:t>
      </w:r>
      <w:r>
        <w:rPr>
          <w:rFonts w:hint="eastAsia" w:ascii="Times New Roman" w:hAnsi="Times New Roman" w:eastAsia="仿宋_GB2312" w:cs="Times New Roman"/>
          <w:color w:val="auto"/>
          <w:kern w:val="2"/>
          <w:sz w:val="32"/>
          <w:szCs w:val="32"/>
          <w:highlight w:val="none"/>
          <w:u w:val="none"/>
          <w:lang w:val="en-US" w:eastAsia="zh-CN" w:bidi="ar-SA"/>
        </w:rPr>
        <w:t>严格执行外资准入前国民待遇加负面清单制度，全面清理要素获取、招标投标、经营运营、资质许可等方面的内外资不一致政策措施，确保制造业外资准入清零落地。扩大服务业开放，鼓励侨资投资建设高端综合医院或专科医院、养老机构。</w:t>
      </w:r>
    </w:p>
    <w:p>
      <w:pPr>
        <w:pStyle w:val="5"/>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提升外商投资服务水平。</w:t>
      </w:r>
      <w:r>
        <w:rPr>
          <w:rFonts w:hint="eastAsia" w:ascii="Times New Roman" w:hAnsi="Times New Roman" w:eastAsia="仿宋_GB2312" w:cs="Times New Roman"/>
          <w:color w:val="auto"/>
          <w:kern w:val="2"/>
          <w:sz w:val="32"/>
          <w:szCs w:val="32"/>
          <w:highlight w:val="none"/>
          <w:u w:val="none"/>
          <w:lang w:val="en-US" w:eastAsia="zh-CN" w:bidi="ar-SA"/>
        </w:rPr>
        <w:t>建立外资企业“一站式”服务机制，依法保障外资企业在要素获取、资质许可、标准制定、参与政府采购等方面的国民待遇。提升投资便利化水平，推行“告知承诺”“一业一证”“证照分离”等改革，减轻企业制度性交易成本。完善外资并购、利润再投资等相关制度，促进外资企业与国内产业链深度融合。用好外资企业圆桌会等机制，畅通政企常态化沟通渠道。严格落实外商投资信息报告制度，健全外资企业投诉工作机制，及时回应企业合理诉求。</w:t>
      </w:r>
    </w:p>
    <w:p>
      <w:pPr>
        <w:pStyle w:val="5"/>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color w:val="auto"/>
          <w:kern w:val="2"/>
          <w:sz w:val="32"/>
          <w:szCs w:val="32"/>
          <w:highlight w:val="none"/>
          <w:u w:val="none"/>
          <w:lang w:val="en-US" w:eastAsia="zh-CN" w:bidi="ar-SA"/>
        </w:rPr>
        <w:t>优化华侨华人投资服务。</w:t>
      </w:r>
      <w:r>
        <w:rPr>
          <w:rFonts w:hint="eastAsia" w:ascii="Times New Roman" w:hAnsi="Times New Roman" w:eastAsia="仿宋_GB2312" w:cs="Times New Roman"/>
          <w:color w:val="auto"/>
          <w:kern w:val="2"/>
          <w:sz w:val="32"/>
          <w:szCs w:val="32"/>
          <w:highlight w:val="none"/>
          <w:u w:val="none"/>
          <w:lang w:val="en-US" w:eastAsia="zh-CN" w:bidi="ar-SA"/>
        </w:rPr>
        <w:t>以便利华侨华人投资兴业为重点，制定出台《汕头经济特区华侨华人投资促进条例》，健全民营企业和外资企业权益保护机制，强化涉外涉侨法治保障和法律服务供给，持续优化侨商投资环境。</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vertAlign w:val="baseline"/>
                <w:lang w:val="en-US" w:eastAsia="zh-CN"/>
              </w:rPr>
            </w:pPr>
            <w:r>
              <w:rPr>
                <w:rFonts w:hint="eastAsia" w:ascii="楷体" w:hAnsi="楷体" w:eastAsia="楷体" w:cs="楷体"/>
                <w:sz w:val="30"/>
                <w:szCs w:val="30"/>
                <w:vertAlign w:val="baseline"/>
                <w:lang w:val="en-US" w:eastAsia="zh-CN"/>
              </w:rPr>
              <w:t>专栏  完善服务外商投资企业工作体系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b/>
                <w:bCs/>
                <w:sz w:val="32"/>
                <w:szCs w:val="32"/>
                <w:vertAlign w:val="baseline"/>
                <w:lang w:val="en-US" w:eastAsia="zh-CN"/>
              </w:rPr>
              <w:t>1.完善外资企业圆桌会制度。</w:t>
            </w:r>
            <w:r>
              <w:rPr>
                <w:rFonts w:hint="eastAsia" w:ascii="Times New Roman" w:hAnsi="Times New Roman" w:eastAsia="仿宋_GB2312" w:cs="Times New Roman"/>
                <w:b w:val="0"/>
                <w:bCs w:val="0"/>
                <w:sz w:val="32"/>
                <w:szCs w:val="32"/>
                <w:vertAlign w:val="baseline"/>
                <w:lang w:val="en-US" w:eastAsia="zh-CN"/>
              </w:rPr>
              <w:t>定期召开政企交流座谈会，邀请外国商协会及外资企业代表参会，畅通沟通渠道。</w:t>
            </w:r>
          </w:p>
          <w:p>
            <w:pPr>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Times New Roman" w:hAnsi="Times New Roman" w:eastAsia="仿宋_GB2312" w:cs="Times New Roman"/>
                <w:b/>
                <w:bCs/>
                <w:sz w:val="32"/>
                <w:szCs w:val="32"/>
                <w:vertAlign w:val="baseline"/>
                <w:lang w:val="en-US" w:eastAsia="zh-CN"/>
              </w:rPr>
              <w:t>2.主动为企服务办实事。</w:t>
            </w:r>
            <w:r>
              <w:rPr>
                <w:rFonts w:hint="eastAsia" w:ascii="Times New Roman" w:hAnsi="Times New Roman" w:eastAsia="仿宋_GB2312" w:cs="Times New Roman"/>
                <w:color w:val="auto"/>
                <w:kern w:val="2"/>
                <w:sz w:val="32"/>
                <w:szCs w:val="32"/>
                <w:highlight w:val="none"/>
                <w:u w:val="none"/>
                <w:lang w:val="en-US" w:eastAsia="zh-CN" w:bidi="ar-SA"/>
              </w:rPr>
              <w:t>常态化跟进协调外国商协会及外资企业反映的诉求、困难与问题，推动事项落地解决。</w:t>
            </w:r>
          </w:p>
          <w:p>
            <w:pPr>
              <w:pStyle w:val="2"/>
              <w:ind w:left="0" w:leftChars="0" w:firstLine="0" w:firstLineChars="0"/>
              <w:rPr>
                <w:rFonts w:hint="eastAsia" w:ascii="Times New Roman" w:hAnsi="Times New Roman" w:eastAsia="仿宋_GB2312" w:cs="Times New Roman"/>
                <w:b w:val="0"/>
                <w:bCs w:val="0"/>
                <w:kern w:val="2"/>
                <w:sz w:val="32"/>
                <w:szCs w:val="32"/>
                <w:vertAlign w:val="baseline"/>
                <w:lang w:val="en-US" w:eastAsia="zh-CN" w:bidi="ar-SA"/>
              </w:rPr>
            </w:pPr>
            <w:r>
              <w:rPr>
                <w:rFonts w:hint="eastAsia" w:ascii="Times New Roman" w:hAnsi="Times New Roman" w:eastAsia="仿宋_GB2312" w:cs="Times New Roman"/>
                <w:b/>
                <w:bCs/>
                <w:kern w:val="2"/>
                <w:sz w:val="32"/>
                <w:szCs w:val="32"/>
                <w:vertAlign w:val="baseline"/>
                <w:lang w:val="en-US" w:eastAsia="zh-CN" w:bidi="ar-SA"/>
              </w:rPr>
              <w:t>3.做好外资政策宣传解读。</w:t>
            </w:r>
            <w:r>
              <w:rPr>
                <w:rFonts w:hint="eastAsia" w:ascii="Times New Roman" w:hAnsi="Times New Roman" w:eastAsia="仿宋_GB2312" w:cs="Times New Roman"/>
                <w:b w:val="0"/>
                <w:bCs w:val="0"/>
                <w:kern w:val="2"/>
                <w:sz w:val="32"/>
                <w:szCs w:val="32"/>
                <w:vertAlign w:val="baseline"/>
                <w:lang w:val="en-US" w:eastAsia="zh-CN" w:bidi="ar-SA"/>
              </w:rPr>
              <w:t>通过线上线下多渠道，及时开展最新外资政策宣讲与解读，有效覆盖跨国企业及侨资企业。</w:t>
            </w:r>
          </w:p>
          <w:p>
            <w:pPr>
              <w:pStyle w:val="2"/>
              <w:ind w:left="0" w:leftChars="0" w:firstLine="0" w:firstLineChars="0"/>
              <w:rPr>
                <w:rFonts w:hint="default" w:ascii="Times New Roman" w:hAnsi="Times New Roman" w:eastAsia="仿宋_GB2312" w:cs="Times New Roman"/>
                <w:b w:val="0"/>
                <w:bCs w:val="0"/>
                <w:kern w:val="2"/>
                <w:sz w:val="32"/>
                <w:szCs w:val="32"/>
                <w:vertAlign w:val="baseline"/>
                <w:lang w:val="en-US" w:eastAsia="zh-CN" w:bidi="ar-SA"/>
              </w:rPr>
            </w:pPr>
            <w:r>
              <w:rPr>
                <w:rFonts w:hint="eastAsia" w:ascii="Times New Roman" w:hAnsi="Times New Roman" w:eastAsia="仿宋_GB2312" w:cs="Times New Roman"/>
                <w:b/>
                <w:bCs/>
                <w:kern w:val="2"/>
                <w:sz w:val="32"/>
                <w:szCs w:val="32"/>
                <w:vertAlign w:val="baseline"/>
                <w:lang w:val="en-US" w:eastAsia="zh-CN" w:bidi="ar-SA"/>
              </w:rPr>
              <w:t>4.落实外商投资权益保护机制。</w:t>
            </w:r>
            <w:r>
              <w:rPr>
                <w:rFonts w:hint="eastAsia" w:ascii="Times New Roman" w:hAnsi="Times New Roman" w:eastAsia="仿宋_GB2312" w:cs="Times New Roman"/>
                <w:b w:val="0"/>
                <w:bCs w:val="0"/>
                <w:kern w:val="2"/>
                <w:sz w:val="32"/>
                <w:szCs w:val="32"/>
                <w:vertAlign w:val="baseline"/>
                <w:lang w:val="en-US" w:eastAsia="zh-CN" w:bidi="ar-SA"/>
              </w:rPr>
              <w:t>认真受理外商投资企业投诉事项，深入实施《汕头经济特区华人华侨投资促进条例》，依法依规帮助外资企业解决问题，稳定企业在汕投资发展信心。</w:t>
            </w:r>
          </w:p>
        </w:tc>
      </w:tr>
    </w:tbl>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eastAsia" w:ascii="黑体" w:hAnsi="黑体" w:eastAsia="黑体" w:cs="黑体"/>
          <w:color w:val="auto"/>
          <w:sz w:val="36"/>
          <w:szCs w:val="36"/>
          <w:highlight w:val="none"/>
          <w:u w:val="none"/>
          <w:lang w:val="en-US" w:eastAsia="zh-CN"/>
        </w:rPr>
      </w:pPr>
      <w:bookmarkStart w:id="42" w:name="_Toc543419342"/>
      <w:r>
        <w:rPr>
          <w:rFonts w:hint="eastAsia" w:ascii="黑体" w:hAnsi="黑体" w:eastAsia="黑体" w:cs="黑体"/>
          <w:color w:val="auto"/>
          <w:sz w:val="36"/>
          <w:szCs w:val="36"/>
          <w:highlight w:val="none"/>
          <w:u w:val="none"/>
          <w:lang w:val="en-US" w:eastAsia="zh-CN"/>
        </w:rPr>
        <w:t>第六章  提升境外经贸交流合作新高度</w:t>
      </w:r>
      <w:bookmarkEnd w:id="42"/>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both"/>
        <w:textAlignment w:val="auto"/>
        <w:rPr>
          <w:rFonts w:hint="eastAsia" w:ascii="仿宋_GB2312" w:hAnsi="仿宋_GB2312" w:eastAsia="仿宋_GB2312" w:cs="仿宋_GB2312"/>
          <w:b w:val="0"/>
          <w:bCs w:val="0"/>
          <w:color w:val="auto"/>
          <w:kern w:val="2"/>
          <w:sz w:val="32"/>
          <w:szCs w:val="32"/>
          <w:highlight w:val="none"/>
          <w:u w:val="none"/>
          <w:shd w:val="clear" w:color="auto" w:fill="FFFFFF"/>
          <w:lang w:val="en-US" w:eastAsia="zh-CN" w:bidi="ar-SA"/>
        </w:rPr>
      </w:pPr>
      <w:r>
        <w:rPr>
          <w:rFonts w:hint="eastAsia" w:ascii="仿宋_GB2312" w:hAnsi="仿宋_GB2312" w:eastAsia="仿宋_GB2312" w:cs="仿宋_GB2312"/>
          <w:b w:val="0"/>
          <w:bCs w:val="0"/>
          <w:color w:val="auto"/>
          <w:kern w:val="2"/>
          <w:sz w:val="32"/>
          <w:szCs w:val="32"/>
          <w:highlight w:val="none"/>
          <w:u w:val="none"/>
          <w:shd w:val="clear" w:color="auto" w:fill="FFFFFF"/>
          <w:lang w:val="en-US" w:eastAsia="zh-CN" w:bidi="ar-SA"/>
        </w:rPr>
        <w:t>更高水平“走出去”，推进贸易投资一体化发展，主动对接服务共建“一带一路”，完善海外综合服务体系，有序引导本土优势产业链供应链合理跨境布局。</w:t>
      </w:r>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3" w:firstLineChars="200"/>
        <w:jc w:val="both"/>
        <w:textAlignment w:val="auto"/>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pPr>
      <w:r>
        <w:rPr>
          <w:rFonts w:hint="eastAsia" w:ascii="仿宋_GB2312" w:hAnsi="仿宋_GB2312" w:eastAsia="仿宋_GB2312" w:cs="仿宋_GB2312"/>
          <w:b/>
          <w:bCs/>
          <w:color w:val="auto"/>
          <w:kern w:val="2"/>
          <w:sz w:val="32"/>
          <w:szCs w:val="32"/>
          <w:highlight w:val="none"/>
          <w:u w:val="none"/>
          <w:shd w:val="clear" w:color="auto" w:fill="FFFFFF"/>
          <w:lang w:val="en-US" w:eastAsia="zh-CN" w:bidi="ar-SA"/>
        </w:rPr>
        <w:t>参与境外经贸交流合作。</w:t>
      </w:r>
      <w:r>
        <w:rPr>
          <w:rFonts w:hint="eastAsia" w:ascii="仿宋_GB2312" w:hAnsi="仿宋_GB2312" w:eastAsia="仿宋_GB2312" w:cs="仿宋_GB2312"/>
          <w:b w:val="0"/>
          <w:bCs w:val="0"/>
          <w:color w:val="auto"/>
          <w:kern w:val="2"/>
          <w:sz w:val="32"/>
          <w:szCs w:val="32"/>
          <w:u w:val="none"/>
          <w:lang w:val="en-US" w:eastAsia="zh-CN" w:bidi="ar-SA"/>
        </w:rPr>
        <w:t>探索多元化、多层次国际合作模式，更好发挥侨乡优势，以东盟和“一带一路”沿线国家和地区为重点，用好海外侨商资源，搭建贸易网络。扩大贸易、投资等领域开放合作，组织企业参加</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各类经贸交流会、产业对接会、投资洽谈会等，支持企业拓展多元化海外市场。</w:t>
      </w:r>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3" w:firstLineChars="200"/>
        <w:jc w:val="both"/>
        <w:textAlignment w:val="auto"/>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highlight w:val="none"/>
          <w:u w:val="none"/>
          <w:shd w:val="clear" w:color="auto" w:fill="FFFFFF"/>
          <w:lang w:val="en-US" w:eastAsia="zh-CN" w:bidi="ar-SA"/>
        </w:rPr>
        <w:t>推动优势产业“走出去”有序布局。</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推进投资贸易一体化发展，创新“产业链协同出海”模式，引导</w:t>
      </w:r>
      <w:r>
        <w:rPr>
          <w:rFonts w:hint="eastAsia" w:eastAsia="仿宋_GB2312" w:cs="Times New Roman"/>
          <w:b w:val="0"/>
          <w:bCs w:val="0"/>
          <w:color w:val="auto"/>
          <w:kern w:val="2"/>
          <w:sz w:val="32"/>
          <w:szCs w:val="24"/>
          <w:highlight w:val="none"/>
          <w:u w:val="none"/>
          <w:lang w:eastAsia="zh-CN" w:bidi="ar-SA"/>
        </w:rPr>
        <w:t>纺织服装、玩具、食品等</w:t>
      </w:r>
      <w:r>
        <w:rPr>
          <w:rFonts w:hint="default" w:ascii="Times New Roman" w:hAnsi="Times New Roman" w:eastAsia="仿宋_GB2312" w:cs="Times New Roman"/>
          <w:b w:val="0"/>
          <w:bCs w:val="0"/>
          <w:color w:val="auto"/>
          <w:kern w:val="2"/>
          <w:sz w:val="32"/>
          <w:szCs w:val="24"/>
          <w:highlight w:val="none"/>
          <w:u w:val="none"/>
          <w:lang w:eastAsia="zh-CN" w:bidi="ar-SA"/>
        </w:rPr>
        <w:t>优势产业</w:t>
      </w:r>
      <w:r>
        <w:rPr>
          <w:rFonts w:hint="eastAsia" w:eastAsia="仿宋_GB2312" w:cs="Times New Roman"/>
          <w:b w:val="0"/>
          <w:bCs w:val="0"/>
          <w:color w:val="auto"/>
          <w:kern w:val="2"/>
          <w:sz w:val="32"/>
          <w:szCs w:val="24"/>
          <w:highlight w:val="none"/>
          <w:u w:val="none"/>
          <w:lang w:eastAsia="zh-CN" w:bidi="ar-SA"/>
        </w:rPr>
        <w:t>借助</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潮商网络实现</w:t>
      </w:r>
      <w:r>
        <w:rPr>
          <w:rFonts w:hint="eastAsia" w:eastAsia="仿宋_GB2312" w:cs="Times New Roman"/>
          <w:b w:val="0"/>
          <w:bCs w:val="0"/>
          <w:color w:val="auto"/>
          <w:kern w:val="2"/>
          <w:sz w:val="32"/>
          <w:szCs w:val="24"/>
          <w:highlight w:val="none"/>
          <w:u w:val="none"/>
          <w:lang w:eastAsia="zh-CN" w:bidi="ar-SA"/>
        </w:rPr>
        <w:t>跨境布局，</w:t>
      </w:r>
      <w:r>
        <w:rPr>
          <w:rFonts w:hint="eastAsia" w:ascii="仿宋_GB2312" w:hAnsi="仿宋_GB2312" w:eastAsia="仿宋_GB2312" w:cs="仿宋_GB2312"/>
          <w:color w:val="auto"/>
          <w:sz w:val="32"/>
          <w:szCs w:val="32"/>
          <w:highlight w:val="none"/>
          <w:u w:val="none"/>
          <w:lang w:eastAsia="zh-CN"/>
        </w:rPr>
        <w:t>通过设立海外分销中心、展示中心、海外仓等方式，逐步建立完善跨国营销网络和跨境物流服务体系。</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鼓励龙头企业拓展境外生产基地、研发中心，</w:t>
      </w:r>
      <w:r>
        <w:rPr>
          <w:rFonts w:hint="eastAsia" w:ascii="Times New Roman" w:hAnsi="Times New Roman" w:eastAsia="仿宋_GB2312" w:cs="Times New Roman"/>
          <w:color w:val="auto"/>
          <w:kern w:val="2"/>
          <w:sz w:val="32"/>
          <w:szCs w:val="32"/>
          <w:u w:val="none"/>
          <w:lang w:val="en-US" w:eastAsia="zh-CN" w:bidi="ar-SA"/>
        </w:rPr>
        <w:t>参与</w:t>
      </w:r>
      <w:r>
        <w:rPr>
          <w:rFonts w:hint="eastAsia" w:eastAsia="仿宋_GB2312" w:cs="Times New Roman"/>
          <w:color w:val="auto"/>
          <w:kern w:val="2"/>
          <w:sz w:val="32"/>
          <w:szCs w:val="32"/>
          <w:u w:val="none"/>
          <w:lang w:val="en-US" w:eastAsia="zh-CN" w:bidi="ar-SA"/>
        </w:rPr>
        <w:t>省级境外</w:t>
      </w:r>
      <w:r>
        <w:rPr>
          <w:rFonts w:hint="eastAsia" w:ascii="Times New Roman" w:hAnsi="Times New Roman" w:eastAsia="仿宋_GB2312" w:cs="Times New Roman"/>
          <w:color w:val="auto"/>
          <w:kern w:val="2"/>
          <w:sz w:val="32"/>
          <w:szCs w:val="32"/>
          <w:u w:val="none"/>
          <w:lang w:val="en-US" w:eastAsia="zh-CN" w:bidi="ar-SA"/>
        </w:rPr>
        <w:t>经贸合作区等贸易平台建设</w:t>
      </w:r>
      <w:r>
        <w:rPr>
          <w:rFonts w:hint="eastAsia" w:eastAsia="仿宋_GB2312" w:cs="Times New Roman"/>
          <w:color w:val="auto"/>
          <w:kern w:val="2"/>
          <w:sz w:val="32"/>
          <w:szCs w:val="32"/>
          <w:u w:val="none"/>
          <w:lang w:val="en-US" w:eastAsia="zh-CN" w:bidi="ar-SA"/>
        </w:rPr>
        <w:t>。依托临港经济区与东盟国家中优势互补效应明显的产业园区开展合作交流，扩大与东盟国家在产业链分工、原材料供应和技术转移等领域合作。</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鼓励</w:t>
      </w:r>
      <w:r>
        <w:rPr>
          <w:rFonts w:hint="eastAsia" w:ascii="仿宋_GB2312" w:hAnsi="仿宋_GB2312" w:eastAsia="仿宋_GB2312" w:cs="仿宋_GB2312"/>
          <w:b w:val="0"/>
          <w:bCs w:val="0"/>
          <w:i w:val="0"/>
          <w:iCs w:val="0"/>
          <w:caps w:val="0"/>
          <w:color w:val="auto"/>
          <w:spacing w:val="0"/>
          <w:sz w:val="32"/>
          <w:szCs w:val="32"/>
          <w:highlight w:val="none"/>
          <w:u w:val="none"/>
          <w:shd w:val="clear" w:color="auto" w:fill="FFFFFF"/>
          <w:lang w:val="en-US" w:eastAsia="zh-CN"/>
        </w:rPr>
        <w:t>新能源、数</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字经济、生物医药等新兴领域</w:t>
      </w:r>
      <w:r>
        <w:rPr>
          <w:rFonts w:hint="eastAsia" w:ascii="仿宋_GB2312" w:hAnsi="仿宋_GB2312" w:eastAsia="仿宋_GB2312" w:cs="仿宋_GB2312"/>
          <w:b w:val="0"/>
          <w:bCs w:val="0"/>
          <w:color w:val="auto"/>
          <w:sz w:val="32"/>
          <w:szCs w:val="32"/>
          <w:highlight w:val="none"/>
          <w:u w:val="none"/>
        </w:rPr>
        <w:t>企业</w:t>
      </w:r>
      <w:r>
        <w:rPr>
          <w:rFonts w:hint="eastAsia" w:ascii="仿宋_GB2312" w:hAnsi="仿宋_GB2312" w:eastAsia="仿宋_GB2312" w:cs="仿宋_GB2312"/>
          <w:b w:val="0"/>
          <w:bCs w:val="0"/>
          <w:color w:val="auto"/>
          <w:sz w:val="32"/>
          <w:szCs w:val="32"/>
          <w:highlight w:val="none"/>
          <w:u w:val="none"/>
          <w:lang w:eastAsia="zh-CN"/>
        </w:rPr>
        <w:t>“出海”</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参与国际供应链体系建设，</w:t>
      </w:r>
      <w:r>
        <w:rPr>
          <w:rFonts w:hint="eastAsia" w:eastAsia="仿宋_GB2312" w:cs="Times New Roman"/>
          <w:color w:val="auto"/>
          <w:kern w:val="2"/>
          <w:sz w:val="32"/>
          <w:szCs w:val="32"/>
          <w:u w:val="none"/>
          <w:lang w:val="en-US" w:eastAsia="zh-CN" w:bidi="ar-SA"/>
        </w:rPr>
        <w:t>支持有条件的企业通过棕地投资、投资并购、技术合作等方式，获取海外资源、技术、品牌和市场，</w:t>
      </w:r>
      <w:r>
        <w:rPr>
          <w:rFonts w:hint="eastAsia" w:ascii="Times New Roman" w:hAnsi="Times New Roman" w:eastAsia="仿宋_GB2312" w:cs="Times New Roman"/>
          <w:color w:val="auto"/>
          <w:kern w:val="2"/>
          <w:sz w:val="32"/>
          <w:szCs w:val="32"/>
          <w:u w:val="none"/>
          <w:lang w:val="en-US" w:eastAsia="zh-CN" w:bidi="ar-SA"/>
        </w:rPr>
        <w:t>实现全球资源优化配置</w:t>
      </w:r>
      <w:r>
        <w:rPr>
          <w:rFonts w:hint="eastAsia" w:ascii="仿宋_GB2312" w:hAnsi="仿宋_GB2312" w:eastAsia="仿宋_GB2312" w:cs="仿宋_GB2312"/>
          <w:b w:val="0"/>
          <w:bCs w:val="0"/>
          <w:color w:val="auto"/>
          <w:sz w:val="32"/>
          <w:szCs w:val="32"/>
          <w:highlight w:val="none"/>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3" w:firstLineChars="200"/>
        <w:jc w:val="both"/>
        <w:textAlignment w:val="auto"/>
        <w:rPr>
          <w:rFonts w:hint="eastAsia" w:ascii="仿宋_GB2312" w:hAnsi="仿宋_GB2312" w:eastAsia="仿宋_GB2312" w:cs="仿宋_GB2312"/>
          <w:b w:val="0"/>
          <w:bCs w:val="0"/>
          <w:color w:val="auto"/>
          <w:kern w:val="2"/>
          <w:sz w:val="32"/>
          <w:szCs w:val="32"/>
          <w:highlight w:val="none"/>
          <w:u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highlight w:val="none"/>
          <w:u w:val="none"/>
          <w:shd w:val="clear" w:color="auto" w:fill="FFFFFF"/>
          <w:lang w:val="en-US" w:eastAsia="zh-CN" w:bidi="ar-SA"/>
        </w:rPr>
        <w:t>完善海外综合服务体系。</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坚持以备案制为主的境外投资管理方式，健全对外投资重大项目全链条监管体系。探索打造出海综合服务港，整合中信保、跨境律师事务所、跨境金融机构等资源，为企业提供知识产权布局、跨境金融服务、实时风险预警、法律纠纷应对等一体化服务。积极参与省级“千百十”综合服务项目，定期举办企业境外投资及涉外法律风险防控专题宣讲活动，指导企业加强合规体系建设，提升境外安全风险防范能力。</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eastAsia" w:ascii="黑体" w:hAnsi="黑体" w:eastAsia="黑体" w:cs="黑体"/>
          <w:color w:val="auto"/>
          <w:sz w:val="36"/>
          <w:szCs w:val="36"/>
          <w:highlight w:val="none"/>
          <w:u w:val="none"/>
          <w:lang w:val="en-US" w:eastAsia="zh-CN"/>
        </w:rPr>
      </w:pPr>
      <w:bookmarkStart w:id="43" w:name="_Toc223946126"/>
      <w:r>
        <w:rPr>
          <w:rFonts w:hint="eastAsia" w:ascii="黑体" w:hAnsi="黑体" w:eastAsia="黑体" w:cs="黑体"/>
          <w:color w:val="auto"/>
          <w:sz w:val="36"/>
          <w:szCs w:val="36"/>
          <w:highlight w:val="none"/>
          <w:u w:val="none"/>
          <w:lang w:val="en-US" w:eastAsia="zh-CN"/>
        </w:rPr>
        <w:t>第七章  促进高水平对外开放</w:t>
      </w:r>
      <w:bookmarkEnd w:id="43"/>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SA"/>
        </w:rPr>
      </w:pPr>
      <w:r>
        <w:rPr>
          <w:rFonts w:hint="default" w:ascii="Times New Roman" w:hAnsi="Times New Roman" w:eastAsia="仿宋_GB2312" w:cs="Times New Roman"/>
          <w:b w:val="0"/>
          <w:bCs w:val="0"/>
          <w:color w:val="auto"/>
          <w:kern w:val="2"/>
          <w:sz w:val="32"/>
          <w:szCs w:val="32"/>
          <w:u w:val="none"/>
          <w:lang w:val="en-US" w:eastAsia="zh-CN" w:bidi="ar-SA"/>
        </w:rPr>
        <w:t>以开放促改革促发展，</w:t>
      </w:r>
      <w:r>
        <w:rPr>
          <w:rFonts w:hint="eastAsia" w:eastAsia="仿宋_GB2312" w:cs="Times New Roman"/>
          <w:b w:val="0"/>
          <w:bCs w:val="0"/>
          <w:color w:val="auto"/>
          <w:kern w:val="2"/>
          <w:sz w:val="32"/>
          <w:szCs w:val="32"/>
          <w:u w:val="none"/>
          <w:lang w:val="en-US" w:eastAsia="zh-CN" w:bidi="ar-SA"/>
        </w:rPr>
        <w:t>聚焦提升通达能力，推动口岸对外开放达到新水平。</w:t>
      </w:r>
      <w:r>
        <w:rPr>
          <w:rFonts w:hint="default" w:ascii="Times New Roman" w:hAnsi="Times New Roman" w:eastAsia="仿宋_GB2312" w:cs="Times New Roman"/>
          <w:b w:val="0"/>
          <w:bCs w:val="0"/>
          <w:color w:val="auto"/>
          <w:kern w:val="2"/>
          <w:sz w:val="32"/>
          <w:szCs w:val="32"/>
          <w:u w:val="none"/>
          <w:lang w:val="en-US" w:eastAsia="zh-CN" w:bidi="ar-SA"/>
        </w:rPr>
        <w:t>推动投资、贸易、金融、创新等领域与国际规则更全面更深入更高水平对接，打造</w:t>
      </w:r>
      <w:r>
        <w:rPr>
          <w:rFonts w:hint="eastAsia" w:eastAsia="仿宋_GB2312" w:cs="Times New Roman"/>
          <w:b w:val="0"/>
          <w:bCs w:val="0"/>
          <w:color w:val="auto"/>
          <w:kern w:val="2"/>
          <w:sz w:val="32"/>
          <w:szCs w:val="32"/>
          <w:u w:val="none"/>
          <w:lang w:val="en-US" w:eastAsia="zh-CN" w:bidi="ar-SA"/>
        </w:rPr>
        <w:t>粤东地区</w:t>
      </w:r>
      <w:r>
        <w:rPr>
          <w:rFonts w:hint="default" w:ascii="Times New Roman" w:hAnsi="Times New Roman" w:eastAsia="仿宋_GB2312" w:cs="Times New Roman"/>
          <w:b w:val="0"/>
          <w:bCs w:val="0"/>
          <w:color w:val="auto"/>
          <w:kern w:val="2"/>
          <w:sz w:val="32"/>
          <w:szCs w:val="32"/>
          <w:u w:val="none"/>
          <w:lang w:val="en-US" w:eastAsia="zh-CN" w:bidi="ar-SA"/>
        </w:rPr>
        <w:t>开放型经济发展战略高地。</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44" w:name="_Toc836227209"/>
      <w:r>
        <w:rPr>
          <w:rFonts w:hint="eastAsia" w:ascii="楷体" w:hAnsi="楷体" w:eastAsia="楷体" w:cs="楷体"/>
          <w:b/>
          <w:bCs/>
          <w:color w:val="auto"/>
          <w:spacing w:val="0"/>
          <w:kern w:val="10"/>
          <w:sz w:val="32"/>
          <w:szCs w:val="32"/>
          <w:highlight w:val="none"/>
          <w:u w:val="none"/>
          <w:lang w:val="en-US" w:eastAsia="zh-CN" w:bidi="ar-SA"/>
        </w:rPr>
        <w:t>第一节  提升口岸开放水平</w:t>
      </w:r>
      <w:bookmarkEnd w:id="44"/>
    </w:p>
    <w:p>
      <w:pPr>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both"/>
        <w:textAlignment w:val="auto"/>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pPr>
      <w:r>
        <w:rPr>
          <w:rFonts w:hint="eastAsia" w:ascii="仿宋_GB2312" w:hAnsi="仿宋_GB2312" w:eastAsia="仿宋_GB2312" w:cs="仿宋_GB2312"/>
          <w:b/>
          <w:bCs/>
          <w:color w:val="auto"/>
          <w:kern w:val="2"/>
          <w:sz w:val="32"/>
          <w:szCs w:val="32"/>
          <w:u w:val="none"/>
          <w:lang w:val="en-US" w:eastAsia="zh-CN" w:bidi="ar-SA"/>
        </w:rPr>
        <w:t>打造东南沿海口岸物流枢纽。</w:t>
      </w:r>
      <w:r>
        <w:rPr>
          <w:rFonts w:hint="eastAsia" w:ascii="仿宋_GB2312" w:hAnsi="仿宋_GB2312" w:eastAsia="仿宋_GB2312" w:cs="仿宋_GB2312"/>
          <w:b w:val="0"/>
          <w:bCs w:val="0"/>
          <w:color w:val="auto"/>
          <w:kern w:val="2"/>
          <w:sz w:val="32"/>
          <w:szCs w:val="32"/>
          <w:u w:val="none"/>
          <w:lang w:val="en-US" w:eastAsia="zh-CN" w:bidi="ar-SA"/>
        </w:rPr>
        <w:t>优化提升省重点开放建设项目汕头港口岸广澳港区码头，</w:t>
      </w:r>
      <w:r>
        <w:rPr>
          <w:rFonts w:hint="eastAsia" w:ascii="Times New Roman" w:hAnsi="Times New Roman" w:eastAsia="仿宋_GB2312" w:cs="仿宋_GB2312"/>
          <w:color w:val="auto"/>
          <w:kern w:val="2"/>
          <w:sz w:val="32"/>
          <w:szCs w:val="32"/>
          <w:highlight w:val="none"/>
          <w:u w:val="none"/>
          <w:lang w:val="en-US" w:eastAsia="zh-CN" w:bidi="ar-SA"/>
        </w:rPr>
        <w:t>加快推进广澳港区（三期）工程建设和广澳港区疏港铁路建设，加快形成多式联运集疏网络</w:t>
      </w:r>
      <w:r>
        <w:rPr>
          <w:rFonts w:hint="eastAsia" w:eastAsia="仿宋_GB2312" w:cs="仿宋_GB2312"/>
          <w:color w:val="auto"/>
          <w:kern w:val="2"/>
          <w:sz w:val="32"/>
          <w:szCs w:val="32"/>
          <w:highlight w:val="none"/>
          <w:u w:val="none"/>
          <w:lang w:val="en-US" w:eastAsia="zh-CN" w:bidi="ar-SA"/>
        </w:rPr>
        <w:t>，提升互联互通水平。重点</w:t>
      </w:r>
      <w:r>
        <w:rPr>
          <w:rFonts w:hint="eastAsia" w:ascii="Times New Roman" w:hAnsi="Times New Roman" w:eastAsia="仿宋_GB2312" w:cs="仿宋_GB2312"/>
          <w:color w:val="auto"/>
          <w:kern w:val="2"/>
          <w:sz w:val="32"/>
          <w:szCs w:val="32"/>
          <w:highlight w:val="none"/>
          <w:u w:val="none"/>
          <w:lang w:val="en-US" w:eastAsia="zh-CN" w:bidi="ar-SA"/>
        </w:rPr>
        <w:t>加密至东南亚、中东、欧洲等重点区域的远洋班轮航线，</w:t>
      </w:r>
      <w:r>
        <w:rPr>
          <w:rFonts w:hint="eastAsia" w:eastAsia="仿宋_GB2312" w:cs="仿宋_GB2312"/>
          <w:color w:val="auto"/>
          <w:kern w:val="2"/>
          <w:sz w:val="32"/>
          <w:szCs w:val="32"/>
          <w:highlight w:val="none"/>
          <w:u w:val="none"/>
          <w:lang w:val="en-US" w:eastAsia="zh-CN" w:bidi="ar-SA"/>
        </w:rPr>
        <w:t>更好发挥口岸辐射功能。</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强化口岸基础设施和查验监管设施建设和升级改造，完善广澳港区散杂货泊位功能，推进保税物流仓库建设，</w:t>
      </w:r>
      <w:r>
        <w:rPr>
          <w:rFonts w:hint="default" w:ascii="仿宋_GB2312" w:hAnsi="仿宋_GB2312" w:eastAsia="仿宋_GB2312" w:cs="仿宋_GB2312"/>
          <w:color w:val="auto"/>
          <w:kern w:val="2"/>
          <w:sz w:val="32"/>
          <w:szCs w:val="32"/>
          <w:highlight w:val="none"/>
          <w:u w:val="none"/>
          <w:shd w:val="clear" w:color="auto" w:fill="FFFFFF"/>
          <w:lang w:val="en-US" w:eastAsia="zh-CN" w:bidi="ar-SA"/>
        </w:rPr>
        <w:t>提升港区综合承载能力和运作效率</w:t>
      </w:r>
      <w:r>
        <w:rPr>
          <w:rFonts w:hint="eastAsia" w:ascii="仿宋_GB2312" w:hAnsi="仿宋_GB2312" w:eastAsia="仿宋_GB2312" w:cs="仿宋_GB2312"/>
          <w:b w:val="0"/>
          <w:bCs w:val="0"/>
          <w:i w:val="0"/>
          <w:iCs w:val="0"/>
          <w:caps w:val="0"/>
          <w:color w:val="auto"/>
          <w:spacing w:val="0"/>
          <w:kern w:val="2"/>
          <w:sz w:val="32"/>
          <w:szCs w:val="32"/>
          <w:highlight w:val="none"/>
          <w:u w:val="none"/>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both"/>
        <w:textAlignment w:val="auto"/>
        <w:rPr>
          <w:rFonts w:hint="eastAsia"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b/>
          <w:bCs/>
          <w:color w:val="auto"/>
          <w:kern w:val="2"/>
          <w:sz w:val="32"/>
          <w:szCs w:val="32"/>
          <w:u w:val="none"/>
          <w:lang w:val="en-US" w:eastAsia="zh-CN" w:bidi="ar-SA"/>
        </w:rPr>
        <w:t>推进智慧口岸建设</w:t>
      </w:r>
      <w:r>
        <w:rPr>
          <w:rFonts w:hint="eastAsia" w:eastAsia="仿宋_GB2312" w:cs="Times New Roman"/>
          <w:b/>
          <w:bCs/>
          <w:color w:val="auto"/>
          <w:kern w:val="2"/>
          <w:sz w:val="32"/>
          <w:szCs w:val="32"/>
          <w:u w:val="none"/>
          <w:lang w:val="en-US" w:eastAsia="zh-CN" w:bidi="ar-SA"/>
        </w:rPr>
        <w:t>。</w:t>
      </w:r>
      <w:r>
        <w:rPr>
          <w:rFonts w:hint="eastAsia" w:ascii="仿宋_GB2312" w:hAnsi="仿宋_GB2312" w:eastAsia="仿宋_GB2312" w:cs="仿宋_GB2312"/>
          <w:i w:val="0"/>
          <w:iCs w:val="0"/>
          <w:caps w:val="0"/>
          <w:color w:val="auto"/>
          <w:spacing w:val="0"/>
          <w:kern w:val="2"/>
          <w:sz w:val="32"/>
          <w:szCs w:val="32"/>
          <w:highlight w:val="none"/>
          <w:u w:val="none"/>
          <w:shd w:val="clear" w:color="auto" w:fill="FFFFFF"/>
          <w:lang w:val="en-US" w:eastAsia="zh-CN" w:bidi="ar-SA"/>
        </w:rPr>
        <w:t>拓展提升口岸物流协同平台功能，丰富“单一窗口”地方特色应用，深化“通关+物流”“外贸+金融”功能建设。开发建设汕头智慧口岸综合管理服务平台，整合海关、海事、边检等部门监管数据，构建“一单制”通关服务模式，</w:t>
      </w:r>
      <w:r>
        <w:rPr>
          <w:rFonts w:hint="eastAsia" w:ascii="Times New Roman" w:hAnsi="Times New Roman" w:eastAsia="仿宋_GB2312" w:cs="Times New Roman"/>
          <w:color w:val="auto"/>
          <w:kern w:val="2"/>
          <w:sz w:val="32"/>
          <w:szCs w:val="32"/>
          <w:u w:val="none"/>
          <w:lang w:val="en-US" w:eastAsia="zh-CN" w:bidi="ar-SA"/>
        </w:rPr>
        <w:t>逐步实现口岸作业全过程智能化管理</w:t>
      </w:r>
      <w:r>
        <w:rPr>
          <w:rFonts w:hint="eastAsia" w:eastAsia="仿宋_GB2312" w:cs="Times New Roman"/>
          <w:color w:val="auto"/>
          <w:kern w:val="2"/>
          <w:sz w:val="32"/>
          <w:szCs w:val="32"/>
          <w:u w:val="none"/>
          <w:lang w:val="en-US" w:eastAsia="zh-CN" w:bidi="ar-SA"/>
        </w:rPr>
        <w:t>。探索</w:t>
      </w:r>
      <w:r>
        <w:rPr>
          <w:rFonts w:hint="eastAsia" w:ascii="Times New Roman" w:hAnsi="Times New Roman" w:eastAsia="仿宋_GB2312" w:cs="Times New Roman"/>
          <w:color w:val="auto"/>
          <w:kern w:val="2"/>
          <w:sz w:val="32"/>
          <w:szCs w:val="32"/>
          <w:u w:val="none"/>
          <w:lang w:val="en-US" w:eastAsia="zh-CN" w:bidi="ar-SA"/>
        </w:rPr>
        <w:t>部署无人集装箱卡车、智能查验机器人等智能设备，</w:t>
      </w:r>
      <w:r>
        <w:rPr>
          <w:rFonts w:hint="eastAsia" w:eastAsia="仿宋_GB2312" w:cs="Times New Roman"/>
          <w:color w:val="auto"/>
          <w:kern w:val="2"/>
          <w:sz w:val="32"/>
          <w:szCs w:val="32"/>
          <w:u w:val="none"/>
          <w:lang w:val="en-US" w:eastAsia="zh-CN" w:bidi="ar-SA"/>
        </w:rPr>
        <w:t>持续</w:t>
      </w:r>
      <w:r>
        <w:rPr>
          <w:rFonts w:hint="eastAsia" w:ascii="Times New Roman" w:hAnsi="Times New Roman" w:eastAsia="仿宋_GB2312" w:cs="Times New Roman"/>
          <w:color w:val="auto"/>
          <w:kern w:val="2"/>
          <w:sz w:val="32"/>
          <w:szCs w:val="32"/>
          <w:u w:val="none"/>
          <w:lang w:val="en-US" w:eastAsia="zh-CN" w:bidi="ar-SA"/>
        </w:rPr>
        <w:t>提升口岸设施设备智能化、运行管理数字化</w:t>
      </w:r>
      <w:r>
        <w:rPr>
          <w:rFonts w:hint="eastAsia" w:eastAsia="仿宋_GB2312" w:cs="Times New Roman"/>
          <w:color w:val="auto"/>
          <w:kern w:val="2"/>
          <w:sz w:val="32"/>
          <w:szCs w:val="32"/>
          <w:u w:val="none"/>
          <w:lang w:val="en-US" w:eastAsia="zh-CN" w:bidi="ar-SA"/>
        </w:rPr>
        <w:t>、</w:t>
      </w:r>
      <w:r>
        <w:rPr>
          <w:rFonts w:hint="eastAsia" w:ascii="Times New Roman" w:hAnsi="Times New Roman" w:eastAsia="仿宋_GB2312" w:cs="Times New Roman"/>
          <w:color w:val="auto"/>
          <w:kern w:val="2"/>
          <w:sz w:val="32"/>
          <w:szCs w:val="32"/>
          <w:u w:val="none"/>
          <w:lang w:val="en-US" w:eastAsia="zh-CN" w:bidi="ar-SA"/>
        </w:rPr>
        <w:t>协同监管精准化水平。</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default" w:ascii="楷体" w:hAnsi="楷体" w:eastAsia="楷体" w:cs="楷体"/>
          <w:b/>
          <w:bCs/>
          <w:color w:val="auto"/>
          <w:spacing w:val="0"/>
          <w:kern w:val="10"/>
          <w:sz w:val="32"/>
          <w:szCs w:val="32"/>
          <w:highlight w:val="none"/>
          <w:u w:val="none"/>
          <w:lang w:val="en-US" w:eastAsia="zh-CN" w:bidi="ar-SA"/>
        </w:rPr>
      </w:pPr>
      <w:bookmarkStart w:id="45" w:name="_Toc1938706237"/>
      <w:r>
        <w:rPr>
          <w:rFonts w:hint="eastAsia" w:ascii="楷体" w:hAnsi="楷体" w:eastAsia="楷体" w:cs="楷体"/>
          <w:b/>
          <w:bCs/>
          <w:color w:val="auto"/>
          <w:spacing w:val="0"/>
          <w:kern w:val="10"/>
          <w:sz w:val="32"/>
          <w:szCs w:val="32"/>
          <w:highlight w:val="none"/>
          <w:u w:val="none"/>
          <w:lang w:val="en-US" w:eastAsia="zh-CN" w:bidi="ar-SA"/>
        </w:rPr>
        <w:t>第二节  深化制度型开放</w:t>
      </w:r>
      <w:bookmarkEnd w:id="45"/>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b/>
          <w:bCs/>
          <w:color w:val="auto"/>
          <w:kern w:val="2"/>
          <w:sz w:val="32"/>
          <w:szCs w:val="32"/>
          <w:u w:val="none"/>
          <w:lang w:val="en-US" w:eastAsia="zh-CN" w:bidi="ar-SA"/>
        </w:rPr>
        <w:t>塑造联动发展新优势。</w:t>
      </w:r>
      <w:r>
        <w:rPr>
          <w:rFonts w:hint="eastAsia" w:ascii="仿宋_GB2312" w:hAnsi="仿宋_GB2312" w:eastAsia="仿宋_GB2312" w:cs="仿宋_GB2312"/>
          <w:b w:val="0"/>
          <w:bCs w:val="0"/>
          <w:color w:val="auto"/>
          <w:kern w:val="2"/>
          <w:sz w:val="32"/>
          <w:szCs w:val="32"/>
          <w:u w:val="none"/>
          <w:lang w:val="en-US" w:eastAsia="zh-CN" w:bidi="ar-SA"/>
        </w:rPr>
        <w:t>深化广东自贸区汕头联动发展区建设，推动联动发展区系统化复制自贸试验区改革创新经验，</w:t>
      </w:r>
      <w:r>
        <w:rPr>
          <w:rFonts w:hint="eastAsia" w:ascii="Times New Roman" w:hAnsi="Times New Roman" w:eastAsia="仿宋_GB2312" w:cs="Times New Roman"/>
          <w:color w:val="auto"/>
          <w:sz w:val="32"/>
          <w:szCs w:val="32"/>
          <w:highlight w:val="none"/>
          <w:u w:val="none"/>
          <w:lang w:eastAsia="zh-CN"/>
        </w:rPr>
        <w:t>聚焦</w:t>
      </w:r>
      <w:r>
        <w:rPr>
          <w:rFonts w:hint="default" w:ascii="Times New Roman" w:hAnsi="Times New Roman" w:eastAsia="仿宋_GB2312" w:cs="Times New Roman"/>
          <w:color w:val="auto"/>
          <w:sz w:val="32"/>
          <w:szCs w:val="32"/>
          <w:highlight w:val="none"/>
          <w:u w:val="none"/>
          <w:lang w:eastAsia="zh-CN"/>
        </w:rPr>
        <w:t>核心产业</w:t>
      </w:r>
      <w:r>
        <w:rPr>
          <w:rFonts w:hint="eastAsia" w:ascii="Times New Roman" w:hAnsi="Times New Roman" w:eastAsia="仿宋_GB2312" w:cs="Times New Roman"/>
          <w:color w:val="auto"/>
          <w:sz w:val="32"/>
          <w:szCs w:val="32"/>
          <w:highlight w:val="none"/>
          <w:u w:val="none"/>
          <w:lang w:eastAsia="zh-CN"/>
        </w:rPr>
        <w:t>减税降费</w:t>
      </w:r>
      <w:r>
        <w:rPr>
          <w:rFonts w:hint="default" w:ascii="Times New Roman" w:hAnsi="Times New Roman" w:eastAsia="仿宋_GB2312" w:cs="Times New Roman"/>
          <w:color w:val="auto"/>
          <w:sz w:val="32"/>
          <w:szCs w:val="32"/>
          <w:highlight w:val="none"/>
          <w:u w:val="none"/>
          <w:lang w:eastAsia="zh-CN"/>
        </w:rPr>
        <w:t>、优化</w:t>
      </w:r>
      <w:r>
        <w:rPr>
          <w:rFonts w:hint="eastAsia" w:ascii="Times New Roman" w:hAnsi="Times New Roman" w:eastAsia="仿宋_GB2312" w:cs="Times New Roman"/>
          <w:color w:val="auto"/>
          <w:sz w:val="32"/>
          <w:szCs w:val="32"/>
          <w:highlight w:val="none"/>
          <w:u w:val="none"/>
          <w:lang w:eastAsia="zh-CN"/>
        </w:rPr>
        <w:t>跨境贸易和投融资便利化水平、推进金融</w:t>
      </w:r>
      <w:r>
        <w:rPr>
          <w:rFonts w:hint="eastAsia" w:eastAsia="仿宋_GB2312" w:cs="Times New Roman"/>
          <w:color w:val="auto"/>
          <w:sz w:val="32"/>
          <w:szCs w:val="32"/>
          <w:highlight w:val="none"/>
          <w:u w:val="none"/>
          <w:lang w:eastAsia="zh-CN"/>
        </w:rPr>
        <w:t>和法治</w:t>
      </w:r>
      <w:r>
        <w:rPr>
          <w:rFonts w:hint="default" w:ascii="Times New Roman" w:hAnsi="Times New Roman" w:eastAsia="仿宋_GB2312" w:cs="Times New Roman"/>
          <w:color w:val="auto"/>
          <w:sz w:val="32"/>
          <w:szCs w:val="32"/>
          <w:highlight w:val="none"/>
          <w:u w:val="none"/>
          <w:lang w:eastAsia="zh-CN"/>
        </w:rPr>
        <w:t>模式</w:t>
      </w:r>
      <w:r>
        <w:rPr>
          <w:rFonts w:hint="eastAsia" w:ascii="Times New Roman" w:hAnsi="Times New Roman" w:eastAsia="仿宋_GB2312" w:cs="Times New Roman"/>
          <w:color w:val="auto"/>
          <w:sz w:val="32"/>
          <w:szCs w:val="32"/>
          <w:highlight w:val="none"/>
          <w:u w:val="none"/>
          <w:lang w:eastAsia="zh-CN"/>
        </w:rPr>
        <w:t>创新</w:t>
      </w:r>
      <w:r>
        <w:rPr>
          <w:rFonts w:hint="default" w:ascii="Times New Roman" w:hAnsi="Times New Roman" w:eastAsia="仿宋_GB2312" w:cs="Times New Roman"/>
          <w:color w:val="auto"/>
          <w:sz w:val="32"/>
          <w:szCs w:val="32"/>
          <w:highlight w:val="none"/>
          <w:u w:val="none"/>
          <w:lang w:eastAsia="zh-CN"/>
        </w:rPr>
        <w:t>等方面</w:t>
      </w:r>
      <w:r>
        <w:rPr>
          <w:rFonts w:hint="eastAsia" w:ascii="Times New Roman" w:hAnsi="Times New Roman" w:eastAsia="仿宋_GB2312" w:cs="Times New Roman"/>
          <w:color w:val="auto"/>
          <w:sz w:val="32"/>
          <w:szCs w:val="32"/>
          <w:highlight w:val="none"/>
          <w:u w:val="none"/>
          <w:lang w:eastAsia="zh-CN"/>
        </w:rPr>
        <w:t>，争取广东自贸试验区部分权限赋予汕头联动发展区</w:t>
      </w:r>
      <w:r>
        <w:rPr>
          <w:rFonts w:hint="eastAsia" w:eastAsia="仿宋_GB2312" w:cs="Times New Roman"/>
          <w:color w:val="auto"/>
          <w:sz w:val="32"/>
          <w:szCs w:val="32"/>
          <w:highlight w:val="none"/>
          <w:u w:val="none"/>
          <w:lang w:eastAsia="zh-CN"/>
        </w:rPr>
        <w:t>，提升自主改革和创新发展能力</w:t>
      </w:r>
      <w:r>
        <w:rPr>
          <w:rFonts w:hint="eastAsia" w:ascii="仿宋_GB2312" w:hAnsi="仿宋_GB2312" w:eastAsia="仿宋_GB2312" w:cs="仿宋_GB2312"/>
          <w:color w:val="auto"/>
          <w:kern w:val="2"/>
          <w:sz w:val="32"/>
          <w:szCs w:val="32"/>
          <w:u w:val="none"/>
          <w:lang w:val="en-US" w:eastAsia="zh-CN" w:bidi="ar-SA"/>
        </w:rPr>
        <w:t>。加强与南沙、前海、横琴</w:t>
      </w:r>
      <w:r>
        <w:rPr>
          <w:rFonts w:hint="eastAsia" w:ascii="Times New Roman" w:hAnsi="Times New Roman" w:eastAsia="仿宋_GB2312" w:cs="Times New Roman"/>
          <w:color w:val="auto"/>
          <w:sz w:val="32"/>
          <w:szCs w:val="32"/>
          <w:highlight w:val="none"/>
          <w:u w:val="none"/>
          <w:lang w:eastAsia="zh-CN"/>
        </w:rPr>
        <w:t>等自贸试验区片区</w:t>
      </w:r>
      <w:r>
        <w:rPr>
          <w:rFonts w:hint="eastAsia" w:eastAsia="仿宋_GB2312" w:cs="Times New Roman"/>
          <w:color w:val="auto"/>
          <w:sz w:val="32"/>
          <w:szCs w:val="32"/>
          <w:highlight w:val="none"/>
          <w:u w:val="none"/>
          <w:lang w:eastAsia="zh-CN"/>
        </w:rPr>
        <w:t>在</w:t>
      </w:r>
      <w:r>
        <w:rPr>
          <w:rFonts w:hint="eastAsia" w:ascii="Times New Roman" w:hAnsi="Times New Roman" w:eastAsia="仿宋_GB2312" w:cs="Times New Roman"/>
          <w:color w:val="auto"/>
          <w:sz w:val="32"/>
          <w:szCs w:val="32"/>
          <w:highlight w:val="none"/>
          <w:u w:val="none"/>
          <w:lang w:eastAsia="zh-CN"/>
        </w:rPr>
        <w:t>制度、平台、产业、项目、人才等方面</w:t>
      </w:r>
      <w:r>
        <w:rPr>
          <w:rFonts w:hint="eastAsia" w:eastAsia="仿宋_GB2312" w:cs="Times New Roman"/>
          <w:color w:val="auto"/>
          <w:sz w:val="32"/>
          <w:szCs w:val="32"/>
          <w:highlight w:val="none"/>
          <w:u w:val="none"/>
          <w:lang w:eastAsia="zh-CN"/>
        </w:rPr>
        <w:t>联动</w:t>
      </w:r>
      <w:r>
        <w:rPr>
          <w:rFonts w:hint="eastAsia" w:ascii="Times New Roman" w:hAnsi="Times New Roman" w:eastAsia="仿宋_GB2312" w:cs="Times New Roman"/>
          <w:color w:val="auto"/>
          <w:sz w:val="32"/>
          <w:szCs w:val="32"/>
          <w:highlight w:val="none"/>
          <w:u w:val="none"/>
          <w:lang w:eastAsia="zh-CN"/>
        </w:rPr>
        <w:t>合作</w:t>
      </w:r>
      <w:r>
        <w:rPr>
          <w:rFonts w:hint="eastAsia" w:eastAsia="仿宋_GB2312" w:cs="Times New Roman"/>
          <w:color w:val="auto"/>
          <w:sz w:val="32"/>
          <w:szCs w:val="32"/>
          <w:highlight w:val="none"/>
          <w:u w:val="none"/>
          <w:lang w:eastAsia="zh-CN"/>
        </w:rPr>
        <w:t>。</w:t>
      </w:r>
      <w:r>
        <w:rPr>
          <w:rFonts w:hint="eastAsia" w:ascii="仿宋_GB2312" w:hAnsi="仿宋_GB2312" w:eastAsia="仿宋_GB2312" w:cs="仿宋_GB2312"/>
          <w:color w:val="auto"/>
          <w:kern w:val="2"/>
          <w:sz w:val="32"/>
          <w:szCs w:val="32"/>
          <w:u w:val="none"/>
          <w:lang w:val="en-US" w:eastAsia="zh-CN" w:bidi="ar-SA"/>
        </w:rPr>
        <w:t>强化成果转化应用，建立动态更新的制度创新案例库，</w:t>
      </w:r>
      <w:r>
        <w:rPr>
          <w:rFonts w:hint="eastAsia" w:ascii="Times New Roman" w:hAnsi="Times New Roman" w:eastAsia="仿宋_GB2312" w:cs="Times New Roman"/>
          <w:color w:val="auto"/>
          <w:sz w:val="32"/>
          <w:szCs w:val="32"/>
          <w:highlight w:val="none"/>
          <w:u w:val="none"/>
          <w:lang w:eastAsia="zh-CN"/>
        </w:rPr>
        <w:t>推动形成一批可复制、可推广的制度创新成果</w:t>
      </w:r>
      <w:r>
        <w:rPr>
          <w:rFonts w:hint="eastAsia"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eastAsia="zh-CN"/>
        </w:rPr>
        <w:t>打粤东制度创新高地。</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bCs/>
          <w:color w:val="auto"/>
          <w:kern w:val="2"/>
          <w:sz w:val="32"/>
          <w:szCs w:val="32"/>
          <w:u w:val="none"/>
          <w:lang w:val="en-US" w:eastAsia="zh-CN" w:bidi="ar-SA"/>
        </w:rPr>
        <w:t>扩大制度型对外开放。</w:t>
      </w:r>
      <w:r>
        <w:rPr>
          <w:rFonts w:hint="eastAsia" w:ascii="仿宋_GB2312" w:hAnsi="仿宋_GB2312" w:eastAsia="仿宋_GB2312" w:cs="仿宋_GB2312"/>
          <w:b w:val="0"/>
          <w:bCs w:val="0"/>
          <w:color w:val="auto"/>
          <w:kern w:val="2"/>
          <w:sz w:val="32"/>
          <w:szCs w:val="32"/>
          <w:u w:val="none"/>
          <w:lang w:val="en-US" w:eastAsia="zh-CN" w:bidi="ar-SA"/>
        </w:rPr>
        <w:t>深入实施联动发展区提升战略，加强改革整体谋划和系统集成。主动</w:t>
      </w:r>
      <w:r>
        <w:rPr>
          <w:rFonts w:hint="default"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对</w:t>
      </w: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接</w:t>
      </w:r>
      <w:r>
        <w:rPr>
          <w:rFonts w:hint="default" w:ascii="Times New Roman" w:hAnsi="Times New Roman" w:eastAsia="仿宋_GB2312" w:cs="Times New Roman"/>
          <w:b w:val="0"/>
          <w:bCs w:val="0"/>
          <w:i w:val="0"/>
          <w:iCs w:val="0"/>
          <w:caps w:val="0"/>
          <w:color w:val="auto"/>
          <w:spacing w:val="0"/>
          <w:kern w:val="2"/>
          <w:sz w:val="32"/>
          <w:szCs w:val="32"/>
          <w:u w:val="none"/>
          <w:shd w:val="clear" w:color="auto" w:fill="FFFFFF"/>
          <w:lang w:val="en-US" w:eastAsia="zh-CN" w:bidi="ar-SA"/>
        </w:rPr>
        <w:t>RCEP、CPTPP</w:t>
      </w:r>
      <w:r>
        <w:rPr>
          <w:rFonts w:hint="default"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等国际高标准经贸规则</w:t>
      </w: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积极争取在投资、贸易、金融等高水平开放方面实现规则、规制、管理、标准相通相容。发挥跨境电商综试区、综合保税区、广东自贸试验区汕头联动发展区、汕头临港经济区等高水平开放平台叠加优势，围绕促进华人华侨投资立法、深化跨境电商综合改革、用好汕头国际航行船舶保税加油许可权等中央文件支持事项，积极争取省层面政策支持及出台配套制度措施。</w:t>
      </w:r>
    </w:p>
    <w:p>
      <w:pPr>
        <w:pStyle w:val="2"/>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u w:val="none"/>
          <w:shd w:val="clear" w:color="auto" w:fill="FFFFFF"/>
          <w:lang w:val="en-US" w:eastAsia="zh-CN" w:bidi="ar-SA"/>
        </w:rPr>
        <w:t>推动投资贸易自由化便利化。</w:t>
      </w:r>
      <w:r>
        <w:rPr>
          <w:rFonts w:hint="eastAsia" w:ascii="仿宋_GB2312" w:hAnsi="仿宋_GB2312" w:eastAsia="仿宋_GB2312" w:cs="仿宋_GB2312"/>
          <w:b w:val="0"/>
          <w:bCs w:val="0"/>
          <w:color w:val="auto"/>
          <w:sz w:val="32"/>
          <w:szCs w:val="32"/>
          <w:u w:val="none"/>
          <w:shd w:val="clear" w:color="auto" w:fill="FFFFFF"/>
        </w:rPr>
        <w:t>紧抓省产业有序转移、深汕深度协作、建设临港经济区等机遇，</w:t>
      </w:r>
      <w:r>
        <w:rPr>
          <w:rFonts w:hint="eastAsia" w:ascii="仿宋_GB2312" w:hAnsi="仿宋_GB2312" w:eastAsia="仿宋_GB2312" w:cs="仿宋_GB2312"/>
          <w:b w:val="0"/>
          <w:bCs w:val="0"/>
          <w:color w:val="auto"/>
          <w:sz w:val="32"/>
          <w:szCs w:val="32"/>
          <w:u w:val="none"/>
          <w:shd w:val="clear" w:color="auto" w:fill="FFFFFF"/>
          <w:lang w:eastAsia="zh-CN"/>
        </w:rPr>
        <w:t>推动濠江临港片区</w:t>
      </w:r>
      <w:r>
        <w:rPr>
          <w:rFonts w:hint="eastAsia" w:ascii="仿宋_GB2312" w:hAnsi="仿宋_GB2312" w:eastAsia="仿宋_GB2312" w:cs="仿宋_GB2312"/>
          <w:b w:val="0"/>
          <w:bCs w:val="0"/>
          <w:color w:val="auto"/>
          <w:sz w:val="32"/>
          <w:szCs w:val="32"/>
          <w:u w:val="none"/>
          <w:shd w:val="clear" w:color="auto" w:fill="FFFFFF"/>
        </w:rPr>
        <w:t>依托平台优势开展精准招商，吸引优质企业和项目落地。</w:t>
      </w:r>
      <w:r>
        <w:rPr>
          <w:rFonts w:hint="eastAsia" w:ascii="仿宋_GB2312" w:hAnsi="仿宋_GB2312" w:eastAsia="仿宋_GB2312" w:cs="仿宋_GB2312"/>
          <w:b w:val="0"/>
          <w:bCs w:val="0"/>
          <w:color w:val="auto"/>
          <w:sz w:val="32"/>
          <w:szCs w:val="32"/>
          <w:u w:val="none"/>
          <w:shd w:val="clear" w:color="auto" w:fill="FFFFFF"/>
          <w:lang w:eastAsia="zh-CN"/>
        </w:rPr>
        <w:t>抢抓全市建设“数字经济特区”契机，支持华侨试验区争取建设数据自贸区，探索数据资产登记、评估、交易等相关环节创新，支持华侨试验区与前海、横琴</w:t>
      </w:r>
      <w:r>
        <w:rPr>
          <w:rFonts w:hint="eastAsia" w:ascii="仿宋_GB2312" w:hAnsi="仿宋_GB2312" w:eastAsia="仿宋_GB2312" w:cs="仿宋_GB2312"/>
          <w:color w:val="auto"/>
          <w:sz w:val="32"/>
          <w:szCs w:val="32"/>
          <w:u w:val="none"/>
          <w:shd w:val="clear" w:color="auto" w:fill="FFFFFF"/>
        </w:rPr>
        <w:t>推进跨境金融领域合作，先行先试发展面向全球华侨华人的特色金融。</w:t>
      </w: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依托综合保税区创新监管模式，开展保税检测业务，打造保税维修中心。推动跨境电商龙头企业及大型平台集聚，发展网购保税进口、零售出口、企业出口等多元贸易模式。</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eastAsia" w:ascii="黑体" w:hAnsi="黑体" w:eastAsia="黑体" w:cs="黑体"/>
          <w:color w:val="auto"/>
          <w:sz w:val="36"/>
          <w:szCs w:val="36"/>
          <w:highlight w:val="none"/>
          <w:u w:val="none"/>
          <w:lang w:val="en-US" w:eastAsia="zh-CN"/>
        </w:rPr>
      </w:pPr>
      <w:bookmarkStart w:id="46" w:name="_Toc565479225"/>
      <w:r>
        <w:rPr>
          <w:rFonts w:hint="eastAsia" w:ascii="黑体" w:hAnsi="黑体" w:eastAsia="黑体" w:cs="黑体"/>
          <w:color w:val="auto"/>
          <w:sz w:val="36"/>
          <w:szCs w:val="36"/>
          <w:highlight w:val="none"/>
          <w:u w:val="none"/>
          <w:lang w:val="en-US" w:eastAsia="zh-CN"/>
        </w:rPr>
        <w:t>第八章  统筹发展与安全</w:t>
      </w:r>
      <w:bookmarkEnd w:id="46"/>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47" w:name="_Toc1959317177"/>
      <w:r>
        <w:rPr>
          <w:rFonts w:hint="eastAsia" w:ascii="楷体" w:hAnsi="楷体" w:eastAsia="楷体" w:cs="楷体"/>
          <w:b/>
          <w:bCs/>
          <w:color w:val="auto"/>
          <w:spacing w:val="0"/>
          <w:kern w:val="10"/>
          <w:sz w:val="32"/>
          <w:szCs w:val="32"/>
          <w:highlight w:val="none"/>
          <w:u w:val="none"/>
          <w:lang w:val="en-US" w:eastAsia="zh-CN" w:bidi="ar-SA"/>
        </w:rPr>
        <w:t>第一节  保障国内市场安全稳定</w:t>
      </w:r>
      <w:bookmarkEnd w:id="47"/>
    </w:p>
    <w:p>
      <w:pPr>
        <w:pStyle w:val="2"/>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u w:val="none"/>
          <w:shd w:val="clear" w:color="auto" w:fill="FFFFFF"/>
          <w:lang w:val="en-US" w:eastAsia="zh-CN" w:bidi="ar-SA"/>
        </w:rPr>
        <w:t>健全生活必需品应急保供体系。</w:t>
      </w: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完善政企合作机制，督促与商务部门签订保供协议的大型商超、农贸产品、批发市场等履行应急保供责任，保障货源稳定。加强产销衔接，实现节假日或应急状态下生产企业按销售量增加备货。</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u w:val="none"/>
          <w:shd w:val="clear" w:color="auto" w:fill="FFFFFF"/>
          <w:lang w:val="en-US" w:eastAsia="zh-CN" w:bidi="ar-SA"/>
        </w:rPr>
        <w:t>做好商务领域安全生产工作。</w:t>
      </w: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用好商务系统安全生产风险隐患事项清单，提升重点行业领域隐患排查整治规范化建设，督促企业建立健全重大事故隐患自查自改常态化机制，提升风险防范能力。加强部门协同联动，完善联合督导检查、重大事故隐患排查整治、风险隐患线索移交等工作机制。</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default" w:ascii="楷体" w:hAnsi="楷体" w:eastAsia="楷体" w:cs="楷体"/>
          <w:b/>
          <w:bCs/>
          <w:color w:val="auto"/>
          <w:spacing w:val="0"/>
          <w:kern w:val="10"/>
          <w:sz w:val="32"/>
          <w:szCs w:val="32"/>
          <w:highlight w:val="none"/>
          <w:u w:val="none"/>
          <w:lang w:val="en-US" w:eastAsia="zh-CN" w:bidi="ar-SA"/>
        </w:rPr>
      </w:pPr>
      <w:bookmarkStart w:id="48" w:name="_Toc1774395696"/>
      <w:r>
        <w:rPr>
          <w:rFonts w:hint="eastAsia" w:ascii="楷体" w:hAnsi="楷体" w:eastAsia="楷体" w:cs="楷体"/>
          <w:b/>
          <w:bCs/>
          <w:color w:val="auto"/>
          <w:spacing w:val="0"/>
          <w:kern w:val="10"/>
          <w:sz w:val="32"/>
          <w:szCs w:val="32"/>
          <w:highlight w:val="none"/>
          <w:u w:val="none"/>
          <w:lang w:val="en-US" w:eastAsia="zh-CN" w:bidi="ar-SA"/>
        </w:rPr>
        <w:t>第二节  防范应对国际经贸风险</w:t>
      </w:r>
      <w:bookmarkEnd w:id="48"/>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default"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u w:val="none"/>
          <w:shd w:val="clear" w:color="auto" w:fill="FFFFFF"/>
          <w:lang w:val="en-US" w:eastAsia="zh-CN" w:bidi="ar-SA"/>
        </w:rPr>
        <w:t>建强贸易救济工作体系。</w:t>
      </w: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常态化开展风险预警和贸易规则培训，统筹预警、法律、技术援助资源，推动形成协同高效、规范化制度化的工作体系。抓好贸易摩擦案件应对，加大对企业应对贸易摩擦法律服务的支持力度，帮助企业充分运用贸易组织规则积极应诉。</w:t>
      </w:r>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u w:val="none"/>
          <w:shd w:val="clear" w:color="auto" w:fill="FFFFFF"/>
          <w:lang w:val="en-US" w:eastAsia="zh-CN" w:bidi="ar-SA"/>
        </w:rPr>
        <w:t>加强涉外法律服务。</w:t>
      </w: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协同支持企业防范应对国际贸易投资风险，搭建涉外法律服务供需对接平台，办好全市商务法律服务月系列活动，指导企业加强海外合规经营管理。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firstLine="0" w:firstLineChars="0"/>
        <w:jc w:val="center"/>
        <w:textAlignment w:val="auto"/>
        <w:outlineLvl w:val="0"/>
        <w:rPr>
          <w:rFonts w:hint="default" w:ascii="黑体" w:hAnsi="黑体" w:eastAsia="黑体" w:cs="黑体"/>
          <w:color w:val="auto"/>
          <w:sz w:val="36"/>
          <w:szCs w:val="36"/>
          <w:highlight w:val="none"/>
          <w:u w:val="none"/>
          <w:lang w:val="en-US" w:eastAsia="zh-CN"/>
        </w:rPr>
      </w:pPr>
      <w:bookmarkStart w:id="49" w:name="_Toc2067734778"/>
      <w:r>
        <w:rPr>
          <w:rFonts w:hint="eastAsia" w:ascii="黑体" w:hAnsi="黑体" w:eastAsia="黑体" w:cs="黑体"/>
          <w:color w:val="auto"/>
          <w:sz w:val="36"/>
          <w:szCs w:val="36"/>
          <w:highlight w:val="none"/>
          <w:u w:val="none"/>
          <w:lang w:val="en-US" w:eastAsia="zh-CN"/>
        </w:rPr>
        <w:t>第九章  保障措施</w:t>
      </w:r>
      <w:bookmarkEnd w:id="49"/>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50" w:name="_Toc638482322"/>
      <w:r>
        <w:rPr>
          <w:rFonts w:hint="eastAsia" w:ascii="楷体" w:hAnsi="楷体" w:eastAsia="楷体" w:cs="楷体"/>
          <w:b/>
          <w:bCs/>
          <w:color w:val="auto"/>
          <w:spacing w:val="0"/>
          <w:kern w:val="10"/>
          <w:sz w:val="32"/>
          <w:szCs w:val="32"/>
          <w:highlight w:val="none"/>
          <w:u w:val="none"/>
          <w:lang w:val="en-US" w:eastAsia="zh-CN" w:bidi="ar-SA"/>
        </w:rPr>
        <w:t>第一节  加强党对商务工作的全面领导</w:t>
      </w:r>
      <w:bookmarkEnd w:id="50"/>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深入学习贯彻习近平新时代中国特色社会主义思想，深刻领悟“两个确立”的决定性意义，增强“四个意识”、坚定“四个自信”、做到“两个维护”，确保党中央决策部署在全市商务系统不折不扣落实到位，扎实推进商务系统党的建设。纵深推进全面从严治党，加强对商务干部队伍的教育、监督和管理，严肃惩治各类腐败问题和不正之风，全面落实好干部标准，努力打造忠诚干净担当的高素质商务干部队伍。</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default" w:ascii="楷体" w:hAnsi="楷体" w:eastAsia="楷体" w:cs="楷体"/>
          <w:b/>
          <w:bCs/>
          <w:color w:val="auto"/>
          <w:spacing w:val="0"/>
          <w:kern w:val="10"/>
          <w:sz w:val="32"/>
          <w:szCs w:val="32"/>
          <w:highlight w:val="none"/>
          <w:u w:val="none"/>
          <w:lang w:val="en-US" w:eastAsia="zh-CN" w:bidi="ar-SA"/>
        </w:rPr>
      </w:pPr>
      <w:bookmarkStart w:id="51" w:name="_Toc1340163583"/>
      <w:r>
        <w:rPr>
          <w:rFonts w:hint="eastAsia" w:ascii="楷体" w:hAnsi="楷体" w:eastAsia="楷体" w:cs="楷体"/>
          <w:b/>
          <w:bCs/>
          <w:color w:val="auto"/>
          <w:spacing w:val="0"/>
          <w:kern w:val="10"/>
          <w:sz w:val="32"/>
          <w:szCs w:val="32"/>
          <w:highlight w:val="none"/>
          <w:u w:val="none"/>
          <w:lang w:val="en-US" w:eastAsia="zh-CN" w:bidi="ar-SA"/>
        </w:rPr>
        <w:t>第二节  强化高素质商务人才队伍建设</w:t>
      </w:r>
      <w:bookmarkEnd w:id="51"/>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提高各级领导班子和领导干部抓改革促开发保稳定工作水平和专业化能力。支持引进创新型商务领军人才和国际化复合型高端商务人才，强化商务人才培训和商务领域战略研究，提高各级商务干部综合分析、组织协同和开拓创新能力。</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jc w:val="center"/>
        <w:textAlignment w:val="auto"/>
        <w:outlineLvl w:val="1"/>
        <w:rPr>
          <w:rFonts w:hint="eastAsia" w:ascii="楷体" w:hAnsi="楷体" w:eastAsia="楷体" w:cs="楷体"/>
          <w:b/>
          <w:bCs/>
          <w:color w:val="auto"/>
          <w:spacing w:val="0"/>
          <w:kern w:val="10"/>
          <w:sz w:val="32"/>
          <w:szCs w:val="32"/>
          <w:highlight w:val="none"/>
          <w:u w:val="none"/>
          <w:lang w:val="en-US" w:eastAsia="zh-CN" w:bidi="ar-SA"/>
        </w:rPr>
      </w:pPr>
      <w:bookmarkStart w:id="52" w:name="_Toc389385004"/>
      <w:r>
        <w:rPr>
          <w:rFonts w:hint="eastAsia" w:ascii="楷体" w:hAnsi="楷体" w:eastAsia="楷体" w:cs="楷体"/>
          <w:b/>
          <w:bCs/>
          <w:color w:val="auto"/>
          <w:spacing w:val="0"/>
          <w:kern w:val="10"/>
          <w:sz w:val="32"/>
          <w:szCs w:val="32"/>
          <w:highlight w:val="none"/>
          <w:u w:val="none"/>
          <w:lang w:val="en-US" w:eastAsia="zh-CN" w:bidi="ar-SA"/>
        </w:rPr>
        <w:t>第三节  健全规划运行机制</w:t>
      </w:r>
      <w:bookmarkEnd w:id="52"/>
    </w:p>
    <w:p>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ascii="黑体" w:hAnsi="黑体" w:eastAsia="黑体" w:cs="黑体"/>
          <w:sz w:val="32"/>
          <w:szCs w:val="32"/>
          <w:lang w:val="en-US" w:eastAsia="zh-CN"/>
        </w:rPr>
      </w:pPr>
      <w:r>
        <w:rPr>
          <w:rFonts w:hint="eastAsia" w:ascii="仿宋_GB2312" w:hAnsi="仿宋_GB2312" w:eastAsia="仿宋_GB2312" w:cs="仿宋_GB2312"/>
          <w:b w:val="0"/>
          <w:bCs w:val="0"/>
          <w:i w:val="0"/>
          <w:iCs w:val="0"/>
          <w:caps w:val="0"/>
          <w:color w:val="auto"/>
          <w:spacing w:val="0"/>
          <w:kern w:val="2"/>
          <w:sz w:val="32"/>
          <w:szCs w:val="32"/>
          <w:u w:val="none"/>
          <w:shd w:val="clear" w:color="auto" w:fill="FFFFFF"/>
          <w:lang w:val="en-US" w:eastAsia="zh-CN" w:bidi="ar-SA"/>
        </w:rPr>
        <w:t>增强规划对商务工作布局和资源配置引领作用，加强年度计划和规划部署有机衔接，将主要指标和任务纳入年度工作要点。指导商务领域各专项规划、区域规划与本规划有机衔接，加强组织、协调和督导，开展规划实施情况动态检测，确保规划实施落地顺畅、执行有力。</w:t>
      </w:r>
    </w:p>
    <w:sectPr>
      <w:footerReference r:id="rId4" w:type="default"/>
      <w:pgSz w:w="11906" w:h="16838"/>
      <w:pgMar w:top="1440" w:right="1800" w:bottom="1440" w:left="1800" w:header="851" w:footer="141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D5DAA"/>
    <w:rsid w:val="172A7DE0"/>
    <w:rsid w:val="17F93CFB"/>
    <w:rsid w:val="17FE598B"/>
    <w:rsid w:val="19FE9E8E"/>
    <w:rsid w:val="1BD90DF8"/>
    <w:rsid w:val="1FD69AEE"/>
    <w:rsid w:val="2BF75C4B"/>
    <w:rsid w:val="2F7D0570"/>
    <w:rsid w:val="352F1B9F"/>
    <w:rsid w:val="37EDC8C0"/>
    <w:rsid w:val="3BE33D10"/>
    <w:rsid w:val="3EE76862"/>
    <w:rsid w:val="3F74103A"/>
    <w:rsid w:val="422E2D6E"/>
    <w:rsid w:val="474E6020"/>
    <w:rsid w:val="4FFB6FA4"/>
    <w:rsid w:val="569F4F6E"/>
    <w:rsid w:val="58AD437E"/>
    <w:rsid w:val="59FC6576"/>
    <w:rsid w:val="5CFF95C2"/>
    <w:rsid w:val="5EDF76B7"/>
    <w:rsid w:val="5F7F87C9"/>
    <w:rsid w:val="5FDD4791"/>
    <w:rsid w:val="5FEF551C"/>
    <w:rsid w:val="655A6C47"/>
    <w:rsid w:val="66FFB13B"/>
    <w:rsid w:val="6B6A9D19"/>
    <w:rsid w:val="6BD978E4"/>
    <w:rsid w:val="6CE7016C"/>
    <w:rsid w:val="6F6F8720"/>
    <w:rsid w:val="6FB3C481"/>
    <w:rsid w:val="6FFD332F"/>
    <w:rsid w:val="74FF15E2"/>
    <w:rsid w:val="7BC66438"/>
    <w:rsid w:val="7EBFC25E"/>
    <w:rsid w:val="7F37F22A"/>
    <w:rsid w:val="7F3FD375"/>
    <w:rsid w:val="7F5DD568"/>
    <w:rsid w:val="7F65F9FC"/>
    <w:rsid w:val="7FDE8A00"/>
    <w:rsid w:val="7FDFC731"/>
    <w:rsid w:val="7FF7C9EB"/>
    <w:rsid w:val="7FFD6BDD"/>
    <w:rsid w:val="7FFF15DB"/>
    <w:rsid w:val="8DFDC8DE"/>
    <w:rsid w:val="95DF27D2"/>
    <w:rsid w:val="98574D73"/>
    <w:rsid w:val="9B510058"/>
    <w:rsid w:val="9FF595E5"/>
    <w:rsid w:val="9FFE2F6E"/>
    <w:rsid w:val="ABDFF9E8"/>
    <w:rsid w:val="AFBFC347"/>
    <w:rsid w:val="AFFD55B3"/>
    <w:rsid w:val="B7DA560E"/>
    <w:rsid w:val="BF7D5DAA"/>
    <w:rsid w:val="BFDFE256"/>
    <w:rsid w:val="BFFF336C"/>
    <w:rsid w:val="DEFB39D3"/>
    <w:rsid w:val="DF9DA065"/>
    <w:rsid w:val="DFF5DD50"/>
    <w:rsid w:val="E7FFEDA7"/>
    <w:rsid w:val="EFC790B9"/>
    <w:rsid w:val="F7B577BE"/>
    <w:rsid w:val="FA3D6120"/>
    <w:rsid w:val="FB535CAB"/>
    <w:rsid w:val="FB9363F3"/>
    <w:rsid w:val="FBFD33F0"/>
    <w:rsid w:val="FD7FB7C9"/>
    <w:rsid w:val="FDCDCDFC"/>
    <w:rsid w:val="FF7F63EC"/>
    <w:rsid w:val="FFAF72A0"/>
    <w:rsid w:val="FFC39ECF"/>
    <w:rsid w:val="FFF37B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unhideWhenUsed/>
    <w:qFormat/>
    <w:uiPriority w:val="0"/>
    <w:pPr>
      <w:keepNext/>
      <w:keepLines/>
      <w:widowControl w:val="0"/>
      <w:spacing w:before="260" w:beforeAutospacing="0" w:after="180" w:afterAutospacing="0" w:line="240" w:lineRule="auto"/>
      <w:jc w:val="both"/>
      <w:outlineLvl w:val="2"/>
    </w:pPr>
    <w:rPr>
      <w:rFonts w:ascii="Arial" w:hAnsi="Arial" w:eastAsia="宋体" w:cs="Times New Roman"/>
      <w:b/>
      <w:kern w:val="2"/>
      <w:sz w:val="30"/>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styleId="4">
    <w:name w:val="annotation text"/>
    <w:basedOn w:val="1"/>
    <w:qFormat/>
    <w:uiPriority w:val="0"/>
    <w:pPr>
      <w:jc w:val="left"/>
    </w:pPr>
  </w:style>
  <w:style w:type="paragraph" w:styleId="5">
    <w:name w:val="Body Text"/>
    <w:basedOn w:val="1"/>
    <w:next w:val="1"/>
    <w:unhideWhenUsed/>
    <w:qFormat/>
    <w:uiPriority w:val="99"/>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41"/>
    <w:basedOn w:val="13"/>
    <w:qFormat/>
    <w:uiPriority w:val="0"/>
    <w:rPr>
      <w:rFonts w:hint="eastAsia" w:ascii="方正小标宋简体" w:hAnsi="方正小标宋简体" w:eastAsia="方正小标宋简体" w:cs="方正小标宋简体"/>
      <w:color w:val="000000"/>
      <w:sz w:val="48"/>
      <w:szCs w:val="48"/>
      <w:u w:val="none"/>
    </w:rPr>
  </w:style>
  <w:style w:type="character" w:customStyle="1" w:styleId="15">
    <w:name w:val="font31"/>
    <w:basedOn w:val="13"/>
    <w:qFormat/>
    <w:uiPriority w:val="0"/>
    <w:rPr>
      <w:rFonts w:hint="default" w:ascii="Times New Roman" w:hAnsi="Times New Roman" w:cs="Times New Roman"/>
      <w:color w:val="000000"/>
      <w:sz w:val="48"/>
      <w:szCs w:val="48"/>
      <w:u w:val="none"/>
    </w:rPr>
  </w:style>
  <w:style w:type="character" w:customStyle="1" w:styleId="16">
    <w:name w:val="font11"/>
    <w:basedOn w:val="13"/>
    <w:qFormat/>
    <w:uiPriority w:val="0"/>
    <w:rPr>
      <w:rFonts w:hint="eastAsia" w:ascii="黑体" w:hAnsi="宋体" w:eastAsia="黑体" w:cs="黑体"/>
      <w:color w:val="000000"/>
      <w:sz w:val="22"/>
      <w:szCs w:val="22"/>
      <w:u w:val="none"/>
    </w:rPr>
  </w:style>
  <w:style w:type="character" w:customStyle="1" w:styleId="17">
    <w:name w:val="font01"/>
    <w:basedOn w:val="13"/>
    <w:qFormat/>
    <w:uiPriority w:val="0"/>
    <w:rPr>
      <w:rFonts w:hint="default" w:ascii="Times New Roman" w:hAnsi="Times New Roman" w:cs="Times New Roman"/>
      <w:color w:val="000000"/>
      <w:sz w:val="22"/>
      <w:szCs w:val="22"/>
      <w:u w:val="none"/>
    </w:rPr>
  </w:style>
  <w:style w:type="character" w:customStyle="1" w:styleId="18">
    <w:name w:val="font21"/>
    <w:basedOn w:val="13"/>
    <w:qFormat/>
    <w:uiPriority w:val="0"/>
    <w:rPr>
      <w:rFonts w:hint="eastAsia" w:ascii="仿宋_GB2312" w:eastAsia="仿宋_GB2312" w:cs="仿宋_GB2312"/>
      <w:color w:val="000000"/>
      <w:sz w:val="22"/>
      <w:szCs w:val="22"/>
      <w:u w:val="none"/>
    </w:rPr>
  </w:style>
  <w:style w:type="paragraph" w:customStyle="1" w:styleId="19">
    <w:name w:val="WPSOffice手动目录 1"/>
    <w:qFormat/>
    <w:uiPriority w:val="0"/>
    <w:pPr>
      <w:ind w:leftChars="0"/>
    </w:pPr>
    <w:rPr>
      <w:rFonts w:ascii="Times New Roman" w:hAnsi="Times New Roman" w:eastAsia="宋体" w:cs="Times New Roman"/>
      <w:sz w:val="20"/>
      <w:szCs w:val="20"/>
    </w:rPr>
  </w:style>
  <w:style w:type="paragraph" w:customStyle="1" w:styleId="2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home/user/.wxwork_local/data/1688849881319554_1970325008038486/Cache/File/2026-04/&#21313;&#22235;&#20116;&#22270;&#34920;-20260331-v3.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home/user/.wxwork_local/data/1688849881319554_1970325008038486/Cache/File/2026-03/&#21313;&#22235;&#20116;&#22270;&#34920;-20260331-v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wxwork_local/data/1688849881319554_1970325008038486/Cache/File/2026-03/&#21313;&#22235;&#20116;&#22270;&#34920;-20260331-v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wxwork_local/data/1688849881319554_1970325008038486/Cache/File/2026-03/&#21313;&#22235;&#20116;&#22270;&#34920;-20260331-v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home/user/.wxwork_local/data/1688849881319554_1970325008038486/Cache/File/2026-03/&#21313;&#22235;&#20116;&#22270;&#34920;-20260331-v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altLang="en-US" sz="1600">
                <a:solidFill>
                  <a:srgbClr val="000000"/>
                </a:solidFill>
                <a:uFillTx/>
                <a:latin typeface="仿宋_GB2312" panose="02010609030101010101" charset="-122"/>
                <a:ea typeface="仿宋_GB2312" panose="02010609030101010101" charset="-122"/>
                <a:cs typeface="仿宋_GB2312" panose="02010609030101010101" charset="-122"/>
              </a:rPr>
              <a:t>“十四五”时期汕头市社会消费品零售总额</a:t>
            </a:r>
            <a:endParaRPr altLang="en-US" sz="1600">
              <a:solidFill>
                <a:srgbClr val="000000"/>
              </a:solidFill>
              <a:uFillTx/>
              <a:latin typeface="仿宋_GB2312" panose="02010609030101010101" charset="-122"/>
              <a:ea typeface="仿宋_GB2312" panose="02010609030101010101" charset="-122"/>
              <a:cs typeface="仿宋_GB2312" panose="02010609030101010101" charset="-122"/>
            </a:endParaRPr>
          </a:p>
        </c:rich>
      </c:tx>
      <c:layout>
        <c:manualLayout>
          <c:xMode val="edge"/>
          <c:yMode val="edge"/>
          <c:x val="0.104908036785286"/>
          <c:y val="0.103004291845494"/>
        </c:manualLayout>
      </c:layout>
      <c:overlay val="0"/>
      <c:spPr>
        <a:noFill/>
        <a:ln>
          <a:noFill/>
        </a:ln>
        <a:effectLst/>
      </c:spPr>
    </c:title>
    <c:autoTitleDeleted val="0"/>
    <c:plotArea>
      <c:layout>
        <c:manualLayout>
          <c:layoutTarget val="inner"/>
          <c:xMode val="edge"/>
          <c:yMode val="edge"/>
          <c:x val="0.167534586165534"/>
          <c:y val="0.267525035765379"/>
          <c:w val="0.592201519392243"/>
          <c:h val="0.554163090128755"/>
        </c:manualLayout>
      </c:layout>
      <c:barChart>
        <c:barDir val="col"/>
        <c:grouping val="clustered"/>
        <c:varyColors val="0"/>
        <c:ser>
          <c:idx val="0"/>
          <c:order val="0"/>
          <c:tx>
            <c:strRef>
              <c:f>'[十四五图表-20260331-v3.xlsx]2.社消零'!$B$2</c:f>
              <c:strCache>
                <c:ptCount val="1"/>
                <c:pt idx="0">
                  <c:v>总额（亿元）</c:v>
                </c:pt>
              </c:strCache>
            </c:strRef>
          </c:tx>
          <c:spPr>
            <a:gradFill>
              <a:gsLst>
                <a:gs pos="0">
                  <a:srgbClr val="95B3D7">
                    <a:lumMod val="60000"/>
                    <a:lumOff val="40000"/>
                  </a:srgbClr>
                </a:gs>
                <a:gs pos="100000">
                  <a:srgbClr val="034373"/>
                </a:gs>
              </a:gsLst>
              <a:lin ang="5400000" scaled="0"/>
            </a:gradFill>
            <a:ln>
              <a:noFill/>
            </a:ln>
            <a:effectLst/>
          </c:spPr>
          <c:invertIfNegative val="0"/>
          <c:dLbls>
            <c:delete val="1"/>
          </c:dLbls>
          <c:cat>
            <c:strRef>
              <c:f>'[十四五图表-20260331-v3.xlsx]2.社消零'!$A$3:$A$7</c:f>
              <c:strCache>
                <c:ptCount val="5"/>
                <c:pt idx="0" c:formatCode="0.0_ ">
                  <c:v>2021年</c:v>
                </c:pt>
                <c:pt idx="1" c:formatCode="0.0_ ">
                  <c:v>2022年</c:v>
                </c:pt>
                <c:pt idx="2" c:formatCode="0.0_ ">
                  <c:v>2023年</c:v>
                </c:pt>
                <c:pt idx="3" c:formatCode="0.0_ ">
                  <c:v>2024年</c:v>
                </c:pt>
                <c:pt idx="4" c:formatCode="0.0_ ">
                  <c:v>2025年</c:v>
                </c:pt>
              </c:strCache>
            </c:strRef>
          </c:cat>
          <c:val>
            <c:numRef>
              <c:f>'[十四五图表-20260331-v3.xlsx]2.社消零'!$B$3:$B$7</c:f>
              <c:numCache>
                <c:formatCode>0.0_ </c:formatCode>
                <c:ptCount val="5"/>
                <c:pt idx="0">
                  <c:v>1463.9476</c:v>
                </c:pt>
                <c:pt idx="1">
                  <c:v>1433.5825</c:v>
                </c:pt>
                <c:pt idx="2">
                  <c:v>1480.4049</c:v>
                </c:pt>
                <c:pt idx="3">
                  <c:v>1480.4598</c:v>
                </c:pt>
                <c:pt idx="4">
                  <c:v>1483.23</c:v>
                </c:pt>
              </c:numCache>
            </c:numRef>
          </c:val>
        </c:ser>
        <c:dLbls>
          <c:showLegendKey val="0"/>
          <c:showVal val="0"/>
          <c:showCatName val="0"/>
          <c:showSerName val="0"/>
          <c:showPercent val="0"/>
          <c:showBubbleSize val="0"/>
        </c:dLbls>
        <c:gapWidth val="219"/>
        <c:overlap val="-27"/>
        <c:axId val="631121429"/>
        <c:axId val="253146683"/>
      </c:barChart>
      <c:lineChart>
        <c:grouping val="standard"/>
        <c:varyColors val="0"/>
        <c:ser>
          <c:idx val="1"/>
          <c:order val="1"/>
          <c:tx>
            <c:strRef>
              <c:f>'[十四五图表-20260331-v3.xlsx]2.社消零'!$C$2</c:f>
              <c:strCache>
                <c:ptCount val="1"/>
                <c:pt idx="0">
                  <c:v>增速%</c:v>
                </c:pt>
              </c:strCache>
            </c:strRef>
          </c:tx>
          <c:spPr>
            <a:ln w="28575" cap="rnd">
              <a:solidFill>
                <a:srgbClr val="F79646"/>
              </a:solidFill>
              <a:round/>
            </a:ln>
            <a:effectLst/>
          </c:spPr>
          <c:marker>
            <c:symbol val="none"/>
          </c:marker>
          <c:dLbls>
            <c:delete val="1"/>
          </c:dLbls>
          <c:cat>
            <c:strRef>
              <c:f>'[十四五图表-20260331-v3.xlsx]2.社消零'!$A$3:$A$7</c:f>
              <c:strCache>
                <c:ptCount val="5"/>
                <c:pt idx="0" c:formatCode="0.0_ ">
                  <c:v>2021年</c:v>
                </c:pt>
                <c:pt idx="1" c:formatCode="0.0_ ">
                  <c:v>2022年</c:v>
                </c:pt>
                <c:pt idx="2" c:formatCode="0.0_ ">
                  <c:v>2023年</c:v>
                </c:pt>
                <c:pt idx="3" c:formatCode="0.0_ ">
                  <c:v>2024年</c:v>
                </c:pt>
                <c:pt idx="4" c:formatCode="0.0_ ">
                  <c:v>2025年</c:v>
                </c:pt>
              </c:strCache>
            </c:strRef>
          </c:cat>
          <c:val>
            <c:numRef>
              <c:f>'[十四五图表-20260331-v3.xlsx]2.社消零'!$C$3:$C$7</c:f>
              <c:numCache>
                <c:formatCode>General</c:formatCode>
                <c:ptCount val="5"/>
                <c:pt idx="0">
                  <c:v>5.1</c:v>
                </c:pt>
                <c:pt idx="1">
                  <c:v>-2.1</c:v>
                </c:pt>
                <c:pt idx="2">
                  <c:v>3.3</c:v>
                </c:pt>
                <c:pt idx="3">
                  <c:v>0</c:v>
                </c:pt>
                <c:pt idx="4">
                  <c:v>0.2</c:v>
                </c:pt>
              </c:numCache>
            </c:numRef>
          </c:val>
          <c:smooth val="0"/>
        </c:ser>
        <c:dLbls>
          <c:showLegendKey val="0"/>
          <c:showVal val="0"/>
          <c:showCatName val="0"/>
          <c:showSerName val="0"/>
          <c:showPercent val="0"/>
          <c:showBubbleSize val="0"/>
        </c:dLbls>
        <c:marker val="0"/>
        <c:smooth val="0"/>
        <c:axId val="347004087"/>
        <c:axId val="482578441"/>
      </c:lineChart>
      <c:catAx>
        <c:axId val="63112142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53146683"/>
        <c:crosses val="autoZero"/>
        <c:auto val="1"/>
        <c:lblAlgn val="ctr"/>
        <c:lblOffset val="100"/>
        <c:noMultiLvlLbl val="0"/>
      </c:catAx>
      <c:valAx>
        <c:axId val="253146683"/>
        <c:scaling>
          <c:orientation val="minMax"/>
          <c:max val="1800"/>
          <c:min val="1000"/>
        </c:scaling>
        <c:delete val="0"/>
        <c:axPos val="l"/>
        <c:majorGridlines>
          <c:spPr>
            <a:ln w="9525" cap="flat" cmpd="sng" algn="ctr">
              <a:solidFill>
                <a:srgbClr val="000000">
                  <a:alpha val="20000"/>
                </a:srgbClr>
              </a:solidFill>
              <a:round/>
            </a:ln>
            <a:effectLst/>
          </c:spPr>
        </c:majorGridlines>
        <c:numFmt formatCode="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31121429"/>
        <c:crosses val="autoZero"/>
        <c:crossBetween val="between"/>
        <c:majorUnit val="200"/>
      </c:valAx>
      <c:catAx>
        <c:axId val="347004087"/>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82578441"/>
        <c:crosses val="autoZero"/>
        <c:auto val="1"/>
        <c:lblAlgn val="ctr"/>
        <c:lblOffset val="100"/>
        <c:noMultiLvlLbl val="0"/>
      </c:catAx>
      <c:valAx>
        <c:axId val="482578441"/>
        <c:scaling>
          <c:orientation val="minMax"/>
          <c:max val="8"/>
          <c:min val="-2"/>
        </c:scaling>
        <c:delete val="0"/>
        <c:axPos val="r"/>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47004087"/>
        <c:crosses val="max"/>
        <c:crossBetween val="between"/>
        <c:majorUnit val="2"/>
      </c:valAx>
      <c:dTable>
        <c:showHorzBorder val="1"/>
        <c:showVertBorder val="1"/>
        <c:showOutline val="1"/>
        <c:showKeys val="0"/>
        <c:spPr>
          <a:noFill/>
          <a:ln w="9525" cap="flat" cmpd="sng" algn="ctr">
            <a:solidFill>
              <a:srgbClr val="000000">
                <a:alpha val="30000"/>
              </a:srgbClr>
            </a:solidFill>
            <a:round/>
          </a:ln>
          <a:effectLst/>
        </c:spPr>
        <c:txPr>
          <a:bodyPr rot="0" spcFirstLastPara="0" vertOverflow="ellipsis" vert="horz" wrap="square" anchor="ctr" anchorCtr="1"/>
          <a:lstStyle/>
          <a:p>
            <a:pPr>
              <a:defRPr lang="zh-CN" sz="1000" b="0" i="0" u="none" strike="noStrike" kern="1200" cap="none" spc="0" normalizeH="0" baseline="0">
                <a:solidFill>
                  <a:srgbClr val="000000"/>
                </a:solidFill>
                <a:uFill>
                  <a:solidFill>
                    <a:srgbClr val="595959">
                      <a:lumMod val="65000"/>
                      <a:lumOff val="35000"/>
                    </a:srgbClr>
                  </a:solidFill>
                </a:uFill>
                <a:latin typeface="Times New Roman" panose="02020603050405020304" charset="0"/>
                <a:ea typeface="汉仪中宋简" panose="02010600000101010101" charset="-122"/>
                <a:cs typeface="+mn-cs"/>
              </a:defRPr>
            </a:pPr>
          </a:p>
        </c:txPr>
      </c:dTable>
      <c:spPr>
        <a:noFill/>
        <a:ln>
          <a:noFill/>
        </a:ln>
        <a:effectLst/>
      </c:spPr>
    </c:plotArea>
    <c:legend>
      <c:legendPos val="r"/>
      <c:layout>
        <c:manualLayout>
          <c:xMode val="edge"/>
          <c:yMode val="edge"/>
          <c:x val="0.831367453018792"/>
          <c:y val="0.4801859799713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000000"/>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0" i="0" u="none" strike="noStrike" kern="1200" spc="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600">
                <a:solidFill>
                  <a:srgbClr val="000000"/>
                </a:solidFill>
                <a:uFillTx/>
                <a:latin typeface="仿宋_GB2312" panose="02010609030101010101" charset="-122"/>
                <a:ea typeface="仿宋_GB2312" panose="02010609030101010101" charset="-122"/>
                <a:cs typeface="仿宋_GB2312" panose="02010609030101010101" charset="-122"/>
                <a:sym typeface="Times New Roman" panose="02020603050405020304" charset="0"/>
              </a:rPr>
              <a:t>“</a:t>
            </a:r>
            <a:r>
              <a:rPr altLang="en-US" sz="1600">
                <a:solidFill>
                  <a:srgbClr val="000000"/>
                </a:solidFill>
                <a:uFillTx/>
                <a:latin typeface="仿宋_GB2312" panose="02010609030101010101" charset="-122"/>
                <a:ea typeface="仿宋_GB2312" panose="02010609030101010101" charset="-122"/>
                <a:cs typeface="仿宋_GB2312" panose="02010609030101010101" charset="-122"/>
                <a:sym typeface="Times New Roman" panose="02020603050405020304" charset="0"/>
              </a:rPr>
              <a:t>十四五</a:t>
            </a:r>
            <a:r>
              <a:rPr lang="en-US" altLang="zh-CN" sz="1600">
                <a:solidFill>
                  <a:srgbClr val="000000"/>
                </a:solidFill>
                <a:uFillTx/>
                <a:latin typeface="仿宋_GB2312" panose="02010609030101010101" charset="-122"/>
                <a:ea typeface="仿宋_GB2312" panose="02010609030101010101" charset="-122"/>
                <a:cs typeface="仿宋_GB2312" panose="02010609030101010101" charset="-122"/>
                <a:sym typeface="Times New Roman" panose="02020603050405020304" charset="0"/>
              </a:rPr>
              <a:t>”</a:t>
            </a:r>
            <a:r>
              <a:rPr altLang="en-US" sz="1600">
                <a:solidFill>
                  <a:srgbClr val="000000"/>
                </a:solidFill>
                <a:uFillTx/>
                <a:latin typeface="仿宋_GB2312" panose="02010609030101010101" charset="-122"/>
                <a:ea typeface="仿宋_GB2312" panose="02010609030101010101" charset="-122"/>
                <a:cs typeface="仿宋_GB2312" panose="02010609030101010101" charset="-122"/>
                <a:sym typeface="Times New Roman" panose="02020603050405020304" charset="0"/>
              </a:rPr>
              <a:t>时期汕头市外贸进出口总额</a:t>
            </a:r>
            <a:endParaRPr altLang="en-US" sz="1600">
              <a:solidFill>
                <a:srgbClr val="000000"/>
              </a:solidFill>
              <a:uFillTx/>
              <a:latin typeface="仿宋_GB2312" panose="02010609030101010101" charset="-122"/>
              <a:ea typeface="仿宋_GB2312" panose="02010609030101010101" charset="-122"/>
              <a:cs typeface="仿宋_GB2312" panose="02010609030101010101" charset="-122"/>
              <a:sym typeface="Times New Roman" panose="02020603050405020304" charset="0"/>
            </a:endParaRPr>
          </a:p>
        </c:rich>
      </c:tx>
      <c:layout>
        <c:manualLayout>
          <c:xMode val="edge"/>
          <c:yMode val="edge"/>
          <c:x val="0.162593818936626"/>
          <c:y val="0.0461553476116012"/>
        </c:manualLayout>
      </c:layout>
      <c:overlay val="0"/>
      <c:spPr>
        <a:noFill/>
        <a:ln>
          <a:noFill/>
        </a:ln>
        <a:effectLst/>
      </c:spPr>
    </c:title>
    <c:autoTitleDeleted val="0"/>
    <c:plotArea>
      <c:layout>
        <c:manualLayout>
          <c:layoutTarget val="inner"/>
          <c:xMode val="edge"/>
          <c:yMode val="edge"/>
          <c:x val="0.167534586165534"/>
          <c:y val="0.267525035765379"/>
          <c:w val="0.592201519392243"/>
          <c:h val="0.554163090128755"/>
        </c:manualLayout>
      </c:layout>
      <c:barChart>
        <c:barDir val="col"/>
        <c:grouping val="clustered"/>
        <c:varyColors val="0"/>
        <c:ser>
          <c:idx val="0"/>
          <c:order val="0"/>
          <c:tx>
            <c:strRef>
              <c:f>'[十四五图表-20260331-v1.xlsx]1.外贸进出口'!$B$2</c:f>
              <c:strCache>
                <c:ptCount val="1"/>
                <c:pt idx="0">
                  <c:v>进出口（亿元）</c:v>
                </c:pt>
              </c:strCache>
            </c:strRef>
          </c:tx>
          <c:spPr>
            <a:gradFill>
              <a:gsLst>
                <a:gs pos="0">
                  <a:srgbClr val="9DC3E6">
                    <a:lumMod val="60000"/>
                    <a:lumOff val="40000"/>
                  </a:srgbClr>
                </a:gs>
                <a:gs pos="100000">
                  <a:srgbClr val="034373"/>
                </a:gs>
              </a:gsLst>
              <a:lin ang="5400000" scaled="0"/>
            </a:gradFill>
            <a:ln>
              <a:noFill/>
            </a:ln>
            <a:effectLst/>
          </c:spPr>
          <c:invertIfNegative val="0"/>
          <c:dLbls>
            <c:delete val="1"/>
          </c:dLbls>
          <c:cat>
            <c:strRef>
              <c:f>'[十四五图表-20260331-v1.xlsx]1.外贸进出口'!$A$3:$A$7</c:f>
              <c:strCache>
                <c:ptCount val="5"/>
                <c:pt idx="0">
                  <c:v>2021年</c:v>
                </c:pt>
                <c:pt idx="1">
                  <c:v>2022年</c:v>
                </c:pt>
                <c:pt idx="2">
                  <c:v>2023年</c:v>
                </c:pt>
                <c:pt idx="3">
                  <c:v>2024年</c:v>
                </c:pt>
                <c:pt idx="4">
                  <c:v>2025年</c:v>
                </c:pt>
              </c:strCache>
            </c:strRef>
          </c:cat>
          <c:val>
            <c:numRef>
              <c:f>'[十四五图表-20260331-v1.xlsx]1.外贸进出口'!$B$3:$B$7</c:f>
              <c:numCache>
                <c:formatCode>0.0_ </c:formatCode>
                <c:ptCount val="5"/>
                <c:pt idx="0">
                  <c:v>753.5746683</c:v>
                </c:pt>
                <c:pt idx="1">
                  <c:v>770.97505963</c:v>
                </c:pt>
                <c:pt idx="2">
                  <c:v>639.87286833</c:v>
                </c:pt>
                <c:pt idx="3">
                  <c:v>563.05694753</c:v>
                </c:pt>
                <c:pt idx="4">
                  <c:v>518.20338383</c:v>
                </c:pt>
              </c:numCache>
            </c:numRef>
          </c:val>
        </c:ser>
        <c:dLbls>
          <c:showLegendKey val="0"/>
          <c:showVal val="0"/>
          <c:showCatName val="0"/>
          <c:showSerName val="0"/>
          <c:showPercent val="0"/>
          <c:showBubbleSize val="0"/>
        </c:dLbls>
        <c:gapWidth val="219"/>
        <c:overlap val="-27"/>
        <c:axId val="631121429"/>
        <c:axId val="253146683"/>
      </c:barChart>
      <c:lineChart>
        <c:grouping val="standard"/>
        <c:varyColors val="0"/>
        <c:ser>
          <c:idx val="1"/>
          <c:order val="1"/>
          <c:tx>
            <c:strRef>
              <c:f>'[十四五图表-20260331-v1.xlsx]1.外贸进出口'!$C$2</c:f>
              <c:strCache>
                <c:ptCount val="1"/>
                <c:pt idx="0">
                  <c:v>增速%</c:v>
                </c:pt>
              </c:strCache>
            </c:strRef>
          </c:tx>
          <c:spPr>
            <a:ln w="28575" cap="rnd">
              <a:solidFill>
                <a:srgbClr val="ED7D31"/>
              </a:solidFill>
              <a:round/>
            </a:ln>
            <a:effectLst/>
          </c:spPr>
          <c:marker>
            <c:symbol val="none"/>
          </c:marker>
          <c:dLbls>
            <c:delete val="1"/>
          </c:dLbls>
          <c:cat>
            <c:strRef>
              <c:f>'[十四五图表-20260331-v1.xlsx]1.外贸进出口'!$A$3:$A$7</c:f>
              <c:strCache>
                <c:ptCount val="5"/>
                <c:pt idx="0">
                  <c:v>2021年</c:v>
                </c:pt>
                <c:pt idx="1">
                  <c:v>2022年</c:v>
                </c:pt>
                <c:pt idx="2">
                  <c:v>2023年</c:v>
                </c:pt>
                <c:pt idx="3">
                  <c:v>2024年</c:v>
                </c:pt>
                <c:pt idx="4">
                  <c:v>2025年</c:v>
                </c:pt>
              </c:strCache>
            </c:strRef>
          </c:cat>
          <c:val>
            <c:numRef>
              <c:f>'[十四五图表-20260331-v1.xlsx]1.外贸进出口'!$C$3:$C$7</c:f>
              <c:numCache>
                <c:formatCode>0.0_ </c:formatCode>
                <c:ptCount val="5"/>
                <c:pt idx="0">
                  <c:v>10.5509085243175</c:v>
                </c:pt>
                <c:pt idx="1">
                  <c:v>2.3282</c:v>
                </c:pt>
                <c:pt idx="2">
                  <c:v>-17.0031</c:v>
                </c:pt>
                <c:pt idx="3">
                  <c:v>-12.0009</c:v>
                </c:pt>
                <c:pt idx="4">
                  <c:v>-8.05695823144135</c:v>
                </c:pt>
              </c:numCache>
            </c:numRef>
          </c:val>
          <c:smooth val="0"/>
        </c:ser>
        <c:dLbls>
          <c:showLegendKey val="0"/>
          <c:showVal val="0"/>
          <c:showCatName val="0"/>
          <c:showSerName val="0"/>
          <c:showPercent val="0"/>
          <c:showBubbleSize val="0"/>
        </c:dLbls>
        <c:marker val="0"/>
        <c:smooth val="0"/>
        <c:axId val="347004087"/>
        <c:axId val="482578441"/>
      </c:lineChart>
      <c:catAx>
        <c:axId val="63112142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253146683"/>
        <c:crosses val="autoZero"/>
        <c:auto val="1"/>
        <c:lblAlgn val="ctr"/>
        <c:lblOffset val="100"/>
        <c:noMultiLvlLbl val="0"/>
      </c:catAx>
      <c:valAx>
        <c:axId val="253146683"/>
        <c:scaling>
          <c:orientation val="minMax"/>
          <c:max val="800"/>
          <c:min val="0"/>
        </c:scaling>
        <c:delete val="0"/>
        <c:axPos val="l"/>
        <c:majorGridlines>
          <c:spPr>
            <a:ln w="9525" cap="flat" cmpd="sng" algn="ctr">
              <a:solidFill>
                <a:srgbClr val="000000">
                  <a:alpha val="20000"/>
                </a:srgbClr>
              </a:solidFill>
              <a:round/>
            </a:ln>
            <a:effectLst/>
          </c:spPr>
        </c:majorGridlines>
        <c:numFmt formatCode="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31121429"/>
        <c:crosses val="autoZero"/>
        <c:crossBetween val="between"/>
        <c:majorUnit val="200"/>
      </c:valAx>
      <c:catAx>
        <c:axId val="347004087"/>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82578441"/>
        <c:crosses val="autoZero"/>
        <c:auto val="1"/>
        <c:lblAlgn val="ctr"/>
        <c:lblOffset val="100"/>
        <c:noMultiLvlLbl val="0"/>
      </c:catAx>
      <c:valAx>
        <c:axId val="482578441"/>
        <c:scaling>
          <c:orientation val="minMax"/>
          <c:max val="12"/>
          <c:min val="-18"/>
        </c:scaling>
        <c:delete val="0"/>
        <c:axPos val="r"/>
        <c:numFmt formatCode="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347004087"/>
        <c:crosses val="max"/>
        <c:crossBetween val="between"/>
        <c:majorUnit val="6"/>
      </c:valAx>
      <c:dTable>
        <c:showHorzBorder val="1"/>
        <c:showVertBorder val="1"/>
        <c:showOutline val="1"/>
        <c:showKeys val="0"/>
        <c:spPr>
          <a:noFill/>
          <a:ln w="9525" cap="flat" cmpd="sng" algn="ctr">
            <a:solidFill>
              <a:srgbClr val="000000">
                <a:alpha val="30000"/>
              </a:srgbClr>
            </a:solidFill>
            <a:round/>
          </a:ln>
          <a:effectLst/>
        </c:spPr>
        <c:txPr>
          <a:bodyPr rot="0" spcFirstLastPara="0" vertOverflow="ellipsis" vert="horz" wrap="square" anchor="ctr" anchorCtr="1"/>
          <a:lstStyle/>
          <a:p>
            <a:pPr>
              <a:defRPr lang="zh-CN" sz="1000" b="0" i="0" u="none" strike="noStrike" kern="1200" cap="none" spc="0" normalizeH="0" baseline="0">
                <a:solidFill>
                  <a:srgbClr val="000000"/>
                </a:solidFill>
                <a:uFill>
                  <a:solidFill>
                    <a:srgbClr val="595959">
                      <a:lumMod val="65000"/>
                      <a:lumOff val="35000"/>
                    </a:srgb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Table>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manualLayout>
          <c:xMode val="edge"/>
          <c:yMode val="edge"/>
          <c:x val="0.831367453018792"/>
          <c:y val="0.4801859799713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rgbClr val="FFFFFF"/>
    </a:solidFill>
    <a:ln w="9525" cap="flat" cmpd="sng" algn="ctr">
      <a:solidFill>
        <a:srgbClr val="000000"/>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0" i="0" u="none" strike="noStrike" kern="1200" spc="0" baseline="0">
                <a:solidFill>
                  <a:srgbClr val="595959">
                    <a:lumMod val="65000"/>
                    <a:lumOff val="35000"/>
                  </a:srgbClr>
                </a:solidFill>
                <a:latin typeface="+mn-lt"/>
                <a:ea typeface="+mn-ea"/>
                <a:cs typeface="+mn-cs"/>
              </a:defRPr>
            </a:pPr>
            <a:r>
              <a:rPr altLang="en-US" sz="1600">
                <a:solidFill>
                  <a:srgbClr val="000000"/>
                </a:solidFill>
                <a:uFillTx/>
                <a:latin typeface="仿宋_GB2312" panose="02010609030101010101" charset="-122"/>
                <a:ea typeface="仿宋_GB2312" panose="02010609030101010101" charset="-122"/>
                <a:cs typeface="仿宋_GB2312" panose="02010609030101010101" charset="-122"/>
              </a:rPr>
              <a:t>“十四五”时期汕头市网络零售额</a:t>
            </a:r>
            <a:endParaRPr altLang="en-US" sz="1600">
              <a:solidFill>
                <a:srgbClr val="000000"/>
              </a:solidFill>
              <a:uFillTx/>
              <a:latin typeface="仿宋_GB2312" panose="02010609030101010101" charset="-122"/>
              <a:ea typeface="仿宋_GB2312" panose="02010609030101010101" charset="-122"/>
              <a:cs typeface="仿宋_GB2312" panose="02010609030101010101" charset="-122"/>
            </a:endParaRPr>
          </a:p>
        </c:rich>
      </c:tx>
      <c:layout>
        <c:manualLayout>
          <c:xMode val="edge"/>
          <c:yMode val="edge"/>
          <c:x val="0.157125933996879"/>
          <c:y val="0.0675928205237982"/>
        </c:manualLayout>
      </c:layout>
      <c:overlay val="0"/>
      <c:spPr>
        <a:noFill/>
        <a:ln>
          <a:noFill/>
        </a:ln>
        <a:effectLst/>
      </c:spPr>
    </c:title>
    <c:autoTitleDeleted val="0"/>
    <c:plotArea>
      <c:layout>
        <c:manualLayout>
          <c:layoutTarget val="inner"/>
          <c:xMode val="edge"/>
          <c:yMode val="edge"/>
          <c:x val="0.167534586165534"/>
          <c:y val="0.267525035765379"/>
          <c:w val="0.592201519392243"/>
          <c:h val="0.554163090128755"/>
        </c:manualLayout>
      </c:layout>
      <c:barChart>
        <c:barDir val="col"/>
        <c:grouping val="clustered"/>
        <c:varyColors val="0"/>
        <c:ser>
          <c:idx val="0"/>
          <c:order val="0"/>
          <c:tx>
            <c:strRef>
              <c:f>'[十四五图表-20260331-v1.xlsx]1.5网络零售'!$B$2</c:f>
              <c:strCache>
                <c:ptCount val="1"/>
                <c:pt idx="0">
                  <c:v>总额（亿元）</c:v>
                </c:pt>
              </c:strCache>
            </c:strRef>
          </c:tx>
          <c:spPr>
            <a:solidFill>
              <a:srgbClr val="5B9BD5"/>
            </a:solidFill>
            <a:ln>
              <a:noFill/>
            </a:ln>
            <a:effectLst/>
          </c:spPr>
          <c:invertIfNegative val="0"/>
          <c:dLbls>
            <c:delete val="1"/>
          </c:dLbls>
          <c:cat>
            <c:strRef>
              <c:f>'[十四五图表-20260331-v1.xlsx]1.5网络零售'!$A$3:$A$7</c:f>
              <c:strCache>
                <c:ptCount val="5"/>
                <c:pt idx="0" c:formatCode="0.0_ ">
                  <c:v>2021年</c:v>
                </c:pt>
                <c:pt idx="1" c:formatCode="0.0_ ">
                  <c:v>2022年</c:v>
                </c:pt>
                <c:pt idx="2" c:formatCode="0.0_ ">
                  <c:v>2023年</c:v>
                </c:pt>
                <c:pt idx="3" c:formatCode="0.0_ ">
                  <c:v>2024年</c:v>
                </c:pt>
                <c:pt idx="4" c:formatCode="0.0_ ">
                  <c:v>2025年</c:v>
                </c:pt>
              </c:strCache>
            </c:strRef>
          </c:cat>
          <c:val>
            <c:numRef>
              <c:f>'[十四五图表-20260331-v1.xlsx]1.5网络零售'!$B$3:$B$7</c:f>
              <c:numCache>
                <c:formatCode>0.0_ </c:formatCode>
                <c:ptCount val="5"/>
                <c:pt idx="0">
                  <c:v>563.83774</c:v>
                </c:pt>
                <c:pt idx="1">
                  <c:v>581.27585</c:v>
                </c:pt>
                <c:pt idx="2">
                  <c:v>675.62932</c:v>
                </c:pt>
                <c:pt idx="3">
                  <c:v>692.60849</c:v>
                </c:pt>
                <c:pt idx="4">
                  <c:v>758.7482</c:v>
                </c:pt>
              </c:numCache>
            </c:numRef>
          </c:val>
        </c:ser>
        <c:dLbls>
          <c:showLegendKey val="0"/>
          <c:showVal val="0"/>
          <c:showCatName val="0"/>
          <c:showSerName val="0"/>
          <c:showPercent val="0"/>
          <c:showBubbleSize val="0"/>
        </c:dLbls>
        <c:gapWidth val="219"/>
        <c:overlap val="0"/>
        <c:axId val="631121429"/>
        <c:axId val="253146683"/>
      </c:barChart>
      <c:lineChart>
        <c:grouping val="standard"/>
        <c:varyColors val="0"/>
        <c:ser>
          <c:idx val="1"/>
          <c:order val="1"/>
          <c:tx>
            <c:strRef>
              <c:f>'[十四五图表-20260331-v1.xlsx]1.5网络零售'!$C$2</c:f>
              <c:strCache>
                <c:ptCount val="1"/>
                <c:pt idx="0">
                  <c:v>增速%</c:v>
                </c:pt>
              </c:strCache>
            </c:strRef>
          </c:tx>
          <c:spPr>
            <a:ln w="28575" cap="rnd">
              <a:solidFill>
                <a:srgbClr val="ED7D31"/>
              </a:solidFill>
              <a:round/>
            </a:ln>
            <a:effectLst/>
          </c:spPr>
          <c:marker>
            <c:symbol val="none"/>
          </c:marker>
          <c:dLbls>
            <c:delete val="1"/>
          </c:dLbls>
          <c:cat>
            <c:strRef>
              <c:f>'[十四五图表-20260331-v1.xlsx]1.5网络零售'!$A$3:$A$7</c:f>
              <c:strCache>
                <c:ptCount val="5"/>
                <c:pt idx="0" c:formatCode="0.0_ ">
                  <c:v>2021年</c:v>
                </c:pt>
                <c:pt idx="1" c:formatCode="0.0_ ">
                  <c:v>2022年</c:v>
                </c:pt>
                <c:pt idx="2" c:formatCode="0.0_ ">
                  <c:v>2023年</c:v>
                </c:pt>
                <c:pt idx="3" c:formatCode="0.0_ ">
                  <c:v>2024年</c:v>
                </c:pt>
                <c:pt idx="4" c:formatCode="0.0_ ">
                  <c:v>2025年</c:v>
                </c:pt>
              </c:strCache>
            </c:strRef>
          </c:cat>
          <c:val>
            <c:numRef>
              <c:f>'[十四五图表-20260331-v1.xlsx]1.5网络零售'!$C$3:$C$7</c:f>
              <c:numCache>
                <c:formatCode>General</c:formatCode>
                <c:ptCount val="5"/>
                <c:pt idx="0">
                  <c:v>8.7</c:v>
                </c:pt>
                <c:pt idx="1">
                  <c:v>3.1</c:v>
                </c:pt>
                <c:pt idx="2" c:formatCode="0.0_ ">
                  <c:v>16.2</c:v>
                </c:pt>
                <c:pt idx="3">
                  <c:v>2.5</c:v>
                </c:pt>
                <c:pt idx="4">
                  <c:v>9.5</c:v>
                </c:pt>
              </c:numCache>
            </c:numRef>
          </c:val>
          <c:smooth val="0"/>
        </c:ser>
        <c:dLbls>
          <c:showLegendKey val="0"/>
          <c:showVal val="0"/>
          <c:showCatName val="0"/>
          <c:showSerName val="0"/>
          <c:showPercent val="0"/>
          <c:showBubbleSize val="0"/>
        </c:dLbls>
        <c:marker val="0"/>
        <c:smooth val="0"/>
        <c:axId val="412999818"/>
        <c:axId val="377945077"/>
      </c:lineChart>
      <c:catAx>
        <c:axId val="63112142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53146683"/>
        <c:crosses val="autoZero"/>
        <c:auto val="1"/>
        <c:lblAlgn val="ctr"/>
        <c:lblOffset val="100"/>
        <c:noMultiLvlLbl val="0"/>
      </c:catAx>
      <c:valAx>
        <c:axId val="253146683"/>
        <c:scaling>
          <c:orientation val="minMax"/>
          <c:max val="800"/>
          <c:min val="0"/>
        </c:scaling>
        <c:delete val="0"/>
        <c:axPos val="l"/>
        <c:majorGridlines>
          <c:spPr>
            <a:ln w="9525" cap="flat" cmpd="sng" algn="ctr">
              <a:solidFill>
                <a:srgbClr val="000000">
                  <a:alpha val="20000"/>
                </a:srgbClr>
              </a:solidFill>
              <a:round/>
            </a:ln>
            <a:effectLst/>
          </c:spPr>
        </c:majorGridlines>
        <c:numFmt formatCode="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31121429"/>
        <c:crosses val="autoZero"/>
        <c:crossBetween val="between"/>
        <c:majorUnit val="200"/>
      </c:valAx>
      <c:catAx>
        <c:axId val="412999818"/>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77945077"/>
        <c:crosses val="autoZero"/>
        <c:auto val="1"/>
        <c:lblAlgn val="ctr"/>
        <c:lblOffset val="100"/>
        <c:noMultiLvlLbl val="0"/>
      </c:catAx>
      <c:valAx>
        <c:axId val="377945077"/>
        <c:scaling>
          <c:orientation val="minMax"/>
          <c:max val="17"/>
          <c:min val="2"/>
        </c:scaling>
        <c:delete val="0"/>
        <c:axPos val="r"/>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12999818"/>
        <c:crosses val="max"/>
        <c:crossBetween val="between"/>
        <c:majorUnit val="3"/>
      </c:valAx>
      <c:dTable>
        <c:showHorzBorder val="1"/>
        <c:showVertBorder val="1"/>
        <c:showOutline val="1"/>
        <c:showKeys val="0"/>
        <c:spPr>
          <a:noFill/>
          <a:ln w="9525" cap="flat" cmpd="sng" algn="ctr">
            <a:solidFill>
              <a:srgbClr val="000000">
                <a:alpha val="30000"/>
              </a:srgbClr>
            </a:solidFill>
            <a:round/>
          </a:ln>
          <a:effectLst/>
        </c:spPr>
        <c:txPr>
          <a:bodyPr rot="0" spcFirstLastPara="0" vertOverflow="ellipsis" vert="horz" wrap="square" anchor="ctr" anchorCtr="1"/>
          <a:lstStyle/>
          <a:p>
            <a:pPr>
              <a:defRPr lang="zh-CN" sz="1000" b="0" i="0" u="none" strike="noStrike" kern="1200" cap="none" spc="0" normalizeH="0" baseline="0">
                <a:solidFill>
                  <a:srgbClr val="000000"/>
                </a:solidFill>
                <a:uFill>
                  <a:solidFill>
                    <a:srgbClr val="595959">
                      <a:lumMod val="65000"/>
                      <a:lumOff val="35000"/>
                    </a:srgbClr>
                  </a:solidFill>
                </a:uFill>
                <a:latin typeface="Times New Roman" panose="02020603050405020304" charset="0"/>
                <a:ea typeface="汉仪中宋简" panose="02010600000101010101" charset="-122"/>
                <a:cs typeface="+mn-cs"/>
              </a:defRPr>
            </a:pPr>
          </a:p>
        </c:txPr>
      </c:dTable>
      <c:spPr>
        <a:noFill/>
        <a:ln>
          <a:noFill/>
        </a:ln>
        <a:effectLst/>
      </c:spPr>
    </c:plotArea>
    <c:legend>
      <c:legendPos val="r"/>
      <c:layout>
        <c:manualLayout>
          <c:xMode val="edge"/>
          <c:yMode val="edge"/>
          <c:x val="0.831367453018792"/>
          <c:y val="0.4801859799713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000000"/>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rgbClr val="44546A"/>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400" b="0">
                <a:solidFill>
                  <a:sysClr val="windowText" lastClr="000000"/>
                </a:solidFill>
                <a:uFillTx/>
                <a:latin typeface="仿宋_GB2312" panose="02010609030101010101" charset="-122"/>
                <a:ea typeface="仿宋_GB2312" panose="02010609030101010101" charset="-122"/>
                <a:cs typeface="仿宋_GB2312" panose="02010609030101010101" charset="-122"/>
                <a:sym typeface="Times New Roman" panose="02020603050405020304" charset="0"/>
              </a:rPr>
              <a:t>“十四五”时期</a:t>
            </a:r>
            <a:r>
              <a:rPr sz="1400" b="0">
                <a:solidFill>
                  <a:sysClr val="windowText" lastClr="000000"/>
                </a:solidFill>
                <a:latin typeface="仿宋_GB2312" panose="02010609030101010101" charset="-122"/>
                <a:ea typeface="仿宋_GB2312" panose="02010609030101010101" charset="-122"/>
                <a:cs typeface="仿宋_GB2312" panose="02010609030101010101" charset="-122"/>
                <a:sym typeface="Times New Roman" panose="02020603050405020304" charset="0"/>
              </a:rPr>
              <a:t>汕头市实际利用外资总额</a:t>
            </a:r>
            <a:endParaRPr sz="1400" b="0">
              <a:solidFill>
                <a:sysClr val="windowText" lastClr="000000"/>
              </a:solidFill>
              <a:latin typeface="仿宋_GB2312" panose="02010609030101010101" charset="-122"/>
              <a:ea typeface="仿宋_GB2312" panose="02010609030101010101" charset="-122"/>
              <a:cs typeface="仿宋_GB2312" panose="02010609030101010101" charset="-122"/>
              <a:sym typeface="Times New Roman" panose="02020603050405020304" charset="0"/>
            </a:endParaRPr>
          </a:p>
        </c:rich>
      </c:tx>
      <c:layout>
        <c:manualLayout>
          <c:xMode val="edge"/>
          <c:yMode val="edge"/>
          <c:x val="0.153535178866124"/>
          <c:y val="0.0128717603378335"/>
        </c:manualLayout>
      </c:layout>
      <c:overlay val="0"/>
      <c:spPr>
        <a:noFill/>
        <a:ln>
          <a:noFill/>
        </a:ln>
        <a:effectLst/>
      </c:spPr>
    </c:title>
    <c:autoTitleDeleted val="0"/>
    <c:plotArea>
      <c:layout>
        <c:manualLayout>
          <c:layoutTarget val="inner"/>
          <c:xMode val="edge"/>
          <c:yMode val="edge"/>
          <c:x val="0.178895509115162"/>
          <c:y val="0.195596951735817"/>
          <c:w val="0.498863494886616"/>
          <c:h val="0.45961049957663"/>
        </c:manualLayout>
      </c:layout>
      <c:barChart>
        <c:barDir val="col"/>
        <c:grouping val="stacked"/>
        <c:varyColors val="0"/>
        <c:ser>
          <c:idx val="1"/>
          <c:order val="1"/>
          <c:tx>
            <c:strRef>
              <c:f>'[十四五图表-20260331-v1.xlsx]3.实际利用外资'!$H$2</c:f>
              <c:strCache>
                <c:ptCount val="1"/>
                <c:pt idx="0">
                  <c:v>第一产业（亿元）</c:v>
                </c:pt>
              </c:strCache>
            </c:strRef>
          </c:tx>
          <c:spPr>
            <a:gradFill rotWithShape="1">
              <a:gsLst>
                <a:gs pos="0">
                  <a:srgbClr val="14CD68"/>
                </a:gs>
                <a:gs pos="100000">
                  <a:srgbClr val="0B6E38"/>
                </a:gs>
              </a:gsLst>
              <a:lin ang="5400000" scaled="0"/>
            </a:gradFill>
            <a:ln>
              <a:noFill/>
            </a:ln>
            <a:effectLst/>
          </c:spPr>
          <c:invertIfNegative val="0"/>
          <c:dLbls>
            <c:delete val="1"/>
          </c:dLbls>
          <c:cat>
            <c:strRef>
              <c:f>'[十四五图表-20260331-v1.xlsx]3.实际利用外资'!$F$3:$F$7</c:f>
              <c:strCache>
                <c:ptCount val="5"/>
                <c:pt idx="0">
                  <c:v>2021年</c:v>
                </c:pt>
                <c:pt idx="1">
                  <c:v>2022年</c:v>
                </c:pt>
                <c:pt idx="2">
                  <c:v>2023年</c:v>
                </c:pt>
                <c:pt idx="3">
                  <c:v>2024年</c:v>
                </c:pt>
                <c:pt idx="4">
                  <c:v>2025年</c:v>
                </c:pt>
              </c:strCache>
            </c:strRef>
          </c:cat>
          <c:val>
            <c:numRef>
              <c:f>'[十四五图表-20260331-v1.xlsx]3.实际利用外资'!$H$3:$H$7</c:f>
              <c:numCache>
                <c:formatCode>General</c:formatCode>
                <c:ptCount val="5"/>
                <c:pt idx="0">
                  <c:v>0</c:v>
                </c:pt>
                <c:pt idx="1">
                  <c:v>0.001</c:v>
                </c:pt>
                <c:pt idx="2">
                  <c:v>0</c:v>
                </c:pt>
                <c:pt idx="3">
                  <c:v>0</c:v>
                </c:pt>
                <c:pt idx="4" c:formatCode="0.000_ ">
                  <c:v>0.0091</c:v>
                </c:pt>
              </c:numCache>
            </c:numRef>
          </c:val>
        </c:ser>
        <c:ser>
          <c:idx val="2"/>
          <c:order val="2"/>
          <c:tx>
            <c:strRef>
              <c:f>'[十四五图表-20260331-v1.xlsx]3.实际利用外资'!$I$2</c:f>
              <c:strCache>
                <c:ptCount val="1"/>
                <c:pt idx="0">
                  <c:v>第二产业（亿元）</c:v>
                </c:pt>
              </c:strCache>
            </c:strRef>
          </c:tx>
          <c:spPr>
            <a:solidFill>
              <a:srgbClr val="C0504D"/>
            </a:solidFill>
            <a:ln>
              <a:noFill/>
            </a:ln>
            <a:effectLst/>
          </c:spPr>
          <c:invertIfNegative val="0"/>
          <c:dLbls>
            <c:delete val="1"/>
          </c:dLbls>
          <c:cat>
            <c:strRef>
              <c:f>'[十四五图表-20260331-v1.xlsx]3.实际利用外资'!$F$3:$F$7</c:f>
              <c:strCache>
                <c:ptCount val="5"/>
                <c:pt idx="0">
                  <c:v>2021年</c:v>
                </c:pt>
                <c:pt idx="1">
                  <c:v>2022年</c:v>
                </c:pt>
                <c:pt idx="2">
                  <c:v>2023年</c:v>
                </c:pt>
                <c:pt idx="3">
                  <c:v>2024年</c:v>
                </c:pt>
                <c:pt idx="4">
                  <c:v>2025年</c:v>
                </c:pt>
              </c:strCache>
            </c:strRef>
          </c:cat>
          <c:val>
            <c:numRef>
              <c:f>'[十四五图表-20260331-v1.xlsx]3.实际利用外资'!$I$3:$I$7</c:f>
              <c:numCache>
                <c:formatCode>0.0_ </c:formatCode>
                <c:ptCount val="5"/>
                <c:pt idx="0">
                  <c:v>0.7306</c:v>
                </c:pt>
                <c:pt idx="1">
                  <c:v>0.8429</c:v>
                </c:pt>
                <c:pt idx="2">
                  <c:v>5.2553</c:v>
                </c:pt>
                <c:pt idx="3">
                  <c:v>3.2644</c:v>
                </c:pt>
                <c:pt idx="4">
                  <c:v>3.5427</c:v>
                </c:pt>
              </c:numCache>
            </c:numRef>
          </c:val>
        </c:ser>
        <c:ser>
          <c:idx val="3"/>
          <c:order val="3"/>
          <c:tx>
            <c:strRef>
              <c:f>'[十四五图表-20260331-v1.xlsx]3.实际利用外资'!$J$2</c:f>
              <c:strCache>
                <c:ptCount val="1"/>
                <c:pt idx="0">
                  <c:v>第三产业（亿元）</c:v>
                </c:pt>
              </c:strCache>
            </c:strRef>
          </c:tx>
          <c:spPr>
            <a:solidFill>
              <a:srgbClr val="2E75B6">
                <a:lumMod val="75000"/>
              </a:srgbClr>
            </a:solidFill>
            <a:ln>
              <a:noFill/>
            </a:ln>
            <a:effectLst/>
          </c:spPr>
          <c:invertIfNegative val="0"/>
          <c:dLbls>
            <c:delete val="1"/>
          </c:dLbls>
          <c:cat>
            <c:strRef>
              <c:f>'[十四五图表-20260331-v1.xlsx]3.实际利用外资'!$F$3:$F$7</c:f>
              <c:strCache>
                <c:ptCount val="5"/>
                <c:pt idx="0">
                  <c:v>2021年</c:v>
                </c:pt>
                <c:pt idx="1">
                  <c:v>2022年</c:v>
                </c:pt>
                <c:pt idx="2">
                  <c:v>2023年</c:v>
                </c:pt>
                <c:pt idx="3">
                  <c:v>2024年</c:v>
                </c:pt>
                <c:pt idx="4">
                  <c:v>2025年</c:v>
                </c:pt>
              </c:strCache>
            </c:strRef>
          </c:cat>
          <c:val>
            <c:numRef>
              <c:f>'[十四五图表-20260331-v1.xlsx]3.实际利用外资'!$J$3:$J$7</c:f>
              <c:numCache>
                <c:formatCode>0.0_ </c:formatCode>
                <c:ptCount val="5"/>
                <c:pt idx="0">
                  <c:v>4.5131</c:v>
                </c:pt>
                <c:pt idx="1">
                  <c:v>1.0808</c:v>
                </c:pt>
                <c:pt idx="2">
                  <c:v>0.2111</c:v>
                </c:pt>
                <c:pt idx="3">
                  <c:v>2.2191</c:v>
                </c:pt>
                <c:pt idx="4">
                  <c:v>9.4323</c:v>
                </c:pt>
              </c:numCache>
            </c:numRef>
          </c:val>
        </c:ser>
        <c:dLbls>
          <c:showLegendKey val="0"/>
          <c:showVal val="0"/>
          <c:showCatName val="0"/>
          <c:showSerName val="0"/>
          <c:showPercent val="0"/>
          <c:showBubbleSize val="0"/>
        </c:dLbls>
        <c:gapWidth val="219"/>
        <c:overlap val="100"/>
        <c:axId val="906660635"/>
        <c:axId val="190633100"/>
      </c:barChart>
      <c:lineChart>
        <c:grouping val="standard"/>
        <c:varyColors val="0"/>
        <c:ser>
          <c:idx val="0"/>
          <c:order val="0"/>
          <c:tx>
            <c:strRef>
              <c:f>'[十四五图表-20260331-v1.xlsx]3.实际利用外资'!$G$2</c:f>
              <c:strCache>
                <c:ptCount val="1"/>
                <c:pt idx="0">
                  <c:v>增速%</c:v>
                </c:pt>
              </c:strCache>
            </c:strRef>
          </c:tx>
          <c:spPr>
            <a:ln w="31750" cap="rnd">
              <a:solidFill>
                <a:srgbClr val="ED7D31"/>
              </a:solidFill>
              <a:round/>
            </a:ln>
            <a:effectLst/>
          </c:spPr>
          <c:marker>
            <c:symbol val="none"/>
          </c:marker>
          <c:dLbls>
            <c:delete val="1"/>
          </c:dLbls>
          <c:cat>
            <c:strRef>
              <c:f>'[十四五图表-20260331-v1.xlsx]3.实际利用外资'!$F$3:$F$7</c:f>
              <c:strCache>
                <c:ptCount val="5"/>
                <c:pt idx="0">
                  <c:v>2021年</c:v>
                </c:pt>
                <c:pt idx="1">
                  <c:v>2022年</c:v>
                </c:pt>
                <c:pt idx="2">
                  <c:v>2023年</c:v>
                </c:pt>
                <c:pt idx="3">
                  <c:v>2024年</c:v>
                </c:pt>
                <c:pt idx="4">
                  <c:v>2025年</c:v>
                </c:pt>
              </c:strCache>
            </c:strRef>
          </c:cat>
          <c:val>
            <c:numRef>
              <c:f>'[十四五图表-20260331-v1.xlsx]3.实际利用外资'!$G$3:$G$7</c:f>
              <c:numCache>
                <c:formatCode>0.0_ </c:formatCode>
                <c:ptCount val="5"/>
                <c:pt idx="0">
                  <c:v>143.9952</c:v>
                </c:pt>
                <c:pt idx="1">
                  <c:v>-63.295</c:v>
                </c:pt>
                <c:pt idx="2">
                  <c:v>184.0131</c:v>
                </c:pt>
                <c:pt idx="3">
                  <c:v>0.3128</c:v>
                </c:pt>
                <c:pt idx="4">
                  <c:v>136.7849</c:v>
                </c:pt>
              </c:numCache>
            </c:numRef>
          </c:val>
          <c:smooth val="0"/>
        </c:ser>
        <c:dLbls>
          <c:showLegendKey val="0"/>
          <c:showVal val="0"/>
          <c:showCatName val="0"/>
          <c:showSerName val="0"/>
          <c:showPercent val="0"/>
          <c:showBubbleSize val="0"/>
        </c:dLbls>
        <c:marker val="0"/>
        <c:smooth val="0"/>
        <c:axId val="970835229"/>
        <c:axId val="586704085"/>
      </c:lineChart>
      <c:catAx>
        <c:axId val="906660635"/>
        <c:scaling>
          <c:orientation val="minMax"/>
        </c:scaling>
        <c:delete val="0"/>
        <c:axPos val="b"/>
        <c:majorTickMark val="none"/>
        <c:minorTickMark val="none"/>
        <c:tickLblPos val="nextTo"/>
        <c:spPr>
          <a:noFill/>
          <a:ln w="9525" cap="flat" cmpd="sng" algn="ctr">
            <a:solidFill>
              <a:srgbClr val="E0E5EB">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44546A"/>
                </a:solidFill>
                <a:latin typeface="+mn-lt"/>
                <a:ea typeface="+mn-ea"/>
                <a:cs typeface="+mn-cs"/>
              </a:defRPr>
            </a:pPr>
          </a:p>
        </c:txPr>
        <c:crossAx val="190633100"/>
        <c:crosses val="autoZero"/>
        <c:auto val="1"/>
        <c:lblAlgn val="ctr"/>
        <c:lblOffset val="100"/>
        <c:noMultiLvlLbl val="0"/>
      </c:catAx>
      <c:valAx>
        <c:axId val="190633100"/>
        <c:scaling>
          <c:orientation val="minMax"/>
          <c:min val="0"/>
        </c:scaling>
        <c:delete val="0"/>
        <c:axPos val="l"/>
        <c:majorGridlines>
          <c:spPr>
            <a:ln w="9525" cap="flat" cmpd="sng" algn="ctr">
              <a:solidFill>
                <a:srgbClr val="000000">
                  <a:alpha val="20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44546A"/>
                </a:solidFill>
                <a:latin typeface="+mn-lt"/>
                <a:ea typeface="+mn-ea"/>
                <a:cs typeface="+mn-cs"/>
              </a:defRPr>
            </a:pPr>
          </a:p>
        </c:txPr>
        <c:crossAx val="906660635"/>
        <c:crosses val="autoZero"/>
        <c:crossBetween val="between"/>
      </c:valAx>
      <c:catAx>
        <c:axId val="970835229"/>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44546A"/>
                </a:solidFill>
                <a:latin typeface="+mn-lt"/>
                <a:ea typeface="+mn-ea"/>
                <a:cs typeface="+mn-cs"/>
              </a:defRPr>
            </a:pPr>
          </a:p>
        </c:txPr>
        <c:crossAx val="586704085"/>
        <c:crosses val="autoZero"/>
        <c:auto val="1"/>
        <c:lblAlgn val="ctr"/>
        <c:lblOffset val="100"/>
        <c:noMultiLvlLbl val="0"/>
      </c:catAx>
      <c:valAx>
        <c:axId val="586704085"/>
        <c:scaling>
          <c:orientation val="minMax"/>
          <c:max val="190"/>
          <c:min val="-65"/>
        </c:scaling>
        <c:delete val="0"/>
        <c:axPos val="r"/>
        <c:numFmt formatCode="0.0_ " sourceLinked="0"/>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44546A"/>
                </a:solidFill>
                <a:latin typeface="+mn-lt"/>
                <a:ea typeface="+mn-ea"/>
                <a:cs typeface="+mn-cs"/>
              </a:defRPr>
            </a:pPr>
          </a:p>
        </c:txPr>
        <c:crossAx val="970835229"/>
        <c:crosses val="max"/>
        <c:crossBetween val="between"/>
      </c:valAx>
      <c:dTable>
        <c:showHorzBorder val="1"/>
        <c:showVertBorder val="1"/>
        <c:showOutline val="1"/>
        <c:showKeys val="0"/>
        <c:spPr>
          <a:noFill/>
          <a:ln w="9525">
            <a:solidFill>
              <a:srgbClr val="000000">
                <a:alpha val="30000"/>
              </a:srgbClr>
            </a:solidFill>
          </a:ln>
          <a:effectLst/>
        </c:spPr>
        <c:txPr>
          <a:bodyPr rot="0" spcFirstLastPara="0" vertOverflow="ellipsis" vert="horz" wrap="square" anchor="ctr" anchorCtr="1"/>
          <a:lstStyle/>
          <a:p>
            <a:pPr>
              <a:defRPr lang="zh-CN" sz="1000" b="0" i="0" u="none" strike="noStrike" kern="1200" cap="none" spc="0" normalizeH="0" baseline="0">
                <a:solidFill>
                  <a:srgbClr val="000000"/>
                </a:solidFill>
                <a:uFill>
                  <a:solidFill>
                    <a:srgbClr val="44546A"/>
                  </a:solidFill>
                </a:uFill>
                <a:latin typeface="Times New Roman" panose="02020603050405020304" charset="0"/>
                <a:ea typeface="汉仪中宋简" panose="02010600000101010101" charset="-122"/>
                <a:cs typeface="+mn-cs"/>
              </a:defRPr>
            </a:pPr>
          </a:p>
        </c:txPr>
      </c:dTable>
      <c:spPr>
        <a:noFill/>
        <a:ln>
          <a:noFill/>
        </a:ln>
        <a:effectLst/>
      </c:spPr>
    </c:plotArea>
    <c:legend>
      <c:legendPos val="r"/>
      <c:layout>
        <c:manualLayout>
          <c:xMode val="edge"/>
          <c:yMode val="edge"/>
          <c:x val="0.783281458425967"/>
          <c:y val="0.399153259949196"/>
          <c:w val="0.176345042240996"/>
          <c:h val="0.26164267569856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44546A"/>
              </a:solidFill>
              <a:latin typeface="+mn-lt"/>
              <a:ea typeface="+mn-ea"/>
              <a:cs typeface="+mn-cs"/>
            </a:defRPr>
          </a:pPr>
        </a:p>
      </c:txPr>
    </c:legend>
    <c:plotVisOnly val="1"/>
    <c:dispBlanksAs val="gap"/>
    <c:showDLblsOverMax val="0"/>
  </c:chart>
  <c:spPr>
    <a:solidFill>
      <a:srgbClr val="FFFFFF"/>
    </a:solidFill>
    <a:ln w="9525" cap="flat" cmpd="sng" algn="ctr">
      <a:solidFill>
        <a:srgbClr val="000000"/>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r>
              <a:rPr altLang="en-US" sz="1400">
                <a:solidFill>
                  <a:srgbClr val="000000"/>
                </a:solidFill>
                <a:uFillTx/>
                <a:latin typeface="仿宋_GB2312" panose="02010609030101010101" charset="-122"/>
                <a:ea typeface="仿宋_GB2312" panose="02010609030101010101" charset="-122"/>
                <a:cs typeface="仿宋_GB2312" panose="02010609030101010101" charset="-122"/>
                <a:sym typeface="楷体" panose="02010609060101010101" charset="-122"/>
              </a:rPr>
              <a:t>“十四五”期间汕头市境外非金融类直接投资企业</a:t>
            </a:r>
            <a:endParaRPr altLang="en-US" sz="1400">
              <a:solidFill>
                <a:srgbClr val="000000"/>
              </a:solidFill>
              <a:uFillTx/>
              <a:latin typeface="仿宋_GB2312" panose="02010609030101010101" charset="-122"/>
              <a:ea typeface="仿宋_GB2312" panose="02010609030101010101" charset="-122"/>
              <a:cs typeface="仿宋_GB2312" panose="02010609030101010101" charset="-122"/>
              <a:sym typeface="楷体" panose="02010609060101010101" charset="-122"/>
            </a:endParaRPr>
          </a:p>
          <a:p>
            <a:pPr defTabSz="914400">
              <a:defRPr lang="zh-CN" sz="1400" b="0" i="0" u="none" strike="noStrike" kern="1200" spc="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r>
              <a:rPr altLang="en-US" sz="1400">
                <a:solidFill>
                  <a:srgbClr val="000000"/>
                </a:solidFill>
                <a:uFillTx/>
                <a:latin typeface="仿宋_GB2312" panose="02010609030101010101" charset="-122"/>
                <a:ea typeface="仿宋_GB2312" panose="02010609030101010101" charset="-122"/>
                <a:cs typeface="仿宋_GB2312" panose="02010609030101010101" charset="-122"/>
                <a:sym typeface="楷体" panose="02010609060101010101" charset="-122"/>
              </a:rPr>
              <a:t>总投资额</a:t>
            </a:r>
            <a:endParaRPr altLang="en-US" sz="1400">
              <a:solidFill>
                <a:srgbClr val="000000"/>
              </a:solidFill>
              <a:uFillTx/>
              <a:latin typeface="仿宋_GB2312" panose="02010609030101010101" charset="-122"/>
              <a:ea typeface="仿宋_GB2312" panose="02010609030101010101" charset="-122"/>
              <a:cs typeface="仿宋_GB2312" panose="02010609030101010101" charset="-122"/>
              <a:sym typeface="楷体" panose="02010609060101010101" charset="-122"/>
            </a:endParaRPr>
          </a:p>
        </c:rich>
      </c:tx>
      <c:layout>
        <c:manualLayout>
          <c:xMode val="edge"/>
          <c:yMode val="edge"/>
          <c:x val="0.118779480010629"/>
          <c:y val="0.00818968151644469"/>
        </c:manualLayout>
      </c:layout>
      <c:overlay val="0"/>
      <c:spPr>
        <a:noFill/>
        <a:ln>
          <a:noFill/>
        </a:ln>
        <a:effectLst/>
      </c:spPr>
    </c:title>
    <c:autoTitleDeleted val="0"/>
    <c:plotArea>
      <c:layout>
        <c:manualLayout>
          <c:layoutTarget val="inner"/>
          <c:xMode val="edge"/>
          <c:yMode val="edge"/>
          <c:x val="0.167534586165534"/>
          <c:y val="0.267525035765379"/>
          <c:w val="0.592201519392243"/>
          <c:h val="0.554163090128755"/>
        </c:manualLayout>
      </c:layout>
      <c:barChart>
        <c:barDir val="col"/>
        <c:grouping val="clustered"/>
        <c:varyColors val="0"/>
        <c:ser>
          <c:idx val="0"/>
          <c:order val="0"/>
          <c:tx>
            <c:strRef>
              <c:f>'[十四五图表-20260331-v1.xlsx]4.对外投资'!$H$2</c:f>
              <c:strCache>
                <c:ptCount val="1"/>
                <c:pt idx="0">
                  <c:v>总投资额
（亿美元）</c:v>
                </c:pt>
              </c:strCache>
            </c:strRef>
          </c:tx>
          <c:spPr>
            <a:solidFill>
              <a:srgbClr val="5B9BD5"/>
            </a:solidFill>
            <a:ln>
              <a:noFill/>
            </a:ln>
            <a:effectLst/>
          </c:spPr>
          <c:invertIfNegative val="0"/>
          <c:dLbls>
            <c:delete val="1"/>
          </c:dLbls>
          <c:cat>
            <c:strRef>
              <c:f>'[十四五图表-20260331-v1.xlsx]4.对外投资'!$G$3:$G$7</c:f>
              <c:strCache>
                <c:ptCount val="5"/>
                <c:pt idx="0">
                  <c:v>2021年</c:v>
                </c:pt>
                <c:pt idx="1">
                  <c:v>2022年</c:v>
                </c:pt>
                <c:pt idx="2">
                  <c:v>2023年</c:v>
                </c:pt>
                <c:pt idx="3">
                  <c:v>2024年</c:v>
                </c:pt>
                <c:pt idx="4">
                  <c:v>2025年</c:v>
                </c:pt>
              </c:strCache>
            </c:strRef>
          </c:cat>
          <c:val>
            <c:numRef>
              <c:f>'[十四五图表-20260331-v1.xlsx]4.对外投资'!$H$3:$H$7</c:f>
              <c:numCache>
                <c:formatCode>0.0_ </c:formatCode>
                <c:ptCount val="5"/>
                <c:pt idx="0">
                  <c:v>0.15</c:v>
                </c:pt>
                <c:pt idx="1">
                  <c:v>1.8</c:v>
                </c:pt>
                <c:pt idx="2">
                  <c:v>0.19</c:v>
                </c:pt>
                <c:pt idx="3">
                  <c:v>0.61</c:v>
                </c:pt>
                <c:pt idx="4">
                  <c:v>0.95</c:v>
                </c:pt>
              </c:numCache>
            </c:numRef>
          </c:val>
        </c:ser>
        <c:dLbls>
          <c:showLegendKey val="0"/>
          <c:showVal val="0"/>
          <c:showCatName val="0"/>
          <c:showSerName val="0"/>
          <c:showPercent val="0"/>
          <c:showBubbleSize val="0"/>
        </c:dLbls>
        <c:gapWidth val="219"/>
        <c:overlap val="0"/>
        <c:axId val="631121429"/>
        <c:axId val="253146683"/>
      </c:barChart>
      <c:lineChart>
        <c:grouping val="standard"/>
        <c:varyColors val="0"/>
        <c:ser>
          <c:idx val="1"/>
          <c:order val="1"/>
          <c:tx>
            <c:strRef>
              <c:f>'[十四五图表-20260331-v1.xlsx]4.对外投资'!$I$2</c:f>
              <c:strCache>
                <c:ptCount val="1"/>
                <c:pt idx="0">
                  <c:v>增速%</c:v>
                </c:pt>
              </c:strCache>
            </c:strRef>
          </c:tx>
          <c:spPr>
            <a:ln w="28575" cap="rnd">
              <a:solidFill>
                <a:srgbClr val="ED7D31"/>
              </a:solidFill>
              <a:round/>
            </a:ln>
            <a:effectLst/>
          </c:spPr>
          <c:marker>
            <c:symbol val="none"/>
          </c:marker>
          <c:dLbls>
            <c:delete val="1"/>
          </c:dLbls>
          <c:cat>
            <c:strRef>
              <c:f>'[十四五图表-20260331-v1.xlsx]4.对外投资'!$G$3:$G$7</c:f>
              <c:strCache>
                <c:ptCount val="5"/>
                <c:pt idx="0">
                  <c:v>2021年</c:v>
                </c:pt>
                <c:pt idx="1">
                  <c:v>2022年</c:v>
                </c:pt>
                <c:pt idx="2">
                  <c:v>2023年</c:v>
                </c:pt>
                <c:pt idx="3">
                  <c:v>2024年</c:v>
                </c:pt>
                <c:pt idx="4">
                  <c:v>2025年</c:v>
                </c:pt>
              </c:strCache>
            </c:strRef>
          </c:cat>
          <c:val>
            <c:numRef>
              <c:f>'[十四五图表-20260331-v1.xlsx]4.对外投资'!$I$3:$I$7</c:f>
              <c:numCache>
                <c:formatCode>0.0_ </c:formatCode>
                <c:ptCount val="5"/>
                <c:pt idx="0">
                  <c:v>150</c:v>
                </c:pt>
                <c:pt idx="1">
                  <c:v>1100</c:v>
                </c:pt>
                <c:pt idx="2">
                  <c:v>-89.4444444444444</c:v>
                </c:pt>
                <c:pt idx="3">
                  <c:v>221.052631578947</c:v>
                </c:pt>
                <c:pt idx="4">
                  <c:v>55.7377049180328</c:v>
                </c:pt>
              </c:numCache>
            </c:numRef>
          </c:val>
          <c:smooth val="0"/>
        </c:ser>
        <c:dLbls>
          <c:showLegendKey val="0"/>
          <c:showVal val="0"/>
          <c:showCatName val="0"/>
          <c:showSerName val="0"/>
          <c:showPercent val="0"/>
          <c:showBubbleSize val="0"/>
        </c:dLbls>
        <c:marker val="0"/>
        <c:smooth val="0"/>
        <c:axId val="533569179"/>
        <c:axId val="473056767"/>
      </c:lineChart>
      <c:catAx>
        <c:axId val="631121429"/>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p>
        </c:txPr>
        <c:crossAx val="253146683"/>
        <c:crosses val="autoZero"/>
        <c:auto val="1"/>
        <c:lblAlgn val="ctr"/>
        <c:lblOffset val="100"/>
        <c:noMultiLvlLbl val="0"/>
      </c:catAx>
      <c:valAx>
        <c:axId val="253146683"/>
        <c:scaling>
          <c:orientation val="minMax"/>
          <c:max val="2"/>
          <c:min val="0"/>
        </c:scaling>
        <c:delete val="0"/>
        <c:axPos val="l"/>
        <c:majorGridlines>
          <c:spPr>
            <a:ln w="9525" cap="flat" cmpd="sng" algn="ctr">
              <a:solidFill>
                <a:srgbClr val="000000">
                  <a:alpha val="20000"/>
                </a:srgbClr>
              </a:solidFill>
              <a:round/>
            </a:ln>
            <a:effectLst/>
          </c:spPr>
        </c:majorGridlines>
        <c:numFmt formatCode="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p>
        </c:txPr>
        <c:crossAx val="631121429"/>
        <c:crosses val="autoZero"/>
        <c:crossBetween val="between"/>
        <c:majorUnit val="0.5"/>
      </c:valAx>
      <c:catAx>
        <c:axId val="533569179"/>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p>
        </c:txPr>
        <c:crossAx val="473056767"/>
        <c:crosses val="autoZero"/>
        <c:auto val="1"/>
        <c:lblAlgn val="ctr"/>
        <c:lblOffset val="100"/>
        <c:noMultiLvlLbl val="0"/>
      </c:catAx>
      <c:valAx>
        <c:axId val="473056767"/>
        <c:scaling>
          <c:orientation val="minMax"/>
          <c:max val="1200"/>
          <c:min val="-100"/>
        </c:scaling>
        <c:delete val="0"/>
        <c:axPos val="r"/>
        <c:numFmt formatCode="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p>
        </c:txPr>
        <c:crossAx val="533569179"/>
        <c:crosses val="max"/>
        <c:crossBetween val="between"/>
        <c:majorUnit val="300"/>
      </c:valAx>
      <c:dTable>
        <c:showHorzBorder val="1"/>
        <c:showVertBorder val="1"/>
        <c:showOutline val="1"/>
        <c:showKeys val="0"/>
        <c:spPr>
          <a:noFill/>
          <a:ln w="9525" cap="flat" cmpd="sng" algn="ctr">
            <a:solidFill>
              <a:srgbClr val="000000">
                <a:alpha val="30000"/>
              </a:srgbClr>
            </a:solidFill>
            <a:round/>
          </a:ln>
          <a:effectLst/>
        </c:spPr>
        <c:txPr>
          <a:bodyPr rot="0" spcFirstLastPara="0" vertOverflow="ellipsis" vert="horz" wrap="square" anchor="ctr" anchorCtr="1"/>
          <a:lstStyle/>
          <a:p>
            <a:pPr>
              <a:defRPr lang="zh-CN" sz="1000" b="0" i="0" u="none" strike="noStrike" kern="1200" cap="none" spc="0" normalizeH="0" baseline="0">
                <a:solidFill>
                  <a:srgbClr val="000000"/>
                </a:solidFill>
                <a:uFill>
                  <a:solidFill>
                    <a:srgbClr val="595959">
                      <a:lumMod val="65000"/>
                      <a:lumOff val="35000"/>
                    </a:srgbClr>
                  </a:solidFill>
                </a:uFill>
                <a:latin typeface="楷体" panose="02010609060101010101" charset="-122"/>
                <a:ea typeface="楷体" panose="02010609060101010101" charset="-122"/>
                <a:cs typeface="楷体" panose="02010609060101010101" charset="-122"/>
                <a:sym typeface="楷体" panose="02010609060101010101" charset="-122"/>
              </a:defRPr>
            </a:pPr>
          </a:p>
        </c:txPr>
      </c:dTable>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p>
        </c:txPr>
      </c:legendEntry>
      <c:legendEntry>
        <c:idx val="1"/>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p>
        </c:txPr>
      </c:legendEntry>
      <c:layout>
        <c:manualLayout>
          <c:xMode val="edge"/>
          <c:yMode val="edge"/>
          <c:x val="0.831367453018792"/>
          <c:y val="0.48018597997138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楷体" panose="02010609060101010101" charset="-122"/>
              <a:ea typeface="楷体" panose="02010609060101010101" charset="-122"/>
              <a:cs typeface="楷体" panose="02010609060101010101" charset="-122"/>
              <a:sym typeface="楷体" panose="02010609060101010101" charset="-122"/>
            </a:defRPr>
          </a:pPr>
        </a:p>
      </c:txPr>
    </c:legend>
    <c:plotVisOnly val="1"/>
    <c:dispBlanksAs val="gap"/>
    <c:showDLblsOverMax val="0"/>
  </c:chart>
  <c:spPr>
    <a:solidFill>
      <a:srgbClr val="FFFFFF"/>
    </a:solidFill>
    <a:ln w="9525" cap="flat" cmpd="sng" algn="ctr">
      <a:solidFill>
        <a:srgbClr val="000000"/>
      </a:solidFill>
      <a:round/>
    </a:ln>
    <a:effectLst/>
  </c:spPr>
  <c:txPr>
    <a:bodyPr/>
    <a:lstStyle/>
    <a:p>
      <a:pPr>
        <a:defRPr lang="zh-CN">
          <a:latin typeface="楷体" panose="02010609060101010101" charset="-122"/>
          <a:ea typeface="楷体" panose="02010609060101010101" charset="-122"/>
          <a:cs typeface="楷体" panose="02010609060101010101" charset="-122"/>
          <a:sym typeface="楷体" panose="0201060906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rgbClr val="44546A"/>
    </cs:fontRef>
    <cs:defRPr sz="900" b="1" kern="1200"/>
  </cs:axisTitle>
  <cs:categoryAxis>
    <cs:lnRef idx="0"/>
    <cs:fillRef idx="0"/>
    <cs:effectRef idx="0"/>
    <cs:fontRef idx="minor">
      <a:srgbClr val="44546A"/>
    </cs:fontRef>
    <cs:spPr>
      <a:ln w="9525" cap="flat" cmpd="sng" algn="ctr">
        <a:solidFill>
          <a:srgbClr val="E0E5EB">
            <a:lumMod val="15000"/>
            <a:lumOff val="85000"/>
          </a:srgbClr>
        </a:solidFill>
        <a:round/>
      </a:ln>
    </cs:spPr>
    <cs:defRPr sz="900" kern="1200"/>
  </cs:categoryAxis>
  <cs:chartArea mods="allowNoFillOverride allowNoLineOverride">
    <cs:lnRef idx="0"/>
    <cs:fillRef idx="0"/>
    <cs:effectRef idx="0"/>
    <cs:fontRef idx="minor">
      <a:srgbClr val="44546A"/>
    </cs:fontRef>
    <cs:spPr>
      <a:solidFill>
        <a:srgbClr val="FFFFFF"/>
      </a:solidFill>
      <a:ln w="9525" cap="flat" cmpd="sng" algn="ctr">
        <a:solidFill>
          <a:srgbClr val="E0E5EB">
            <a:lumMod val="15000"/>
            <a:lumOff val="85000"/>
          </a:srgbClr>
        </a:solidFill>
        <a:round/>
      </a:ln>
    </cs:spPr>
    <cs:defRPr sz="900" kern="1200"/>
  </cs:chartArea>
  <cs:dataLabel>
    <cs:lnRef idx="0"/>
    <cs:fillRef idx="0"/>
    <cs:effectRef idx="0"/>
    <cs:fontRef idx="minor">
      <a:srgbClr val="44546A"/>
    </cs:fontRef>
    <cs:defRPr sz="900" kern="1200"/>
  </cs:dataLabel>
  <cs:dataLabelCallout>
    <cs:lnRef idx="0"/>
    <cs:fillRef idx="0"/>
    <cs:effectRef idx="0"/>
    <cs:fontRef idx="minor">
      <a:srgbClr val="333F50">
        <a:lumMod val="7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rgbClr val="44546A"/>
    </cs:fontRef>
  </cs:dataPoint>
  <cs:dataPoint3D>
    <cs:lnRef idx="0"/>
    <cs:fillRef idx="3">
      <cs:styleClr val="auto"/>
    </cs:fillRef>
    <cs:effectRef idx="2"/>
    <cs:fontRef idx="minor">
      <a:srgbClr val="44546A"/>
    </cs:fontRef>
  </cs:dataPoint3D>
  <cs:dataPointLine>
    <cs:lnRef idx="0">
      <cs:styleClr val="auto"/>
    </cs:lnRef>
    <cs:fillRef idx="3"/>
    <cs:effectRef idx="2"/>
    <cs:fontRef idx="minor">
      <a:srgbClr val="44546A"/>
    </cs:fontRef>
    <cs:spPr>
      <a:ln w="31750" cap="rnd">
        <a:solidFill>
          <a:srgbClr val="FFFFFF"/>
        </a:solidFill>
        <a:round/>
      </a:ln>
    </cs:spPr>
  </cs:dataPointLine>
  <cs:dataPointMarker>
    <cs:lnRef idx="0"/>
    <cs:fillRef idx="3">
      <cs:styleClr val="auto"/>
    </cs:fillRef>
    <cs:effectRef idx="2"/>
    <cs:fontRef idx="minor">
      <a:srgbClr val="44546A"/>
    </cs:fontRef>
    <cs:spPr>
      <a:ln w="12700">
        <a:solidFill>
          <a:srgbClr val="E7E6E6"/>
        </a:solidFill>
        <a:round/>
      </a:ln>
    </cs:spPr>
  </cs:dataPointMarker>
  <cs:dataPointMarkerLayout symbol="circle" size="6"/>
  <cs:dataPointWireframe>
    <cs:lnRef idx="0">
      <cs:styleClr val="auto"/>
    </cs:lnRef>
    <cs:fillRef idx="3"/>
    <cs:effectRef idx="2"/>
    <cs:fontRef idx="minor">
      <a:srgbClr val="44546A"/>
    </cs:fontRef>
    <cs:spPr>
      <a:ln w="9525" cap="rnd">
        <a:solidFill>
          <a:srgbClr val="FFFFFF"/>
        </a:solidFill>
        <a:round/>
      </a:ln>
    </cs:spPr>
  </cs:dataPointWireframe>
  <cs:dataTable>
    <cs:lnRef idx="0"/>
    <cs:fillRef idx="0"/>
    <cs:effectRef idx="0"/>
    <cs:fontRef idx="minor">
      <a:srgbClr val="44546A"/>
    </cs:fontRef>
    <cs:spPr>
      <a:ln w="9525">
        <a:solidFill>
          <a:srgbClr val="E0E5EB">
            <a:lumMod val="15000"/>
            <a:lumOff val="85000"/>
          </a:srgbClr>
        </a:solidFill>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44546A"/>
    </cs:fontRef>
    <cs:spPr>
      <a:ln w="9525">
        <a:solidFill>
          <a:srgbClr val="404040">
            <a:lumMod val="75000"/>
            <a:lumOff val="25000"/>
          </a:srgbClr>
        </a:solidFill>
        <a:prstDash val="dash"/>
      </a:ln>
    </cs:spPr>
  </cs:dropLine>
  <cs:errorBar>
    <cs:lnRef idx="0"/>
    <cs:fillRef idx="0"/>
    <cs:effectRef idx="0"/>
    <cs:fontRef idx="minor">
      <a:srgbClr val="44546A"/>
    </cs:fontRef>
    <cs:spPr>
      <a:ln w="9525">
        <a:solidFill>
          <a:srgbClr val="333F50">
            <a:lumMod val="75000"/>
          </a:srgbClr>
        </a:solidFill>
        <a:round/>
      </a:ln>
    </cs:spPr>
  </cs:errorBar>
  <cs:floor>
    <cs:lnRef idx="0"/>
    <cs:fillRef idx="0"/>
    <cs:effectRef idx="0"/>
    <cs:fontRef idx="minor">
      <a:srgbClr val="44546A"/>
    </cs:fontRef>
  </cs:floor>
  <cs:gridlineMajor>
    <cs:lnRef idx="0"/>
    <cs:fillRef idx="0"/>
    <cs:effectRef idx="0"/>
    <cs:fontRef idx="minor">
      <a:srgbClr val="44546A"/>
    </cs:fontRef>
    <cs:spPr>
      <a:ln w="9525" cap="flat" cmpd="sng" algn="ctr">
        <a:solidFill>
          <a:srgbClr val="E0E5EB">
            <a:lumMod val="15000"/>
            <a:lumOff val="85000"/>
          </a:srgbClr>
        </a:solidFill>
        <a:round/>
      </a:ln>
    </cs:spPr>
  </cs:gridlineMajor>
  <cs:gridlineMinor>
    <cs:lnRef idx="0"/>
    <cs:fillRef idx="0"/>
    <cs:effectRef idx="0"/>
    <cs:fontRef idx="minor">
      <a:srgbClr val="44546A"/>
    </cs:fontRef>
    <cs:spPr>
      <a:ln>
        <a:solidFill>
          <a:srgbClr val="F5F6F8">
            <a:lumMod val="5000"/>
            <a:lumOff val="95000"/>
          </a:srgbClr>
        </a:solidFill>
      </a:ln>
    </cs:spPr>
  </cs:gridlineMinor>
  <cs:hiLoLine>
    <cs:lnRef idx="0"/>
    <cs:fillRef idx="0"/>
    <cs:effectRef idx="0"/>
    <cs:fontRef idx="minor">
      <a:srgbClr val="44546A"/>
    </cs:fontRef>
    <cs:spPr>
      <a:ln w="9525">
        <a:solidFill>
          <a:srgbClr val="404040">
            <a:lumMod val="75000"/>
            <a:lumOff val="25000"/>
          </a:srgbClr>
        </a:solidFill>
      </a:ln>
    </cs:spPr>
  </cs:hiLoLine>
  <cs:leaderLine>
    <cs:lnRef idx="0"/>
    <cs:fillRef idx="0"/>
    <cs:effectRef idx="0"/>
    <cs:fontRef idx="minor">
      <a:srgbClr val="44546A"/>
    </cs:fontRef>
    <cs:spPr>
      <a:ln w="9525">
        <a:solidFill>
          <a:srgbClr val="B7C2D1">
            <a:lumMod val="35000"/>
            <a:lumOff val="65000"/>
          </a:srgbClr>
        </a:solidFill>
      </a:ln>
    </cs:spPr>
  </cs:leaderLine>
  <cs:legend>
    <cs:lnRef idx="0"/>
    <cs:fillRef idx="0"/>
    <cs:effectRef idx="0"/>
    <cs:fontRef idx="minor">
      <a:srgbClr val="44546A"/>
    </cs:fontRef>
    <cs:defRPr sz="900" kern="1200"/>
  </cs:legend>
  <cs:plotArea>
    <cs:lnRef idx="0"/>
    <cs:fillRef idx="0"/>
    <cs:effectRef idx="0"/>
    <cs:fontRef idx="minor">
      <a:srgbClr val="44546A"/>
    </cs:fontRef>
  </cs:plotArea>
  <cs:plotArea3D>
    <cs:lnRef idx="0"/>
    <cs:fillRef idx="0"/>
    <cs:effectRef idx="0"/>
    <cs:fontRef idx="minor">
      <a:srgbClr val="44546A"/>
    </cs:fontRef>
  </cs:plotArea3D>
  <cs:seriesAxis>
    <cs:lnRef idx="0"/>
    <cs:fillRef idx="0"/>
    <cs:effectRef idx="0"/>
    <cs:fontRef idx="minor">
      <a:srgbClr val="44546A"/>
    </cs:fontRef>
    <cs:spPr>
      <a:ln w="9525" cap="flat" cmpd="sng" algn="ctr">
        <a:solidFill>
          <a:srgbClr val="E0E5EB">
            <a:lumMod val="15000"/>
            <a:lumOff val="85000"/>
          </a:srgbClr>
        </a:solidFill>
        <a:round/>
      </a:ln>
    </cs:spPr>
    <cs:defRPr sz="900" kern="1200"/>
  </cs:seriesAxis>
  <cs:seriesLine>
    <cs:lnRef idx="0"/>
    <cs:fillRef idx="0"/>
    <cs:effectRef idx="0"/>
    <cs:fontRef idx="minor">
      <a:srgbClr val="44546A"/>
    </cs:fontRef>
    <cs:spPr>
      <a:ln w="9525">
        <a:solidFill>
          <a:srgbClr val="8497B0">
            <a:lumMod val="60000"/>
            <a:lumOff val="40000"/>
          </a:srgbClr>
        </a:solidFill>
        <a:prstDash val="dash"/>
      </a:ln>
    </cs:spPr>
  </cs:seriesLine>
  <cs:title>
    <cs:lnRef idx="0"/>
    <cs:fillRef idx="0"/>
    <cs:effectRef idx="0"/>
    <cs:fontRef idx="minor">
      <a:srgbClr val="44546A"/>
    </cs:fontRef>
    <cs:defRPr sz="1600" b="1" kern="1200"/>
  </cs:title>
  <cs:trendline>
    <cs:lnRef idx="0">
      <cs:styleClr val="auto"/>
    </cs:lnRef>
    <cs:fillRef idx="0"/>
    <cs:effectRef idx="0"/>
    <cs:fontRef idx="minor">
      <a:srgbClr val="44546A"/>
    </cs:fontRef>
    <cs:spPr>
      <a:ln w="19050" cap="rnd">
        <a:solidFill>
          <a:srgbClr val="FFFFFF"/>
        </a:solidFill>
        <a:prstDash val="sysDash"/>
      </a:ln>
    </cs:spPr>
  </cs:trendline>
  <cs:trendlineLabel>
    <cs:lnRef idx="0"/>
    <cs:fillRef idx="0"/>
    <cs:effectRef idx="0"/>
    <cs:fontRef idx="minor">
      <a:srgbClr val="44546A"/>
    </cs:fontRef>
    <cs:defRPr sz="900" kern="1200"/>
  </cs:trendlineLabel>
  <cs:upBar>
    <cs:lnRef idx="0"/>
    <cs:fillRef idx="0"/>
    <cs:effectRef idx="0"/>
    <cs:fontRef idx="minor">
      <a:srgbClr val="44546A"/>
    </cs:fontRef>
    <cs:spPr>
      <a:solidFill>
        <a:srgbClr val="FFFFFF"/>
      </a:solidFill>
      <a:ln w="9525">
        <a:solidFill>
          <a:srgbClr val="D9D9D9">
            <a:lumMod val="15000"/>
            <a:lumOff val="85000"/>
          </a:srgbClr>
        </a:solidFill>
      </a:ln>
    </cs:spPr>
  </cs:upBar>
  <cs:valueAxis>
    <cs:lnRef idx="0"/>
    <cs:fillRef idx="0"/>
    <cs:effectRef idx="0"/>
    <cs:fontRef idx="minor">
      <a:srgbClr val="44546A"/>
    </cs:fontRef>
    <cs:defRPr sz="900" kern="1200"/>
  </cs:valueAxis>
  <cs:wall>
    <cs:lnRef idx="0"/>
    <cs:fillRef idx="0"/>
    <cs:effectRef idx="0"/>
    <cs:fontRef idx="minor">
      <a:srgbClr val="44546A"/>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14580</Words>
  <Characters>14840</Characters>
  <Lines>0</Lines>
  <Paragraphs>0</Paragraphs>
  <TotalTime>3.33333333333333</TotalTime>
  <ScaleCrop>false</ScaleCrop>
  <LinksUpToDate>false</LinksUpToDate>
  <CharactersWithSpaces>14900</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2026-04-10T17:14:00Z</dcterms:created>
  <dc:creator>user</dc:creator>
  <cp:lastModifiedBy>user</cp:lastModifiedBy>
  <dcterms:modified xsi:type="dcterms:W3CDTF">2026-08-10T11:35:04Z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08224A50BF444E8DE846796AE6E13A56</vt:lpwstr>
  </property>
  <property fmtid="{D5CDD505-2E9C-101B-9397-08002B2CF9AE}" pid="4" name="KSOTemplateDocerSaveRecord">
    <vt:lpwstr>eyJoZGlkIjoiNTM0NDVkZGY2ZDJmYjYwYTQyYzdhODEzYjQxOTM0MjYiLCJ1c2VySWQiOiI1Mzc0NTYyNDAifQ==</vt:lpwstr>
  </property>
</Properties>
</file>