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7"/>
        <w:tblW w:w="9526" w:type="dxa"/>
        <w:jc w:val="center"/>
        <w:tblLayout w:type="fixed"/>
        <w:tblCellMar>
          <w:top w:w="0" w:type="dxa"/>
          <w:left w:w="108" w:type="dxa"/>
          <w:bottom w:w="0" w:type="dxa"/>
          <w:right w:w="108" w:type="dxa"/>
        </w:tblCellMar>
      </w:tblPr>
      <w:tblGrid>
        <w:gridCol w:w="9526"/>
      </w:tblGrid>
      <w:tr w14:paraId="565ADE38">
        <w:tblPrEx>
          <w:tblCellMar>
            <w:top w:w="0" w:type="dxa"/>
            <w:left w:w="108" w:type="dxa"/>
            <w:bottom w:w="0" w:type="dxa"/>
            <w:right w:w="108" w:type="dxa"/>
          </w:tblCellMar>
        </w:tblPrEx>
        <w:trPr>
          <w:jc w:val="center"/>
        </w:trPr>
        <w:tc>
          <w:tcPr>
            <w:tcW w:w="9526" w:type="dxa"/>
            <w:tcBorders>
              <w:top w:val="single" w:color="000000" w:sz="12" w:space="0"/>
              <w:left w:val="single" w:color="000000" w:sz="12" w:space="0"/>
              <w:bottom w:val="single" w:color="000000" w:sz="12" w:space="0"/>
              <w:right w:val="single" w:color="000000" w:sz="12" w:space="0"/>
            </w:tcBorders>
            <w:tcMar>
              <w:top w:w="0" w:type="dxa"/>
              <w:left w:w="28" w:type="dxa"/>
              <w:bottom w:w="0" w:type="dxa"/>
              <w:right w:w="28" w:type="dxa"/>
            </w:tcMar>
          </w:tcPr>
          <w:p w14:paraId="5833E44E">
            <w:pPr>
              <w:keepNext w:val="0"/>
              <w:keepLines w:val="0"/>
              <w:pageBreakBefore w:val="0"/>
              <w:widowControl w:val="0"/>
              <w:kinsoku/>
              <w:wordWrap/>
              <w:overflowPunct/>
              <w:topLinePunct w:val="0"/>
              <w:autoSpaceDE/>
              <w:autoSpaceDN/>
              <w:bidi w:val="0"/>
              <w:spacing w:line="440" w:lineRule="exact"/>
              <w:ind w:firstLine="422"/>
              <w:textAlignment w:val="auto"/>
              <w:rPr>
                <w:rFonts w:asciiTheme="minorEastAsia" w:hAnsiTheme="minorEastAsia" w:eastAsiaTheme="minorEastAsia"/>
                <w:sz w:val="24"/>
                <w:szCs w:val="24"/>
              </w:rPr>
            </w:pPr>
            <w:r>
              <w:rPr>
                <w:rFonts w:asciiTheme="minorEastAsia" w:hAnsiTheme="minorEastAsia" w:eastAsiaTheme="minorEastAsia"/>
                <w:b/>
                <w:bCs/>
                <w:sz w:val="24"/>
                <w:szCs w:val="24"/>
              </w:rPr>
              <w:t>审批意见：</w:t>
            </w:r>
          </w:p>
          <w:p w14:paraId="57E77BCD">
            <w:pPr>
              <w:keepNext w:val="0"/>
              <w:keepLines w:val="0"/>
              <w:pageBreakBefore w:val="0"/>
              <w:widowControl w:val="0"/>
              <w:kinsoku/>
              <w:wordWrap/>
              <w:overflowPunct/>
              <w:topLinePunct w:val="0"/>
              <w:autoSpaceDE/>
              <w:autoSpaceDN/>
              <w:bidi w:val="0"/>
              <w:spacing w:line="440" w:lineRule="exact"/>
              <w:ind w:firstLine="42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根据</w:t>
            </w:r>
            <w:r>
              <w:rPr>
                <w:rFonts w:hint="eastAsia" w:asciiTheme="minorEastAsia" w:hAnsiTheme="minorEastAsia" w:eastAsiaTheme="minorEastAsia" w:cstheme="minorEastAsia"/>
                <w:color w:val="000000"/>
                <w:sz w:val="24"/>
                <w:szCs w:val="24"/>
                <w:lang w:val="zh-CN"/>
              </w:rPr>
              <w:t>深圳市品维环境科技有限公司</w:t>
            </w:r>
            <w:r>
              <w:rPr>
                <w:rFonts w:hint="eastAsia" w:asciiTheme="minorEastAsia" w:hAnsiTheme="minorEastAsia" w:eastAsiaTheme="minorEastAsia" w:cstheme="minorEastAsia"/>
                <w:color w:val="000000"/>
                <w:sz w:val="24"/>
                <w:szCs w:val="24"/>
              </w:rPr>
              <w:t>出具的技术评估意见，从环境保护角度原则同意</w:t>
            </w:r>
            <w:r>
              <w:rPr>
                <w:rFonts w:hint="eastAsia" w:asciiTheme="minorEastAsia" w:hAnsiTheme="minorEastAsia" w:eastAsiaTheme="minorEastAsia" w:cstheme="minorEastAsia"/>
                <w:color w:val="000000"/>
                <w:sz w:val="24"/>
                <w:szCs w:val="24"/>
                <w:lang w:eastAsia="zh-CN"/>
              </w:rPr>
              <w:t>广东瑞讯汽车销售服务有限公司瑞讯汽车智能改装中心项目</w:t>
            </w:r>
            <w:r>
              <w:rPr>
                <w:rFonts w:hint="eastAsia" w:asciiTheme="minorEastAsia" w:hAnsiTheme="minorEastAsia" w:eastAsiaTheme="minorEastAsia" w:cstheme="minorEastAsia"/>
                <w:color w:val="000000"/>
                <w:sz w:val="24"/>
                <w:szCs w:val="24"/>
              </w:rPr>
              <w:t>的建设。</w:t>
            </w:r>
          </w:p>
          <w:p w14:paraId="37BBEEBE">
            <w:pPr>
              <w:keepNext w:val="0"/>
              <w:keepLines w:val="0"/>
              <w:pageBreakBefore w:val="0"/>
              <w:widowControl w:val="0"/>
              <w:kinsoku/>
              <w:wordWrap/>
              <w:overflowPunct/>
              <w:topLinePunct w:val="0"/>
              <w:autoSpaceDE/>
              <w:autoSpaceDN/>
              <w:bidi w:val="0"/>
              <w:spacing w:line="440" w:lineRule="exact"/>
              <w:ind w:firstLine="420"/>
              <w:textAlignment w:val="auto"/>
              <w:rPr>
                <w:rFonts w:hint="eastAsia" w:asciiTheme="minorEastAsia" w:hAnsiTheme="minorEastAsia" w:eastAsiaTheme="minorEastAsia" w:cstheme="minorEastAsia"/>
                <w:color w:val="000000"/>
                <w:sz w:val="24"/>
                <w:szCs w:val="24"/>
                <w:lang w:val="zh-CN"/>
              </w:rPr>
            </w:pPr>
            <w:r>
              <w:rPr>
                <w:rFonts w:hint="eastAsia" w:asciiTheme="minorEastAsia" w:hAnsiTheme="minorEastAsia" w:eastAsiaTheme="minorEastAsia" w:cstheme="minorEastAsia"/>
                <w:color w:val="000000"/>
                <w:sz w:val="24"/>
                <w:szCs w:val="24"/>
                <w:lang w:val="zh-CN"/>
              </w:rPr>
              <w:t>一、项目应做好以下环境保护工作：</w:t>
            </w:r>
          </w:p>
          <w:p w14:paraId="067EA5F8">
            <w:pPr>
              <w:keepNext w:val="0"/>
              <w:keepLines w:val="0"/>
              <w:pageBreakBefore w:val="0"/>
              <w:widowControl w:val="0"/>
              <w:kinsoku/>
              <w:wordWrap/>
              <w:overflowPunct/>
              <w:topLinePunct w:val="0"/>
              <w:autoSpaceDE/>
              <w:autoSpaceDN/>
              <w:bidi w:val="0"/>
              <w:spacing w:line="440" w:lineRule="exact"/>
              <w:ind w:firstLine="420"/>
              <w:textAlignment w:val="auto"/>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w:t>
            </w:r>
            <w:r>
              <w:rPr>
                <w:rFonts w:hint="eastAsia" w:asciiTheme="minorEastAsia" w:hAnsiTheme="minorEastAsia" w:eastAsiaTheme="minorEastAsia" w:cstheme="minorEastAsia"/>
                <w:color w:val="000000"/>
                <w:sz w:val="24"/>
                <w:szCs w:val="24"/>
                <w:lang w:val="zh-CN"/>
              </w:rPr>
              <w:t>大气污染</w:t>
            </w:r>
            <w:r>
              <w:rPr>
                <w:rFonts w:hint="eastAsia" w:asciiTheme="minorEastAsia" w:hAnsiTheme="minorEastAsia" w:eastAsiaTheme="minorEastAsia" w:cstheme="minorEastAsia"/>
                <w:color w:val="000000"/>
                <w:sz w:val="24"/>
                <w:szCs w:val="24"/>
                <w:lang w:val="en-US" w:eastAsia="zh-CN"/>
              </w:rPr>
              <w:t>防治措施：项目运行期间的废气主要有焊接烟尘、打磨粉尘、刮灰干磨粉尘，刮灰、调漆、喷漆、烤漆和喷枪清洗产生的有机废气和异味，备用柴油发电机运行时产生的燃油废气。</w:t>
            </w:r>
          </w:p>
          <w:p w14:paraId="3D2CE7B9">
            <w:pPr>
              <w:keepNext w:val="0"/>
              <w:keepLines w:val="0"/>
              <w:pageBreakBefore w:val="0"/>
              <w:widowControl w:val="0"/>
              <w:kinsoku/>
              <w:wordWrap/>
              <w:overflowPunct/>
              <w:topLinePunct w:val="0"/>
              <w:autoSpaceDE/>
              <w:autoSpaceDN/>
              <w:bidi w:val="0"/>
              <w:spacing w:line="440" w:lineRule="exact"/>
              <w:ind w:firstLine="420"/>
              <w:textAlignment w:val="auto"/>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项目运行期间打磨、刮灰、干磨、喷漆、烤漆和喷枪清洗等工序设置于单层密闭负压车间。打磨粉尘经打磨区自带的干式过滤器（</w:t>
            </w:r>
            <w:r>
              <w:rPr>
                <w:rFonts w:hint="default" w:asciiTheme="minorEastAsia" w:hAnsiTheme="minorEastAsia" w:eastAsiaTheme="minorEastAsia" w:cstheme="minorEastAsia"/>
                <w:color w:val="000000"/>
                <w:sz w:val="24"/>
                <w:szCs w:val="24"/>
                <w:lang w:val="en-US" w:eastAsia="zh-CN"/>
              </w:rPr>
              <w:t>TA001</w:t>
            </w:r>
            <w:r>
              <w:rPr>
                <w:rFonts w:hint="eastAsia" w:asciiTheme="minorEastAsia" w:hAnsiTheme="minorEastAsia" w:eastAsiaTheme="minorEastAsia" w:cstheme="minorEastAsia"/>
                <w:color w:val="000000"/>
                <w:sz w:val="24"/>
                <w:szCs w:val="24"/>
                <w:lang w:val="en-US" w:eastAsia="zh-CN"/>
              </w:rPr>
              <w:t>、</w:t>
            </w:r>
            <w:r>
              <w:rPr>
                <w:rFonts w:hint="default" w:asciiTheme="minorEastAsia" w:hAnsiTheme="minorEastAsia" w:eastAsiaTheme="minorEastAsia" w:cstheme="minorEastAsia"/>
                <w:color w:val="000000"/>
                <w:sz w:val="24"/>
                <w:szCs w:val="24"/>
                <w:lang w:val="en-US" w:eastAsia="zh-CN"/>
              </w:rPr>
              <w:t>TA002</w:t>
            </w:r>
            <w:r>
              <w:rPr>
                <w:rFonts w:hint="eastAsia" w:asciiTheme="minorEastAsia" w:hAnsiTheme="minorEastAsia" w:eastAsiaTheme="minorEastAsia" w:cstheme="minorEastAsia"/>
                <w:color w:val="000000"/>
                <w:sz w:val="24"/>
                <w:szCs w:val="24"/>
                <w:lang w:val="en-US" w:eastAsia="zh-CN"/>
              </w:rPr>
              <w:t>）处理后通过排气筒（</w:t>
            </w:r>
            <w:r>
              <w:rPr>
                <w:rFonts w:hint="default" w:asciiTheme="minorEastAsia" w:hAnsiTheme="minorEastAsia" w:eastAsiaTheme="minorEastAsia" w:cstheme="minorEastAsia"/>
                <w:color w:val="000000"/>
                <w:sz w:val="24"/>
                <w:szCs w:val="24"/>
                <w:lang w:val="en-US" w:eastAsia="zh-CN"/>
              </w:rPr>
              <w:t>DA001</w:t>
            </w:r>
            <w:r>
              <w:rPr>
                <w:rFonts w:hint="eastAsia" w:asciiTheme="minorEastAsia" w:hAnsiTheme="minorEastAsia" w:eastAsiaTheme="minorEastAsia" w:cstheme="minorEastAsia"/>
                <w:color w:val="000000"/>
                <w:sz w:val="24"/>
                <w:szCs w:val="24"/>
                <w:lang w:val="en-US" w:eastAsia="zh-CN"/>
              </w:rPr>
              <w:t>）引高排放；调漆间产生的</w:t>
            </w:r>
            <w:r>
              <w:rPr>
                <w:rFonts w:hint="default" w:asciiTheme="minorEastAsia" w:hAnsiTheme="minorEastAsia" w:eastAsiaTheme="minorEastAsia" w:cstheme="minorEastAsia"/>
                <w:color w:val="000000"/>
                <w:sz w:val="24"/>
                <w:szCs w:val="24"/>
                <w:lang w:val="en-US" w:eastAsia="zh-CN"/>
              </w:rPr>
              <w:t>VOCs</w:t>
            </w:r>
            <w:r>
              <w:rPr>
                <w:rFonts w:hint="eastAsia" w:asciiTheme="minorEastAsia" w:hAnsiTheme="minorEastAsia" w:eastAsiaTheme="minorEastAsia" w:cstheme="minorEastAsia"/>
                <w:color w:val="000000"/>
                <w:sz w:val="24"/>
                <w:szCs w:val="24"/>
                <w:lang w:val="en-US" w:eastAsia="zh-CN"/>
              </w:rPr>
              <w:t>废气经活性炭吸附装置（</w:t>
            </w:r>
            <w:r>
              <w:rPr>
                <w:rFonts w:hint="default" w:asciiTheme="minorEastAsia" w:hAnsiTheme="minorEastAsia" w:eastAsiaTheme="minorEastAsia" w:cstheme="minorEastAsia"/>
                <w:color w:val="000000"/>
                <w:sz w:val="24"/>
                <w:szCs w:val="24"/>
                <w:lang w:val="en-US" w:eastAsia="zh-CN"/>
              </w:rPr>
              <w:t>TA003</w:t>
            </w:r>
            <w:r>
              <w:rPr>
                <w:rFonts w:hint="eastAsia" w:asciiTheme="minorEastAsia" w:hAnsiTheme="minorEastAsia" w:eastAsiaTheme="minorEastAsia" w:cstheme="minorEastAsia"/>
                <w:color w:val="000000"/>
                <w:sz w:val="24"/>
                <w:szCs w:val="24"/>
                <w:lang w:val="en-US" w:eastAsia="zh-CN"/>
              </w:rPr>
              <w:t>）处理达标后通过排气筒（</w:t>
            </w:r>
            <w:r>
              <w:rPr>
                <w:rFonts w:hint="default" w:asciiTheme="minorEastAsia" w:hAnsiTheme="minorEastAsia" w:eastAsiaTheme="minorEastAsia" w:cstheme="minorEastAsia"/>
                <w:color w:val="000000"/>
                <w:sz w:val="24"/>
                <w:szCs w:val="24"/>
                <w:lang w:val="en-US" w:eastAsia="zh-CN"/>
              </w:rPr>
              <w:t>DA002</w:t>
            </w:r>
            <w:r>
              <w:rPr>
                <w:rFonts w:hint="eastAsia" w:asciiTheme="minorEastAsia" w:hAnsiTheme="minorEastAsia" w:eastAsiaTheme="minorEastAsia" w:cstheme="minorEastAsia"/>
                <w:color w:val="000000"/>
                <w:sz w:val="24"/>
                <w:szCs w:val="24"/>
                <w:lang w:val="en-US" w:eastAsia="zh-CN"/>
              </w:rPr>
              <w:t>）引高排放；喷漆区产生的</w:t>
            </w:r>
            <w:r>
              <w:rPr>
                <w:rFonts w:hint="default" w:asciiTheme="minorEastAsia" w:hAnsiTheme="minorEastAsia" w:eastAsiaTheme="minorEastAsia" w:cstheme="minorEastAsia"/>
                <w:color w:val="000000"/>
                <w:sz w:val="24"/>
                <w:szCs w:val="24"/>
                <w:lang w:val="en-US" w:eastAsia="zh-CN"/>
              </w:rPr>
              <w:t>VOCs</w:t>
            </w:r>
            <w:r>
              <w:rPr>
                <w:rFonts w:hint="eastAsia" w:asciiTheme="minorEastAsia" w:hAnsiTheme="minorEastAsia" w:eastAsiaTheme="minorEastAsia" w:cstheme="minorEastAsia"/>
                <w:color w:val="000000"/>
                <w:sz w:val="24"/>
                <w:szCs w:val="24"/>
                <w:lang w:val="en-US" w:eastAsia="zh-CN"/>
              </w:rPr>
              <w:t>、苯乙烯、颗粒物、臭气等废气经干式过滤</w:t>
            </w:r>
            <w:r>
              <w:rPr>
                <w:rFonts w:hint="default" w:asciiTheme="minorEastAsia" w:hAnsiTheme="minorEastAsia" w:eastAsiaTheme="minorEastAsia" w:cstheme="minorEastAsia"/>
                <w:color w:val="000000"/>
                <w:sz w:val="24"/>
                <w:szCs w:val="24"/>
                <w:lang w:val="en-US" w:eastAsia="zh-CN"/>
              </w:rPr>
              <w:t>+</w:t>
            </w:r>
            <w:r>
              <w:rPr>
                <w:rFonts w:hint="eastAsia" w:asciiTheme="minorEastAsia" w:hAnsiTheme="minorEastAsia" w:eastAsiaTheme="minorEastAsia" w:cstheme="minorEastAsia"/>
                <w:color w:val="000000"/>
                <w:sz w:val="24"/>
                <w:szCs w:val="24"/>
                <w:lang w:val="en-US" w:eastAsia="zh-CN"/>
              </w:rPr>
              <w:t>二级活性炭吸附装置（</w:t>
            </w:r>
            <w:r>
              <w:rPr>
                <w:rFonts w:hint="default" w:asciiTheme="minorEastAsia" w:hAnsiTheme="minorEastAsia" w:eastAsiaTheme="minorEastAsia" w:cstheme="minorEastAsia"/>
                <w:color w:val="000000"/>
                <w:sz w:val="24"/>
                <w:szCs w:val="24"/>
                <w:lang w:val="en-US" w:eastAsia="zh-CN"/>
              </w:rPr>
              <w:t>TA004</w:t>
            </w:r>
            <w:r>
              <w:rPr>
                <w:rFonts w:hint="eastAsia" w:asciiTheme="minorEastAsia" w:hAnsiTheme="minorEastAsia" w:eastAsiaTheme="minorEastAsia" w:cstheme="minorEastAsia"/>
                <w:color w:val="000000"/>
                <w:sz w:val="24"/>
                <w:szCs w:val="24"/>
                <w:lang w:val="en-US" w:eastAsia="zh-CN"/>
              </w:rPr>
              <w:t>）处理达标后通过排气筒（</w:t>
            </w:r>
            <w:r>
              <w:rPr>
                <w:rFonts w:hint="default" w:asciiTheme="minorEastAsia" w:hAnsiTheme="minorEastAsia" w:eastAsiaTheme="minorEastAsia" w:cstheme="minorEastAsia"/>
                <w:color w:val="000000"/>
                <w:sz w:val="24"/>
                <w:szCs w:val="24"/>
                <w:lang w:val="en-US" w:eastAsia="zh-CN"/>
              </w:rPr>
              <w:t>DA002</w:t>
            </w:r>
            <w:r>
              <w:rPr>
                <w:rFonts w:hint="eastAsia" w:asciiTheme="minorEastAsia" w:hAnsiTheme="minorEastAsia" w:eastAsiaTheme="minorEastAsia" w:cstheme="minorEastAsia"/>
                <w:color w:val="000000"/>
                <w:sz w:val="24"/>
                <w:szCs w:val="24"/>
                <w:lang w:val="en-US" w:eastAsia="zh-CN"/>
              </w:rPr>
              <w:t>）引高排放；备用发电机组以</w:t>
            </w:r>
            <w:r>
              <w:rPr>
                <w:rFonts w:hint="default" w:asciiTheme="minorEastAsia" w:hAnsiTheme="minorEastAsia" w:eastAsiaTheme="minorEastAsia" w:cstheme="minorEastAsia"/>
                <w:color w:val="000000"/>
                <w:sz w:val="24"/>
                <w:szCs w:val="24"/>
                <w:lang w:val="en-US" w:eastAsia="zh-CN"/>
              </w:rPr>
              <w:t>0#</w:t>
            </w:r>
            <w:r>
              <w:rPr>
                <w:rFonts w:hint="eastAsia" w:asciiTheme="minorEastAsia" w:hAnsiTheme="minorEastAsia" w:eastAsiaTheme="minorEastAsia" w:cstheme="minorEastAsia"/>
                <w:color w:val="000000"/>
                <w:sz w:val="24"/>
                <w:szCs w:val="24"/>
                <w:lang w:val="en-US" w:eastAsia="zh-CN"/>
              </w:rPr>
              <w:t>柴油为燃料，废气通过专用烟道引高排放（</w:t>
            </w:r>
            <w:r>
              <w:rPr>
                <w:rFonts w:hint="default" w:asciiTheme="minorEastAsia" w:hAnsiTheme="minorEastAsia" w:eastAsiaTheme="minorEastAsia" w:cstheme="minorEastAsia"/>
                <w:color w:val="000000"/>
                <w:sz w:val="24"/>
                <w:szCs w:val="24"/>
                <w:lang w:val="en-US" w:eastAsia="zh-CN"/>
              </w:rPr>
              <w:t>DA003</w:t>
            </w:r>
            <w:r>
              <w:rPr>
                <w:rFonts w:hint="eastAsia" w:asciiTheme="minorEastAsia" w:hAnsiTheme="minorEastAsia" w:eastAsiaTheme="minorEastAsia" w:cstheme="minorEastAsia"/>
                <w:color w:val="000000"/>
                <w:sz w:val="24"/>
                <w:szCs w:val="24"/>
                <w:lang w:val="en-US" w:eastAsia="zh-CN"/>
              </w:rPr>
              <w:t>）；项目拟加强车间通风，焊接烟尘经移动式除尘装置处理后无组织排放，在采取相应措施后，项目废气对周围大气环境影响不大。</w:t>
            </w:r>
          </w:p>
          <w:p w14:paraId="428F7435">
            <w:pPr>
              <w:keepNext w:val="0"/>
              <w:keepLines w:val="0"/>
              <w:pageBreakBefore w:val="0"/>
              <w:widowControl w:val="0"/>
              <w:kinsoku/>
              <w:wordWrap/>
              <w:overflowPunct/>
              <w:topLinePunct w:val="0"/>
              <w:autoSpaceDE/>
              <w:autoSpaceDN/>
              <w:bidi w:val="0"/>
              <w:spacing w:line="440" w:lineRule="exact"/>
              <w:ind w:firstLine="420"/>
              <w:textAlignment w:val="auto"/>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2.</w:t>
            </w:r>
            <w:r>
              <w:rPr>
                <w:rFonts w:hint="default" w:asciiTheme="minorEastAsia" w:hAnsiTheme="minorEastAsia" w:eastAsiaTheme="minorEastAsia" w:cstheme="minorEastAsia"/>
                <w:color w:val="000000"/>
                <w:sz w:val="24"/>
                <w:szCs w:val="24"/>
                <w:lang w:val="en-US" w:eastAsia="zh-CN"/>
              </w:rPr>
              <w:t>水污染防治措施：</w:t>
            </w:r>
            <w:r>
              <w:rPr>
                <w:rFonts w:hint="eastAsia" w:asciiTheme="minorEastAsia" w:hAnsiTheme="minorEastAsia" w:eastAsiaTheme="minorEastAsia" w:cstheme="minorEastAsia"/>
                <w:color w:val="000000"/>
                <w:sz w:val="24"/>
                <w:szCs w:val="24"/>
                <w:lang w:val="en-US" w:eastAsia="zh-CN"/>
              </w:rPr>
              <w:t>项目运营期生活污水经三级化粪池处理，清洗废水经隔油沉淀池处理后经市政管网排入汕头市新溪污水处理厂进行深度处理，不会对周边水环境产生明显影响。</w:t>
            </w:r>
          </w:p>
          <w:p w14:paraId="02F8F644">
            <w:pPr>
              <w:keepNext w:val="0"/>
              <w:keepLines w:val="0"/>
              <w:pageBreakBefore w:val="0"/>
              <w:widowControl w:val="0"/>
              <w:kinsoku/>
              <w:wordWrap/>
              <w:overflowPunct/>
              <w:topLinePunct w:val="0"/>
              <w:autoSpaceDE/>
              <w:autoSpaceDN/>
              <w:bidi w:val="0"/>
              <w:spacing w:line="440" w:lineRule="exact"/>
              <w:ind w:firstLine="420"/>
              <w:textAlignment w:val="auto"/>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3.噪声污染防治措施：运营期间通过选用低噪声设备、消声减振、合理布局、建筑隔声、加强操作管理和维护等措施，对项目产生的噪声进行综合治理。在采取相应措施后，项目噪声对周围声环境影响较小。</w:t>
            </w:r>
          </w:p>
          <w:p w14:paraId="13A6D70D">
            <w:pPr>
              <w:keepNext w:val="0"/>
              <w:keepLines w:val="0"/>
              <w:pageBreakBefore w:val="0"/>
              <w:widowControl w:val="0"/>
              <w:kinsoku/>
              <w:wordWrap/>
              <w:overflowPunct/>
              <w:topLinePunct w:val="0"/>
              <w:autoSpaceDE/>
              <w:autoSpaceDN/>
              <w:bidi w:val="0"/>
              <w:spacing w:line="440" w:lineRule="exact"/>
              <w:ind w:firstLine="420"/>
              <w:textAlignment w:val="auto"/>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4.固体废物防治措施：项目生活垃圾交由环卫部门定期清运。汽车废金属零部件、废旧轮胎、焊接工艺除尘系统收集粉尘属于一般固体废物，收集后交由专业单位处置。废空桶、废有机溶剂、废过滤棉（含漆渣）、废电池、废矿物油、废机油滤芯、含油废抹布和废手套、含油浮渣、废活性炭属于危险废物，存放于危险废物暂存间，定期委托有危废处置资质单位进行处置。在采取相应措施后，项目固体废物对周围环境影响较小。</w:t>
            </w:r>
          </w:p>
          <w:p w14:paraId="3439E8EB">
            <w:pPr>
              <w:keepNext w:val="0"/>
              <w:keepLines w:val="0"/>
              <w:pageBreakBefore w:val="0"/>
              <w:widowControl w:val="0"/>
              <w:kinsoku/>
              <w:wordWrap/>
              <w:overflowPunct/>
              <w:topLinePunct w:val="0"/>
              <w:autoSpaceDE/>
              <w:autoSpaceDN/>
              <w:bidi w:val="0"/>
              <w:spacing w:line="440" w:lineRule="exact"/>
              <w:ind w:firstLine="420"/>
              <w:textAlignment w:val="auto"/>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二、项目营运期执行如下标准：</w:t>
            </w:r>
          </w:p>
          <w:p w14:paraId="3F3921C3">
            <w:pPr>
              <w:keepNext w:val="0"/>
              <w:keepLines w:val="0"/>
              <w:pageBreakBefore w:val="0"/>
              <w:widowControl w:val="0"/>
              <w:kinsoku/>
              <w:wordWrap/>
              <w:overflowPunct/>
              <w:topLinePunct w:val="0"/>
              <w:autoSpaceDE/>
              <w:autoSpaceDN/>
              <w:bidi w:val="0"/>
              <w:spacing w:line="440" w:lineRule="exact"/>
              <w:ind w:firstLine="420"/>
              <w:textAlignment w:val="auto"/>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1.项目大气污染物排放：</w:t>
            </w:r>
          </w:p>
          <w:p w14:paraId="4B9FD466">
            <w:pPr>
              <w:keepNext w:val="0"/>
              <w:keepLines w:val="0"/>
              <w:pageBreakBefore w:val="0"/>
              <w:widowControl w:val="0"/>
              <w:kinsoku/>
              <w:wordWrap/>
              <w:overflowPunct/>
              <w:topLinePunct w:val="0"/>
              <w:autoSpaceDE/>
              <w:autoSpaceDN/>
              <w:bidi w:val="0"/>
              <w:spacing w:line="440" w:lineRule="exact"/>
              <w:ind w:firstLine="420"/>
              <w:textAlignment w:val="auto"/>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（1）项目打磨粉尘、焊接烟尘和刮灰干磨粉尘污染物均为颗粒物，其中打磨粉尘和刮灰干磨粉尘产生的废气经收集后引入相应的废气处理设施进行处理。焊接烟尘以无组织形式排放。颗粒物排放执行广东</w:t>
            </w:r>
            <w:r>
              <w:rPr>
                <w:rFonts w:hint="eastAsia" w:asciiTheme="minorEastAsia" w:hAnsiTheme="minorEastAsia" w:eastAsiaTheme="minorEastAsia" w:cstheme="minorEastAsia"/>
                <w:color w:val="000000"/>
                <w:sz w:val="24"/>
                <w:szCs w:val="24"/>
                <w:highlight w:val="none"/>
                <w:lang w:val="en-US" w:eastAsia="zh-CN"/>
              </w:rPr>
              <w:t>省《大气污染物排放标准限值》（DB44/27-2001）第</w:t>
            </w:r>
            <w:r>
              <w:rPr>
                <w:rFonts w:hint="eastAsia" w:asciiTheme="minorEastAsia" w:hAnsiTheme="minorEastAsia" w:eastAsiaTheme="minorEastAsia" w:cstheme="minorEastAsia"/>
                <w:color w:val="000000"/>
                <w:sz w:val="24"/>
                <w:szCs w:val="24"/>
                <w:lang w:val="en-US" w:eastAsia="zh-CN"/>
              </w:rPr>
              <w:t>二时段二级标准和无组织排放监控浓度限值。（2）</w:t>
            </w:r>
            <w:bookmarkStart w:id="0" w:name="OLE_LINK22"/>
            <w:r>
              <w:rPr>
                <w:rFonts w:hint="eastAsia" w:asciiTheme="minorEastAsia" w:hAnsiTheme="minorEastAsia" w:eastAsiaTheme="minorEastAsia" w:cstheme="minorEastAsia"/>
                <w:color w:val="000000"/>
                <w:sz w:val="24"/>
                <w:szCs w:val="24"/>
                <w:lang w:val="en-US" w:eastAsia="zh-CN"/>
              </w:rPr>
              <w:t>鉴</w:t>
            </w:r>
            <w:r>
              <w:rPr>
                <w:rFonts w:hint="eastAsia" w:asciiTheme="minorEastAsia" w:hAnsiTheme="minorEastAsia" w:eastAsiaTheme="minorEastAsia" w:cstheme="minorEastAsia"/>
                <w:color w:val="000000"/>
                <w:sz w:val="24"/>
                <w:szCs w:val="24"/>
                <w:lang w:val="en-US" w:eastAsia="zh-CN"/>
              </w:rPr>
              <w:t>于项目刮灰、调漆、喷漆、烤漆和喷枪清洗使用的原辅材料中的有机废气成分主要包括二甲苯、甲苯、苯乙烯以及其他挥发性有机物成分，不含苯成分。</w:t>
            </w:r>
            <w:bookmarkEnd w:id="0"/>
            <w:r>
              <w:rPr>
                <w:rFonts w:hint="eastAsia" w:asciiTheme="minorEastAsia" w:hAnsiTheme="minorEastAsia" w:eastAsiaTheme="minorEastAsia" w:cstheme="minorEastAsia"/>
                <w:color w:val="000000"/>
                <w:sz w:val="24"/>
                <w:szCs w:val="24"/>
                <w:lang w:val="en-US" w:eastAsia="zh-CN"/>
              </w:rPr>
              <w:t>该工序产生的废气经收集后引入相应的废气处理设施进行处理。</w:t>
            </w:r>
            <w:r>
              <w:rPr>
                <w:rFonts w:hint="eastAsia" w:asciiTheme="minorEastAsia" w:hAnsiTheme="minorEastAsia" w:eastAsiaTheme="minorEastAsia" w:cstheme="minorEastAsia"/>
                <w:color w:val="000000"/>
                <w:sz w:val="24"/>
                <w:szCs w:val="24"/>
                <w:lang w:val="en-US" w:eastAsia="zh-CN"/>
              </w:rPr>
              <w:t>漆雾颗粒物排放执行广东省《大气污染物排放限值》（DB44/27-2001）第二时段二级标准及无组织排放监控点浓度限值要求；挥发性有机物（TVOC）及苯系物排放执行广东省《固定污染源挥发性有机物综合排放标准》（DB44/2367-2022）表1挥发性有机物排放限值。臭气浓度执行《恶臭污染物排放标准》（GB14554-93）表1中二级新扩改建标准值和表2恶臭污染物排放标准值。（3）项目配套的备用柴油发电机运行期间产生的燃油废气，其污染物主要为SO2、NOx、颗粒物和烟气黑度，排放参照执行广东省《大气污染物排放限值》（DB44/27-2001）第二时段二级标准。（4）本项目场界无组织废气污染物中甲苯、二甲苯执行广东省《大气污染物排放限值》（DB44/27-2001）第二时段无组织排放监控点浓度限值要求；臭气浓度和苯乙烯排放执行《恶臭污染物排放标准》（GB14554-93）中表1恶臭污染物厂界标准值二级新改扩建限值要求。另外，厂区内无组织废气污染物中非甲烷总烃排放执行广东省《固定污染源挥发性有机物综合排放标准》（DB44/2367-2022）中表3厂区内VOCs无组织排放限值要求。</w:t>
            </w:r>
          </w:p>
          <w:p w14:paraId="18A0E78E">
            <w:pPr>
              <w:keepNext w:val="0"/>
              <w:keepLines w:val="0"/>
              <w:pageBreakBefore w:val="0"/>
              <w:widowControl w:val="0"/>
              <w:kinsoku/>
              <w:wordWrap/>
              <w:overflowPunct/>
              <w:topLinePunct w:val="0"/>
              <w:autoSpaceDE/>
              <w:autoSpaceDN/>
              <w:bidi w:val="0"/>
              <w:spacing w:line="440" w:lineRule="exact"/>
              <w:ind w:firstLine="420"/>
              <w:textAlignment w:val="auto"/>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2.项目废水排放：项目废水排放执行广东省《水污染物排放限值》（DB44/26-2001）中第二时段三级标准与《汽车维修业水污染物排放标准》（GB26877-2011）表2中的间接排放浓度限值，同时满足汕头市新溪污水处理厂一期工程的进水水质要求。</w:t>
            </w:r>
          </w:p>
          <w:p w14:paraId="338A8479">
            <w:pPr>
              <w:keepNext w:val="0"/>
              <w:keepLines w:val="0"/>
              <w:pageBreakBefore w:val="0"/>
              <w:widowControl w:val="0"/>
              <w:kinsoku/>
              <w:wordWrap/>
              <w:overflowPunct/>
              <w:topLinePunct w:val="0"/>
              <w:autoSpaceDE/>
              <w:autoSpaceDN/>
              <w:bidi w:val="0"/>
              <w:spacing w:line="440" w:lineRule="exact"/>
              <w:ind w:firstLine="420"/>
              <w:textAlignment w:val="auto"/>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3.项目噪声排放：</w:t>
            </w:r>
            <w:r>
              <w:rPr>
                <w:rFonts w:hint="eastAsia" w:ascii="Times New Roman" w:hAnsi="Times New Roman"/>
              </w:rPr>
              <w:t>项目夜</w:t>
            </w:r>
            <w:r>
              <w:rPr>
                <w:rFonts w:hint="eastAsia" w:asciiTheme="minorEastAsia" w:hAnsiTheme="minorEastAsia" w:eastAsiaTheme="minorEastAsia" w:cstheme="minorEastAsia"/>
                <w:color w:val="000000"/>
                <w:sz w:val="24"/>
                <w:szCs w:val="24"/>
                <w:lang w:val="en-US" w:eastAsia="zh-CN"/>
              </w:rPr>
              <w:t>间不生产，各侧边界噪声排放执行《工业企业厂界环境噪声排放标准》（GB12348-2008）2类标准。</w:t>
            </w:r>
          </w:p>
          <w:p w14:paraId="4EF6AA53">
            <w:pPr>
              <w:keepNext w:val="0"/>
              <w:keepLines w:val="0"/>
              <w:pageBreakBefore w:val="0"/>
              <w:widowControl w:val="0"/>
              <w:kinsoku/>
              <w:wordWrap/>
              <w:overflowPunct/>
              <w:topLinePunct w:val="0"/>
              <w:autoSpaceDE/>
              <w:autoSpaceDN/>
              <w:bidi w:val="0"/>
              <w:spacing w:line="440" w:lineRule="exact"/>
              <w:ind w:firstLine="420"/>
              <w:textAlignment w:val="auto"/>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4.项目固废排放</w:t>
            </w:r>
            <w:r>
              <w:rPr>
                <w:rFonts w:hint="eastAsia" w:ascii="Times New Roman" w:hAnsi="Times New Roman"/>
                <w:lang w:val="en-US" w:eastAsia="zh-CN"/>
              </w:rPr>
              <w:t>：</w:t>
            </w:r>
            <w:r>
              <w:rPr>
                <w:rFonts w:hint="eastAsia" w:asciiTheme="minorEastAsia" w:hAnsiTheme="minorEastAsia" w:eastAsiaTheme="minorEastAsia" w:cstheme="minorEastAsia"/>
                <w:color w:val="000000"/>
                <w:sz w:val="24"/>
                <w:szCs w:val="24"/>
                <w:lang w:val="en-US" w:eastAsia="zh-CN"/>
              </w:rPr>
              <w:t>固体废物管理遵照《中华人民共和国固体废物污染环境防治法》《广东省固体废物污染环境防治条例》执行，一般固体废物遵照《一般工业固体废物贮存和填埋污染控制标准》（GB18599-2020）中提及的“在厂内采用库房或包装工具贮存，贮存过程应满足相应防渗漏、防雨淋、防扬尘等环境保护要求”相关规定进行收集、贮存；危险废物执行《国家危险废物名录（2025年版）》以及《危险废物贮存污染控制标准》（GB18597-2023）。</w:t>
            </w:r>
          </w:p>
          <w:p w14:paraId="067AD515">
            <w:pPr>
              <w:keepNext w:val="0"/>
              <w:keepLines w:val="0"/>
              <w:pageBreakBefore w:val="0"/>
              <w:widowControl w:val="0"/>
              <w:kinsoku/>
              <w:wordWrap/>
              <w:overflowPunct/>
              <w:topLinePunct w:val="0"/>
              <w:autoSpaceDE/>
              <w:autoSpaceDN/>
              <w:bidi w:val="0"/>
              <w:spacing w:line="440" w:lineRule="exact"/>
              <w:ind w:firstLine="422"/>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color w:val="000000"/>
                <w:sz w:val="24"/>
                <w:szCs w:val="24"/>
              </w:rPr>
              <w:t>本意见抄送汕头市生态环境保护综合执法局</w:t>
            </w:r>
            <w:r>
              <w:rPr>
                <w:rFonts w:hint="eastAsia" w:asciiTheme="minorEastAsia" w:hAnsiTheme="minorEastAsia" w:eastAsiaTheme="minorEastAsia" w:cstheme="minorEastAsia"/>
                <w:b/>
                <w:color w:val="000000"/>
                <w:sz w:val="24"/>
                <w:szCs w:val="24"/>
                <w:lang w:eastAsia="zh-CN"/>
              </w:rPr>
              <w:t>龙湖</w:t>
            </w:r>
            <w:r>
              <w:rPr>
                <w:rFonts w:hint="eastAsia" w:asciiTheme="minorEastAsia" w:hAnsiTheme="minorEastAsia" w:eastAsiaTheme="minorEastAsia" w:cstheme="minorEastAsia"/>
                <w:b/>
                <w:color w:val="000000"/>
                <w:sz w:val="24"/>
                <w:szCs w:val="24"/>
              </w:rPr>
              <w:t>分局，</w:t>
            </w:r>
            <w:r>
              <w:rPr>
                <w:rFonts w:hint="eastAsia" w:asciiTheme="minorEastAsia" w:hAnsiTheme="minorEastAsia" w:eastAsiaTheme="minorEastAsia" w:cstheme="minorEastAsia"/>
                <w:color w:val="000000"/>
                <w:sz w:val="24"/>
                <w:szCs w:val="24"/>
              </w:rPr>
              <w:t>项目的环境监察工作由汕头市生态环境保护综合执法局</w:t>
            </w:r>
            <w:r>
              <w:rPr>
                <w:rFonts w:hint="eastAsia" w:asciiTheme="minorEastAsia" w:hAnsiTheme="minorEastAsia" w:eastAsiaTheme="minorEastAsia" w:cstheme="minorEastAsia"/>
                <w:color w:val="000000"/>
                <w:sz w:val="24"/>
                <w:szCs w:val="24"/>
                <w:lang w:eastAsia="zh-CN"/>
              </w:rPr>
              <w:t>龙湖</w:t>
            </w:r>
            <w:r>
              <w:rPr>
                <w:rFonts w:hint="eastAsia" w:asciiTheme="minorEastAsia" w:hAnsiTheme="minorEastAsia" w:eastAsiaTheme="minorEastAsia" w:cstheme="minorEastAsia"/>
                <w:color w:val="000000"/>
                <w:sz w:val="24"/>
                <w:szCs w:val="24"/>
              </w:rPr>
              <w:t xml:space="preserve">分局负责。 </w:t>
            </w:r>
            <w:r>
              <w:rPr>
                <w:rFonts w:hint="eastAsia" w:asciiTheme="minorEastAsia" w:hAnsiTheme="minorEastAsia" w:eastAsiaTheme="minorEastAsia" w:cstheme="minorEastAsia"/>
                <w:sz w:val="24"/>
                <w:szCs w:val="24"/>
              </w:rPr>
              <w:t xml:space="preserve">                             </w:t>
            </w:r>
          </w:p>
          <w:p w14:paraId="22FE33F5">
            <w:pPr>
              <w:keepNext w:val="0"/>
              <w:keepLines w:val="0"/>
              <w:pageBreakBefore w:val="0"/>
              <w:widowControl w:val="0"/>
              <w:kinsoku/>
              <w:wordWrap/>
              <w:overflowPunct/>
              <w:topLinePunct w:val="0"/>
              <w:autoSpaceDE/>
              <w:autoSpaceDN/>
              <w:bidi w:val="0"/>
              <w:spacing w:line="400" w:lineRule="exact"/>
              <w:ind w:left="0" w:leftChars="0" w:firstLine="0" w:firstLineChars="0"/>
              <w:textAlignment w:val="auto"/>
              <w:rPr>
                <w:rFonts w:hint="eastAsia" w:asciiTheme="minorEastAsia" w:hAnsiTheme="minorEastAsia" w:eastAsiaTheme="minorEastAsia" w:cstheme="minorEastAsia"/>
                <w:sz w:val="24"/>
                <w:szCs w:val="24"/>
              </w:rPr>
            </w:pPr>
          </w:p>
          <w:p w14:paraId="4F5246DF">
            <w:pPr>
              <w:keepNext w:val="0"/>
              <w:keepLines w:val="0"/>
              <w:pageBreakBefore w:val="0"/>
              <w:widowControl w:val="0"/>
              <w:kinsoku/>
              <w:wordWrap/>
              <w:overflowPunct/>
              <w:topLinePunct w:val="0"/>
              <w:autoSpaceDE/>
              <w:autoSpaceDN/>
              <w:bidi w:val="0"/>
              <w:spacing w:line="400" w:lineRule="exact"/>
              <w:ind w:firstLine="422"/>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 xml:space="preserve">经办人：                                                      </w:t>
            </w:r>
            <w:r>
              <w:rPr>
                <w:rFonts w:hint="eastAsia" w:asciiTheme="minorEastAsia" w:hAnsiTheme="minorEastAsia" w:eastAsiaTheme="minorEastAsia" w:cstheme="minorEastAsia"/>
                <w:sz w:val="24"/>
                <w:szCs w:val="24"/>
                <w:lang w:val="en-US" w:eastAsia="zh-CN"/>
              </w:rPr>
              <w:t xml:space="preserve"> </w:t>
            </w:r>
          </w:p>
          <w:p w14:paraId="1B4DF57D">
            <w:pPr>
              <w:keepNext w:val="0"/>
              <w:keepLines w:val="0"/>
              <w:pageBreakBefore w:val="0"/>
              <w:widowControl w:val="0"/>
              <w:kinsoku/>
              <w:wordWrap/>
              <w:overflowPunct/>
              <w:topLinePunct w:val="0"/>
              <w:autoSpaceDE/>
              <w:autoSpaceDN/>
              <w:bidi w:val="0"/>
              <w:spacing w:line="400" w:lineRule="exact"/>
              <w:ind w:firstLine="420"/>
              <w:jc w:val="center"/>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lang w:val="en-US" w:eastAsia="zh-CN"/>
              </w:rPr>
              <w:t xml:space="preserve">                              </w:t>
            </w:r>
          </w:p>
          <w:p w14:paraId="5A271265">
            <w:pPr>
              <w:keepNext w:val="0"/>
              <w:keepLines w:val="0"/>
              <w:pageBreakBefore w:val="0"/>
              <w:widowControl w:val="0"/>
              <w:kinsoku/>
              <w:wordWrap/>
              <w:overflowPunct/>
              <w:topLinePunct w:val="0"/>
              <w:autoSpaceDE/>
              <w:autoSpaceDN/>
              <w:bidi w:val="0"/>
              <w:spacing w:line="400" w:lineRule="exact"/>
              <w:ind w:firstLine="420"/>
              <w:jc w:val="center"/>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 xml:space="preserve">   公  章</w:t>
            </w:r>
          </w:p>
          <w:p w14:paraId="735A3597">
            <w:pPr>
              <w:keepNext w:val="0"/>
              <w:keepLines w:val="0"/>
              <w:pageBreakBefore w:val="0"/>
              <w:widowControl w:val="0"/>
              <w:kinsoku/>
              <w:wordWrap/>
              <w:overflowPunct/>
              <w:topLinePunct w:val="0"/>
              <w:autoSpaceDE/>
              <w:autoSpaceDN/>
              <w:bidi w:val="0"/>
              <w:spacing w:line="400" w:lineRule="exact"/>
              <w:ind w:firstLine="0" w:firstLineChars="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202</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lang w:val="en-US" w:eastAsia="zh-CN"/>
              </w:rPr>
              <w:t>8</w:t>
            </w:r>
            <w:r>
              <w:rPr>
                <w:rFonts w:hint="eastAsia" w:asciiTheme="minorEastAsia" w:hAnsiTheme="minorEastAsia" w:eastAsiaTheme="minorEastAsia" w:cstheme="minorEastAsia"/>
                <w:sz w:val="24"/>
                <w:szCs w:val="24"/>
              </w:rPr>
              <w:t>月</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rPr>
              <w:t>日</w:t>
            </w:r>
          </w:p>
          <w:p w14:paraId="75EC92ED">
            <w:pPr>
              <w:keepNext w:val="0"/>
              <w:keepLines w:val="0"/>
              <w:pageBreakBefore w:val="0"/>
              <w:widowControl w:val="0"/>
              <w:kinsoku/>
              <w:wordWrap/>
              <w:overflowPunct/>
              <w:topLinePunct w:val="0"/>
              <w:autoSpaceDE/>
              <w:autoSpaceDN/>
              <w:bidi w:val="0"/>
              <w:spacing w:line="400" w:lineRule="exact"/>
              <w:ind w:firstLine="0" w:firstLineChars="0"/>
              <w:textAlignment w:val="auto"/>
              <w:rPr>
                <w:rFonts w:hint="eastAsia" w:asciiTheme="minorEastAsia" w:hAnsiTheme="minorEastAsia" w:eastAsiaTheme="minorEastAsia" w:cstheme="minorEastAsia"/>
                <w:sz w:val="24"/>
                <w:szCs w:val="24"/>
              </w:rPr>
            </w:pPr>
            <w:bookmarkStart w:id="1" w:name="_GoBack"/>
            <w:bookmarkEnd w:id="1"/>
          </w:p>
        </w:tc>
      </w:tr>
      <w:tr w14:paraId="2AAF855D">
        <w:tblPrEx>
          <w:tblCellMar>
            <w:top w:w="0" w:type="dxa"/>
            <w:left w:w="108" w:type="dxa"/>
            <w:bottom w:w="0" w:type="dxa"/>
            <w:right w:w="108" w:type="dxa"/>
          </w:tblCellMar>
        </w:tblPrEx>
        <w:trPr>
          <w:jc w:val="center"/>
        </w:trPr>
        <w:tc>
          <w:tcPr>
            <w:tcW w:w="9526" w:type="dxa"/>
            <w:tcBorders>
              <w:top w:val="single" w:color="000000" w:sz="12" w:space="0"/>
              <w:left w:val="single" w:color="000000" w:sz="12" w:space="0"/>
              <w:bottom w:val="single" w:color="000000" w:sz="12" w:space="0"/>
              <w:right w:val="single" w:color="000000" w:sz="12" w:space="0"/>
            </w:tcBorders>
            <w:tcMar>
              <w:top w:w="0" w:type="dxa"/>
              <w:left w:w="28" w:type="dxa"/>
              <w:bottom w:w="0" w:type="dxa"/>
              <w:right w:w="28" w:type="dxa"/>
            </w:tcMar>
          </w:tcPr>
          <w:p w14:paraId="38FD68E8">
            <w:pPr>
              <w:keepNext w:val="0"/>
              <w:keepLines w:val="0"/>
              <w:pageBreakBefore w:val="0"/>
              <w:widowControl w:val="0"/>
              <w:kinsoku/>
              <w:wordWrap/>
              <w:overflowPunct/>
              <w:topLinePunct w:val="0"/>
              <w:autoSpaceDE/>
              <w:autoSpaceDN/>
              <w:bidi w:val="0"/>
              <w:spacing w:line="400" w:lineRule="exact"/>
              <w:ind w:firstLine="422"/>
              <w:textAlignment w:val="auto"/>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注意事项：</w:t>
            </w:r>
          </w:p>
          <w:p w14:paraId="2EFC707A">
            <w:pPr>
              <w:keepNext w:val="0"/>
              <w:keepLines w:val="0"/>
              <w:pageBreakBefore w:val="0"/>
              <w:widowControl w:val="0"/>
              <w:kinsoku/>
              <w:wordWrap/>
              <w:overflowPunct/>
              <w:topLinePunct w:val="0"/>
              <w:autoSpaceDE/>
              <w:autoSpaceDN/>
              <w:bidi w:val="0"/>
              <w:spacing w:line="400" w:lineRule="exact"/>
              <w:ind w:firstLine="42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1、在项目建成后，建设单位需在规定时间内按相关要求开展建设项目竣工环境保护验收工作；</w:t>
            </w:r>
          </w:p>
          <w:p w14:paraId="6407ADFD">
            <w:pPr>
              <w:keepNext w:val="0"/>
              <w:keepLines w:val="0"/>
              <w:pageBreakBefore w:val="0"/>
              <w:widowControl w:val="0"/>
              <w:kinsoku/>
              <w:wordWrap/>
              <w:overflowPunct/>
              <w:topLinePunct w:val="0"/>
              <w:autoSpaceDE/>
              <w:autoSpaceDN/>
              <w:bidi w:val="0"/>
              <w:spacing w:line="400" w:lineRule="exact"/>
              <w:ind w:firstLine="420"/>
              <w:textAlignment w:val="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2、有土建工程的项目，应在土建施工前到市生态环境局办理建筑施工排污申报登记和缴交建筑施工排污费等手续；</w:t>
            </w:r>
          </w:p>
          <w:p w14:paraId="773929D6">
            <w:pPr>
              <w:keepNext w:val="0"/>
              <w:keepLines w:val="0"/>
              <w:pageBreakBefore w:val="0"/>
              <w:widowControl w:val="0"/>
              <w:kinsoku/>
              <w:wordWrap/>
              <w:overflowPunct/>
              <w:topLinePunct w:val="0"/>
              <w:autoSpaceDE/>
              <w:autoSpaceDN/>
              <w:bidi w:val="0"/>
              <w:spacing w:line="400" w:lineRule="exact"/>
              <w:ind w:firstLine="420"/>
              <w:textAlignment w:val="auto"/>
              <w:rPr>
                <w:sz w:val="24"/>
                <w:szCs w:val="24"/>
              </w:rPr>
            </w:pPr>
            <w:r>
              <w:rPr>
                <w:rFonts w:hint="eastAsia" w:asciiTheme="minorEastAsia" w:hAnsiTheme="minorEastAsia" w:eastAsiaTheme="minorEastAsia" w:cstheme="minorEastAsia"/>
                <w:sz w:val="24"/>
                <w:szCs w:val="24"/>
              </w:rPr>
              <w:t>3、逾期不开展竣工环保验收工作，或不办理建筑施工排污申报和缴交排污费，生态环境部门将依照环境保护法律法规进行处理。</w:t>
            </w:r>
          </w:p>
        </w:tc>
      </w:tr>
    </w:tbl>
    <w:p w14:paraId="626C2D28">
      <w:pPr>
        <w:keepNext w:val="0"/>
        <w:keepLines w:val="0"/>
        <w:pageBreakBefore w:val="0"/>
        <w:widowControl w:val="0"/>
        <w:kinsoku/>
        <w:wordWrap/>
        <w:overflowPunct/>
        <w:topLinePunct w:val="0"/>
        <w:autoSpaceDE/>
        <w:autoSpaceDN/>
        <w:bidi w:val="0"/>
        <w:spacing w:line="400" w:lineRule="exact"/>
        <w:ind w:firstLine="0" w:firstLineChars="0"/>
        <w:textAlignment w:val="auto"/>
        <w:rPr>
          <w:sz w:val="24"/>
          <w:szCs w:val="24"/>
        </w:rPr>
      </w:pPr>
    </w:p>
    <w:sectPr>
      <w:headerReference r:id="rId7" w:type="first"/>
      <w:footerReference r:id="rId10" w:type="first"/>
      <w:headerReference r:id="rId5" w:type="default"/>
      <w:footerReference r:id="rId8" w:type="default"/>
      <w:headerReference r:id="rId6" w:type="even"/>
      <w:footerReference r:id="rId9" w:type="even"/>
      <w:pgSz w:w="11906" w:h="16838"/>
      <w:pgMar w:top="1134" w:right="1134" w:bottom="1134" w:left="1134" w:header="851" w:footer="992" w:gutter="0"/>
      <w:cols w:space="425" w:num="1"/>
      <w:docGrid w:type="line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仿宋简体">
    <w:panose1 w:val="02010601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C7469B">
    <w:pPr>
      <w:pStyle w:val="4"/>
      <w:jc w:val="center"/>
      <w:rPr>
        <w:sz w:val="21"/>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4AB38D">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9235CB">
    <w:pPr>
      <w:pStyle w:val="4"/>
      <w:jc w:val="both"/>
      <w:rPr>
        <w:rFonts w:ascii="Times New Roman" w:hAnsi="Times New Roman" w:cs="Times New Roman"/>
        <w:sz w:val="21"/>
        <w:szCs w:val="21"/>
      </w:rPr>
    </w:pPr>
    <w:r>
      <w:rPr>
        <w:sz w:val="21"/>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14:paraId="5E1A2E81">
                <w:pPr>
                  <w:pStyle w:val="4"/>
                  <w:rPr>
                    <w:rFonts w:eastAsia="宋体"/>
                  </w:rPr>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w:r>
  </w:p>
  <w:p w14:paraId="2A25F285">
    <w:pPr>
      <w:pStyle w:val="4"/>
      <w:jc w:val="both"/>
      <w:rPr>
        <w:rFonts w:ascii="Times New Roman" w:hAnsi="Times New Roman" w:cs="Times New Roman"/>
        <w:sz w:val="21"/>
        <w:szCs w:val="21"/>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366069">
    <w:pPr>
      <w:ind w:left="480" w:firstLine="0" w:firstLineChars="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3CC090">
    <w:pPr>
      <w:pStyle w:val="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74E8E1">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20"/>
  <w:drawingGridVerticalSpacing w:val="163"/>
  <w:displayHorizontalDrawingGridEvery w:val="0"/>
  <w:displayVerticalDrawingGridEvery w:val="2"/>
  <w:characterSpacingControl w:val="compressPunctuation"/>
  <w:hdrShapeDefaults>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GU3NGE5ZDY2YjFiMTA3ZWJjNmIzODdiNWRkNWU4ZmMifQ=="/>
  </w:docVars>
  <w:rsids>
    <w:rsidRoot w:val="00172A27"/>
    <w:rsid w:val="000120D2"/>
    <w:rsid w:val="00017838"/>
    <w:rsid w:val="00026DFD"/>
    <w:rsid w:val="00083264"/>
    <w:rsid w:val="00104971"/>
    <w:rsid w:val="00133408"/>
    <w:rsid w:val="00191F7A"/>
    <w:rsid w:val="001E2667"/>
    <w:rsid w:val="001E31CC"/>
    <w:rsid w:val="001E7676"/>
    <w:rsid w:val="001F0B1E"/>
    <w:rsid w:val="00210DAB"/>
    <w:rsid w:val="002472B0"/>
    <w:rsid w:val="0025561A"/>
    <w:rsid w:val="002664A5"/>
    <w:rsid w:val="00270472"/>
    <w:rsid w:val="00271AF4"/>
    <w:rsid w:val="00276B2D"/>
    <w:rsid w:val="00295785"/>
    <w:rsid w:val="00296C0B"/>
    <w:rsid w:val="002A1EEA"/>
    <w:rsid w:val="002A4A6C"/>
    <w:rsid w:val="002D04F7"/>
    <w:rsid w:val="002E08D1"/>
    <w:rsid w:val="002E13D5"/>
    <w:rsid w:val="002E494F"/>
    <w:rsid w:val="002F02C7"/>
    <w:rsid w:val="003103DE"/>
    <w:rsid w:val="00366902"/>
    <w:rsid w:val="00374A98"/>
    <w:rsid w:val="00384F11"/>
    <w:rsid w:val="00393FAD"/>
    <w:rsid w:val="003953FB"/>
    <w:rsid w:val="003C067A"/>
    <w:rsid w:val="003C5E4F"/>
    <w:rsid w:val="003D40F6"/>
    <w:rsid w:val="003D4142"/>
    <w:rsid w:val="003E1CF4"/>
    <w:rsid w:val="00446179"/>
    <w:rsid w:val="0048455C"/>
    <w:rsid w:val="00495C9F"/>
    <w:rsid w:val="004A60B3"/>
    <w:rsid w:val="004D3239"/>
    <w:rsid w:val="004D74EF"/>
    <w:rsid w:val="005226A4"/>
    <w:rsid w:val="005763F4"/>
    <w:rsid w:val="005B4631"/>
    <w:rsid w:val="005F59D8"/>
    <w:rsid w:val="00606D1D"/>
    <w:rsid w:val="006224EF"/>
    <w:rsid w:val="0067095A"/>
    <w:rsid w:val="00695EDF"/>
    <w:rsid w:val="006D73D3"/>
    <w:rsid w:val="006D777F"/>
    <w:rsid w:val="006E3A4E"/>
    <w:rsid w:val="00706844"/>
    <w:rsid w:val="00710036"/>
    <w:rsid w:val="00711ED0"/>
    <w:rsid w:val="00721009"/>
    <w:rsid w:val="0072169D"/>
    <w:rsid w:val="007333CA"/>
    <w:rsid w:val="00734025"/>
    <w:rsid w:val="00736D16"/>
    <w:rsid w:val="00744471"/>
    <w:rsid w:val="00755269"/>
    <w:rsid w:val="00776B49"/>
    <w:rsid w:val="0079085E"/>
    <w:rsid w:val="00791BFD"/>
    <w:rsid w:val="007964B8"/>
    <w:rsid w:val="007B5C99"/>
    <w:rsid w:val="007C37AC"/>
    <w:rsid w:val="007C78F0"/>
    <w:rsid w:val="007E650C"/>
    <w:rsid w:val="007F2A55"/>
    <w:rsid w:val="00841A68"/>
    <w:rsid w:val="00862BA6"/>
    <w:rsid w:val="00875294"/>
    <w:rsid w:val="00881224"/>
    <w:rsid w:val="008846D3"/>
    <w:rsid w:val="00897AE6"/>
    <w:rsid w:val="008A7650"/>
    <w:rsid w:val="008B0051"/>
    <w:rsid w:val="008C18F9"/>
    <w:rsid w:val="008F03EE"/>
    <w:rsid w:val="009130C2"/>
    <w:rsid w:val="00932C75"/>
    <w:rsid w:val="00940510"/>
    <w:rsid w:val="009515E1"/>
    <w:rsid w:val="009B1FA9"/>
    <w:rsid w:val="009B6265"/>
    <w:rsid w:val="009C2E8C"/>
    <w:rsid w:val="009D1882"/>
    <w:rsid w:val="009D453A"/>
    <w:rsid w:val="00A70CDD"/>
    <w:rsid w:val="00A779FB"/>
    <w:rsid w:val="00AB47FD"/>
    <w:rsid w:val="00AC4058"/>
    <w:rsid w:val="00B068D3"/>
    <w:rsid w:val="00B310B2"/>
    <w:rsid w:val="00B51C8B"/>
    <w:rsid w:val="00B60A96"/>
    <w:rsid w:val="00B9256D"/>
    <w:rsid w:val="00B935AC"/>
    <w:rsid w:val="00B953CC"/>
    <w:rsid w:val="00B956D7"/>
    <w:rsid w:val="00BA2832"/>
    <w:rsid w:val="00C806ED"/>
    <w:rsid w:val="00C81703"/>
    <w:rsid w:val="00CB38B8"/>
    <w:rsid w:val="00D011C0"/>
    <w:rsid w:val="00D02AE6"/>
    <w:rsid w:val="00D51F10"/>
    <w:rsid w:val="00D738A0"/>
    <w:rsid w:val="00D84C49"/>
    <w:rsid w:val="00DF4892"/>
    <w:rsid w:val="00E0468C"/>
    <w:rsid w:val="00E10F49"/>
    <w:rsid w:val="00E35A54"/>
    <w:rsid w:val="00E41C26"/>
    <w:rsid w:val="00E569F7"/>
    <w:rsid w:val="00EA43DF"/>
    <w:rsid w:val="00EB4676"/>
    <w:rsid w:val="00EB6F85"/>
    <w:rsid w:val="00ED4954"/>
    <w:rsid w:val="00EF06C7"/>
    <w:rsid w:val="00F266C6"/>
    <w:rsid w:val="00F42E53"/>
    <w:rsid w:val="00F753F9"/>
    <w:rsid w:val="00F83B08"/>
    <w:rsid w:val="00F847FC"/>
    <w:rsid w:val="00F94246"/>
    <w:rsid w:val="00F95DBE"/>
    <w:rsid w:val="00FB73EA"/>
    <w:rsid w:val="00FC406A"/>
    <w:rsid w:val="04F847F5"/>
    <w:rsid w:val="05EC01EE"/>
    <w:rsid w:val="07905CA5"/>
    <w:rsid w:val="0A81324E"/>
    <w:rsid w:val="0C0551CF"/>
    <w:rsid w:val="0C0771E5"/>
    <w:rsid w:val="0D8140F5"/>
    <w:rsid w:val="0E6745B7"/>
    <w:rsid w:val="0E702CBD"/>
    <w:rsid w:val="107072AE"/>
    <w:rsid w:val="10DE13A6"/>
    <w:rsid w:val="11C4617C"/>
    <w:rsid w:val="13BB528C"/>
    <w:rsid w:val="15581B10"/>
    <w:rsid w:val="15A9674C"/>
    <w:rsid w:val="176E6D2C"/>
    <w:rsid w:val="177F299F"/>
    <w:rsid w:val="183F49D8"/>
    <w:rsid w:val="18E86169"/>
    <w:rsid w:val="1AC4165D"/>
    <w:rsid w:val="1B3E6342"/>
    <w:rsid w:val="1BC3623F"/>
    <w:rsid w:val="21EA1640"/>
    <w:rsid w:val="24BE5A59"/>
    <w:rsid w:val="257D4DB6"/>
    <w:rsid w:val="25B766C6"/>
    <w:rsid w:val="27217E2B"/>
    <w:rsid w:val="27FE194F"/>
    <w:rsid w:val="286D6590"/>
    <w:rsid w:val="2A401826"/>
    <w:rsid w:val="2A452D3E"/>
    <w:rsid w:val="2B2500C4"/>
    <w:rsid w:val="2C8E4CF4"/>
    <w:rsid w:val="2CF66E50"/>
    <w:rsid w:val="2F76460A"/>
    <w:rsid w:val="333D5E64"/>
    <w:rsid w:val="359F247F"/>
    <w:rsid w:val="363E5843"/>
    <w:rsid w:val="36431260"/>
    <w:rsid w:val="3A2C7BEC"/>
    <w:rsid w:val="3BB4280D"/>
    <w:rsid w:val="3C0628BE"/>
    <w:rsid w:val="3CA313F4"/>
    <w:rsid w:val="3CB728ED"/>
    <w:rsid w:val="3CCC26BC"/>
    <w:rsid w:val="3ECA33C2"/>
    <w:rsid w:val="3F6C49E5"/>
    <w:rsid w:val="429A3516"/>
    <w:rsid w:val="44AD2CAC"/>
    <w:rsid w:val="44C32388"/>
    <w:rsid w:val="459552DF"/>
    <w:rsid w:val="45F27E70"/>
    <w:rsid w:val="48693FA1"/>
    <w:rsid w:val="493B7DEB"/>
    <w:rsid w:val="4BCF1244"/>
    <w:rsid w:val="4BDA65EB"/>
    <w:rsid w:val="4C771B5E"/>
    <w:rsid w:val="4C983C65"/>
    <w:rsid w:val="4D823F0E"/>
    <w:rsid w:val="4ECC5348"/>
    <w:rsid w:val="4FAB1633"/>
    <w:rsid w:val="51FD2A00"/>
    <w:rsid w:val="52C70486"/>
    <w:rsid w:val="52CE4175"/>
    <w:rsid w:val="56C040A6"/>
    <w:rsid w:val="57126543"/>
    <w:rsid w:val="5742188D"/>
    <w:rsid w:val="58C6433B"/>
    <w:rsid w:val="5A99515F"/>
    <w:rsid w:val="5B7F2EDD"/>
    <w:rsid w:val="5BED0A57"/>
    <w:rsid w:val="5D6D70A7"/>
    <w:rsid w:val="61A40F90"/>
    <w:rsid w:val="61DF68F5"/>
    <w:rsid w:val="632440FD"/>
    <w:rsid w:val="63283BE4"/>
    <w:rsid w:val="65B2024F"/>
    <w:rsid w:val="66284C18"/>
    <w:rsid w:val="68BA7960"/>
    <w:rsid w:val="69861694"/>
    <w:rsid w:val="6B7A5341"/>
    <w:rsid w:val="6C274903"/>
    <w:rsid w:val="6C503797"/>
    <w:rsid w:val="6D9D0E96"/>
    <w:rsid w:val="6DCB5BA5"/>
    <w:rsid w:val="6EE10C66"/>
    <w:rsid w:val="6F732601"/>
    <w:rsid w:val="6F9903D4"/>
    <w:rsid w:val="71C443CE"/>
    <w:rsid w:val="726A49BE"/>
    <w:rsid w:val="729E39B7"/>
    <w:rsid w:val="74130252"/>
    <w:rsid w:val="76726FC9"/>
    <w:rsid w:val="77D04293"/>
    <w:rsid w:val="78B84211"/>
    <w:rsid w:val="7C632730"/>
    <w:rsid w:val="7C94480F"/>
    <w:rsid w:val="7CB5248E"/>
    <w:rsid w:val="7D117D38"/>
    <w:rsid w:val="7D9211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nhideWhenUsed="0" w:uiPriority="0" w:semiHidden="0"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adjustRightInd w:val="0"/>
      <w:snapToGrid w:val="0"/>
      <w:spacing w:line="360" w:lineRule="auto"/>
      <w:ind w:firstLine="200" w:firstLineChars="200"/>
      <w:jc w:val="both"/>
    </w:pPr>
    <w:rPr>
      <w:rFonts w:ascii="Times New Roman" w:hAnsi="Times New Roman" w:eastAsia="宋体" w:cs="Times New Roman"/>
      <w:kern w:val="2"/>
      <w:sz w:val="24"/>
      <w:szCs w:val="24"/>
      <w:lang w:val="en-US" w:eastAsia="zh-CN" w:bidi="ar-SA"/>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keepNext w:val="0"/>
      <w:keepLines w:val="0"/>
      <w:widowControl w:val="0"/>
      <w:suppressLineNumbers w:val="0"/>
      <w:spacing w:before="0" w:beforeAutospacing="0" w:after="0" w:afterAutospacing="0" w:line="360" w:lineRule="auto"/>
      <w:ind w:left="0" w:right="0" w:firstLine="200" w:firstLineChars="200"/>
      <w:jc w:val="left"/>
    </w:pPr>
    <w:rPr>
      <w:rFonts w:hint="default" w:ascii="Times New Roman" w:hAnsi="Times New Roman" w:eastAsia="宋体" w:cs="Times New Roman"/>
      <w:kern w:val="0"/>
      <w:sz w:val="24"/>
      <w:szCs w:val="20"/>
      <w:lang w:val="en-US" w:eastAsia="zh-CN" w:bidi="ar"/>
    </w:rPr>
  </w:style>
  <w:style w:type="paragraph" w:styleId="3">
    <w:name w:val="Balloon Text"/>
    <w:basedOn w:val="1"/>
    <w:link w:val="16"/>
    <w:autoRedefine/>
    <w:unhideWhenUsed/>
    <w:qFormat/>
    <w:uiPriority w:val="99"/>
    <w:pPr>
      <w:spacing w:line="240" w:lineRule="auto"/>
    </w:pPr>
    <w:rPr>
      <w:sz w:val="18"/>
      <w:szCs w:val="18"/>
    </w:rPr>
  </w:style>
  <w:style w:type="paragraph" w:styleId="4">
    <w:name w:val="footer"/>
    <w:basedOn w:val="1"/>
    <w:link w:val="12"/>
    <w:autoRedefine/>
    <w:unhideWhenUsed/>
    <w:qFormat/>
    <w:uiPriority w:val="99"/>
    <w:pPr>
      <w:tabs>
        <w:tab w:val="center" w:pos="4153"/>
        <w:tab w:val="right" w:pos="8306"/>
      </w:tabs>
      <w:adjustRightInd/>
      <w:spacing w:line="240" w:lineRule="auto"/>
      <w:ind w:firstLine="0" w:firstLineChars="0"/>
      <w:jc w:val="left"/>
    </w:pPr>
    <w:rPr>
      <w:rFonts w:asciiTheme="minorHAnsi" w:hAnsiTheme="minorHAnsi" w:eastAsiaTheme="minorEastAsia" w:cstheme="minorBidi"/>
      <w:sz w:val="18"/>
      <w:szCs w:val="18"/>
    </w:rPr>
  </w:style>
  <w:style w:type="paragraph" w:styleId="5">
    <w:name w:val="header"/>
    <w:basedOn w:val="1"/>
    <w:link w:val="11"/>
    <w:autoRedefine/>
    <w:unhideWhenUsed/>
    <w:qFormat/>
    <w:uiPriority w:val="99"/>
    <w:pPr>
      <w:pBdr>
        <w:bottom w:val="single" w:color="auto" w:sz="6" w:space="1"/>
      </w:pBdr>
      <w:tabs>
        <w:tab w:val="center" w:pos="4153"/>
        <w:tab w:val="right" w:pos="8306"/>
      </w:tabs>
      <w:adjustRightInd/>
      <w:spacing w:line="240" w:lineRule="auto"/>
      <w:ind w:firstLine="0" w:firstLineChars="0"/>
      <w:jc w:val="center"/>
    </w:pPr>
    <w:rPr>
      <w:rFonts w:asciiTheme="minorHAnsi" w:hAnsiTheme="minorHAnsi" w:eastAsiaTheme="minorEastAsia" w:cstheme="minorBidi"/>
      <w:sz w:val="18"/>
      <w:szCs w:val="18"/>
    </w:rPr>
  </w:style>
  <w:style w:type="paragraph" w:styleId="6">
    <w:name w:val="Normal (Web)"/>
    <w:basedOn w:val="1"/>
    <w:autoRedefine/>
    <w:unhideWhenUsed/>
    <w:qFormat/>
    <w:uiPriority w:val="99"/>
    <w:pPr>
      <w:widowControl/>
      <w:adjustRightInd/>
      <w:snapToGrid/>
      <w:spacing w:before="100" w:beforeAutospacing="1" w:after="100" w:afterAutospacing="1" w:line="240" w:lineRule="auto"/>
      <w:ind w:firstLine="0" w:firstLineChars="0"/>
      <w:jc w:val="left"/>
    </w:pPr>
    <w:rPr>
      <w:rFonts w:ascii="宋体" w:hAnsi="宋体" w:cs="宋体"/>
      <w:kern w:val="0"/>
    </w:rPr>
  </w:style>
  <w:style w:type="character" w:styleId="9">
    <w:name w:val="page number"/>
    <w:basedOn w:val="8"/>
    <w:autoRedefine/>
    <w:unhideWhenUsed/>
    <w:qFormat/>
    <w:uiPriority w:val="99"/>
  </w:style>
  <w:style w:type="character" w:styleId="10">
    <w:name w:val="annotation reference"/>
    <w:uiPriority w:val="0"/>
    <w:rPr>
      <w:sz w:val="21"/>
    </w:rPr>
  </w:style>
  <w:style w:type="character" w:customStyle="1" w:styleId="11">
    <w:name w:val="页眉 Char"/>
    <w:basedOn w:val="8"/>
    <w:link w:val="5"/>
    <w:autoRedefine/>
    <w:semiHidden/>
    <w:qFormat/>
    <w:uiPriority w:val="99"/>
    <w:rPr>
      <w:sz w:val="18"/>
      <w:szCs w:val="18"/>
    </w:rPr>
  </w:style>
  <w:style w:type="character" w:customStyle="1" w:styleId="12">
    <w:name w:val="页脚 Char"/>
    <w:basedOn w:val="8"/>
    <w:link w:val="4"/>
    <w:autoRedefine/>
    <w:qFormat/>
    <w:uiPriority w:val="99"/>
    <w:rPr>
      <w:sz w:val="18"/>
      <w:szCs w:val="18"/>
    </w:rPr>
  </w:style>
  <w:style w:type="paragraph" w:styleId="13">
    <w:name w:val="List Paragraph"/>
    <w:basedOn w:val="1"/>
    <w:autoRedefine/>
    <w:qFormat/>
    <w:uiPriority w:val="34"/>
    <w:pPr>
      <w:ind w:firstLine="420"/>
    </w:pPr>
  </w:style>
  <w:style w:type="character" w:customStyle="1" w:styleId="14">
    <w:name w:val="表格文字 Char"/>
    <w:link w:val="15"/>
    <w:autoRedefine/>
    <w:qFormat/>
    <w:uiPriority w:val="0"/>
    <w:rPr>
      <w:szCs w:val="24"/>
    </w:rPr>
  </w:style>
  <w:style w:type="paragraph" w:customStyle="1" w:styleId="15">
    <w:name w:val="表格文字"/>
    <w:basedOn w:val="1"/>
    <w:link w:val="14"/>
    <w:autoRedefine/>
    <w:qFormat/>
    <w:uiPriority w:val="0"/>
    <w:pPr>
      <w:spacing w:line="288" w:lineRule="auto"/>
      <w:ind w:firstLine="0" w:firstLineChars="0"/>
      <w:jc w:val="center"/>
    </w:pPr>
    <w:rPr>
      <w:rFonts w:asciiTheme="minorHAnsi" w:hAnsiTheme="minorHAnsi" w:eastAsiaTheme="minorEastAsia" w:cstheme="minorBidi"/>
      <w:sz w:val="21"/>
    </w:rPr>
  </w:style>
  <w:style w:type="character" w:customStyle="1" w:styleId="16">
    <w:name w:val="批注框文本 Char"/>
    <w:basedOn w:val="8"/>
    <w:link w:val="3"/>
    <w:autoRedefine/>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2.xml><?xml version="1.0" encoding="utf-8"?>
<contractReview xmlns="http://schemas.wps.cn/vas-ai-hub/contract-review">
  <reviewItems>
    <reviewItem>
      <errorID>1229c665-9422-4a87-a817-de65abfd3a3c</errorID>
      <errorWord>《大气污染物排放标准限值》</errorWord>
      <group>L1_Other</group>
      <groupName>其他问题</groupName>
      <ability>L2_Consistency</ability>
      <abilityName>一致性检查</abilityName>
      <candidateList>
        <item>《大气污染物排放限值》</item>
      </candidateList>
      <explain>术语一致性错误，文档其余位置该标准统一表述为《大气污染物排放限值》，此处表述不一致</explain>
      <paraID>4B9FD466</paraID>
      <start>91</start>
      <end>104</end>
      <status>ignored</status>
      <modifiedWord/>
      <trackRevisions>false</trackRevisions>
    </reviewItem>
    <reviewItem>
      <errorID>296c1ce9-a6b2-4fec-b4d0-1ec29b536d4b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2EFC707A</paraID>
      <start>0</start>
      <end>2</end>
      <status>ignored</status>
      <modifiedWord/>
      <trackRevisions>false</trackRevisions>
    </reviewItem>
    <reviewItem>
      <errorID>75d12786-cfd4-4aa7-a2ba-cc315620932d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6407ADFD</paraID>
      <start>0</start>
      <end>2</end>
      <status>ignored</status>
      <modifiedWord/>
      <trackRevisions>false</trackRevisions>
    </reviewItem>
    <reviewItem>
      <errorID>3b6987d6-3ab8-44f1-b620-42d28a067c9f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773929D6</paraID>
      <start>0</start>
      <end>2</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e8f3b8a-e1e4-423c-9186-6031d9bee18f}">
  <ds:schemaRefs/>
</ds:datastoreItem>
</file>

<file path=docProps/app.xml><?xml version="1.0" encoding="utf-8"?>
<Properties xmlns="http://schemas.openxmlformats.org/officeDocument/2006/extended-properties" xmlns:vt="http://schemas.openxmlformats.org/officeDocument/2006/docPropsVTypes">
  <Template>Normal</Template>
  <Pages>3</Pages>
  <Words>2086</Words>
  <Characters>2240</Characters>
  <Lines>8</Lines>
  <Paragraphs>2</Paragraphs>
  <TotalTime>30</TotalTime>
  <ScaleCrop>false</ScaleCrop>
  <LinksUpToDate>false</LinksUpToDate>
  <CharactersWithSpaces>2418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2017-01-16T07:18:00Z</dcterms:created>
  <dc:creator>user</dc:creator>
  <cp:lastModifiedBy>柿子</cp:lastModifiedBy>
  <cp:lastPrinted>2026-08-05T02:12:38Z</cp:lastPrinted>
  <dcterms:modified xsi:type="dcterms:W3CDTF">2026-08-05T02:20:24Z</dcterms:modified>
  <cp:revision>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53A492B351FB4F2EBFC555086D5DDE34_13</vt:lpwstr>
  </property>
  <property fmtid="{D5CDD505-2E9C-101B-9397-08002B2CF9AE}" pid="4" name="KSOTemplateDocerSaveRecord">
    <vt:lpwstr>eyJoZGlkIjoiNGU3NGE5ZDY2YjFiMTA3ZWJjNmIzODdiNWRkNWU4ZmMiLCJ1c2VySWQiOiI0MjgyNjMxMDAifQ==</vt:lpwstr>
  </property>
</Properties>
</file>