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0" w:after="0" w:line="576" w:lineRule="exact"/>
        <w:jc w:val="center"/>
        <w:rPr>
          <w:rFonts w:ascii="仿宋" w:hAnsi="仿宋" w:eastAsia="仿宋"/>
          <w:b w:val="0"/>
          <w:sz w:val="32"/>
        </w:rPr>
      </w:pPr>
      <w:bookmarkStart w:id="0" w:name="_GoBack"/>
      <w:bookmarkEnd w:id="0"/>
    </w:p>
    <w:p>
      <w:pPr>
        <w:spacing w:before="0" w:after="0" w:line="576" w:lineRule="exact"/>
        <w:jc w:val="both"/>
        <w:rPr>
          <w:rFonts w:ascii="仿宋" w:hAnsi="仿宋" w:eastAsia="仿宋"/>
          <w:b w:val="0"/>
          <w:sz w:val="32"/>
        </w:rPr>
      </w:pPr>
    </w:p>
    <w:p>
      <w:pPr>
        <w:spacing w:before="0" w:after="0" w:line="576" w:lineRule="exact"/>
        <w:jc w:val="left"/>
        <w:rPr>
          <w:rFonts w:hint="default" w:ascii="Times New Roman" w:hAnsi="Times New Roman" w:eastAsia="仿宋_GB2312" w:cs="Times New Roman"/>
          <w:b w:val="0"/>
          <w:sz w:val="32"/>
        </w:rPr>
      </w:pPr>
      <w:r>
        <w:rPr>
          <w:rFonts w:hint="default" w:ascii="Times New Roman" w:hAnsi="Times New Roman" w:eastAsia="仿宋_GB2312" w:cs="Times New Roman"/>
          <w:b w:val="0"/>
          <w:sz w:val="32"/>
          <w:lang w:val="en-US" w:eastAsia="zh-CN"/>
        </w:rPr>
        <w:t xml:space="preserve">A类                                  </w:t>
      </w:r>
      <w:r>
        <w:rPr>
          <w:rFonts w:hint="eastAsia" w:ascii="Times New Roman" w:hAnsi="Times New Roman" w:eastAsia="仿宋_GB2312" w:cs="Times New Roman"/>
          <w:b w:val="0"/>
          <w:sz w:val="32"/>
          <w:lang w:val="en-US" w:eastAsia="zh-CN"/>
        </w:rPr>
        <w:t xml:space="preserve">                             </w:t>
      </w:r>
      <w:r>
        <w:rPr>
          <w:rFonts w:hint="default" w:ascii="Times New Roman" w:hAnsi="Times New Roman" w:eastAsia="仿宋_GB2312" w:cs="Times New Roman"/>
          <w:b w:val="0"/>
          <w:sz w:val="32"/>
        </w:rPr>
        <w:t>汕工信函〔2026〕</w:t>
      </w:r>
      <w:r>
        <w:rPr>
          <w:rFonts w:hint="eastAsia" w:ascii="Times New Roman" w:hAnsi="Times New Roman" w:eastAsia="仿宋_GB2312" w:cs="Times New Roman"/>
          <w:b w:val="0"/>
          <w:sz w:val="32"/>
          <w:lang w:val="en-US" w:eastAsia="zh-CN"/>
        </w:rPr>
        <w:t>163</w:t>
      </w:r>
      <w:r>
        <w:rPr>
          <w:rFonts w:hint="default" w:ascii="Times New Roman" w:hAnsi="Times New Roman" w:eastAsia="仿宋_GB2312" w:cs="Times New Roman"/>
          <w:b w:val="0"/>
          <w:sz w:val="32"/>
        </w:rPr>
        <w:t>号</w:t>
      </w:r>
    </w:p>
    <w:p>
      <w:pPr>
        <w:spacing w:before="0" w:after="0" w:line="576" w:lineRule="exact"/>
        <w:jc w:val="left"/>
        <w:rPr>
          <w:rFonts w:ascii="仿宋" w:hAnsi="仿宋" w:eastAsia="仿宋"/>
          <w:b w:val="0"/>
          <w:sz w:val="32"/>
        </w:rPr>
      </w:pPr>
    </w:p>
    <w:p>
      <w:pPr>
        <w:keepNext w:val="0"/>
        <w:keepLines w:val="0"/>
        <w:pageBreakBefore w:val="0"/>
        <w:widowControl/>
        <w:kinsoku/>
        <w:wordWrap/>
        <w:overflowPunct/>
        <w:topLinePunct w:val="0"/>
        <w:autoSpaceDE/>
        <w:autoSpaceDN/>
        <w:bidi w:val="0"/>
        <w:adjustRightInd/>
        <w:snapToGrid/>
        <w:spacing w:after="0" w:line="576" w:lineRule="exact"/>
        <w:jc w:val="center"/>
        <w:textAlignment w:val="auto"/>
        <w:rPr>
          <w:rFonts w:hint="default" w:ascii="Times New Roman" w:hAnsi="Times New Roman" w:eastAsia="方正小标宋简体" w:cs="Times New Roman"/>
          <w:b w:val="0"/>
          <w:bCs/>
          <w:sz w:val="44"/>
          <w:szCs w:val="44"/>
        </w:rPr>
      </w:pPr>
      <w:r>
        <w:rPr>
          <w:rFonts w:hint="default" w:ascii="Times New Roman" w:hAnsi="Times New Roman" w:eastAsia="方正小标宋简体" w:cs="Times New Roman"/>
          <w:b w:val="0"/>
          <w:bCs/>
          <w:sz w:val="44"/>
          <w:szCs w:val="44"/>
        </w:rPr>
        <w:t>关于市政协十四届五次会议第20260340号</w:t>
      </w:r>
    </w:p>
    <w:p>
      <w:pPr>
        <w:keepNext w:val="0"/>
        <w:keepLines w:val="0"/>
        <w:pageBreakBefore w:val="0"/>
        <w:widowControl/>
        <w:kinsoku/>
        <w:wordWrap/>
        <w:overflowPunct/>
        <w:topLinePunct w:val="0"/>
        <w:autoSpaceDE/>
        <w:autoSpaceDN/>
        <w:bidi w:val="0"/>
        <w:adjustRightInd/>
        <w:snapToGrid/>
        <w:spacing w:after="0" w:line="576" w:lineRule="exact"/>
        <w:jc w:val="center"/>
        <w:textAlignment w:val="auto"/>
        <w:rPr>
          <w:rFonts w:hint="default" w:ascii="Times New Roman" w:hAnsi="Times New Roman" w:eastAsia="方正小标宋简体" w:cs="Times New Roman"/>
          <w:b w:val="0"/>
          <w:bCs/>
          <w:sz w:val="44"/>
          <w:szCs w:val="44"/>
        </w:rPr>
      </w:pPr>
      <w:r>
        <w:rPr>
          <w:rFonts w:hint="default" w:ascii="Times New Roman" w:hAnsi="Times New Roman" w:eastAsia="方正小标宋简体" w:cs="Times New Roman"/>
          <w:b w:val="0"/>
          <w:bCs/>
          <w:sz w:val="44"/>
          <w:szCs w:val="44"/>
        </w:rPr>
        <w:t>提案的答复</w:t>
      </w:r>
    </w:p>
    <w:p>
      <w:pPr>
        <w:spacing w:before="60" w:after="60" w:line="576" w:lineRule="exact"/>
        <w:jc w:val="left"/>
        <w:rPr>
          <w:rFonts w:ascii="仿宋" w:hAnsi="仿宋" w:eastAsia="仿宋"/>
          <w:b w:val="0"/>
          <w:sz w:val="32"/>
        </w:rPr>
      </w:pPr>
    </w:p>
    <w:p>
      <w:pPr>
        <w:spacing w:before="60" w:after="60" w:line="576" w:lineRule="exact"/>
        <w:jc w:val="left"/>
      </w:pPr>
      <w:r>
        <w:rPr>
          <w:rFonts w:ascii="仿宋" w:hAnsi="仿宋" w:eastAsia="仿宋"/>
          <w:b w:val="0"/>
          <w:sz w:val="32"/>
        </w:rPr>
        <w:t>吴厚烽委员：</w:t>
      </w:r>
    </w:p>
    <w:p>
      <w:pPr>
        <w:spacing w:before="0" w:after="60" w:line="576" w:lineRule="exact"/>
        <w:ind w:firstLine="640" w:firstLineChars="200"/>
        <w:jc w:val="both"/>
        <w:rPr>
          <w:rFonts w:hint="default" w:ascii="Times New Roman" w:hAnsi="Times New Roman" w:eastAsia="仿宋_GB2312" w:cs="Times New Roman"/>
        </w:rPr>
      </w:pPr>
      <w:r>
        <w:rPr>
          <w:rFonts w:hint="default" w:ascii="Times New Roman" w:hAnsi="Times New Roman" w:eastAsia="仿宋_GB2312" w:cs="Times New Roman"/>
          <w:b w:val="0"/>
          <w:sz w:val="32"/>
        </w:rPr>
        <w:t>您提出的《关于推动我市输配电装备产业高质量发展的提案》收悉，现答复如下：</w:t>
      </w:r>
    </w:p>
    <w:p>
      <w:pPr>
        <w:spacing w:before="0" w:after="60" w:line="576" w:lineRule="exact"/>
        <w:ind w:firstLine="640" w:firstLineChars="200"/>
        <w:jc w:val="both"/>
        <w:rPr>
          <w:rFonts w:hint="default" w:ascii="Times New Roman" w:hAnsi="Times New Roman" w:eastAsia="仿宋_GB2312" w:cs="Times New Roman"/>
        </w:rPr>
      </w:pPr>
      <w:r>
        <w:rPr>
          <w:rFonts w:hint="default" w:ascii="Times New Roman" w:hAnsi="Times New Roman" w:eastAsia="仿宋_GB2312" w:cs="Times New Roman"/>
          <w:b w:val="0"/>
          <w:sz w:val="32"/>
        </w:rPr>
        <w:t>首先，衷心感谢您对我市输配电装备产业发展的关注和支持。提案精准把握国家</w:t>
      </w:r>
      <w:r>
        <w:rPr>
          <w:rFonts w:hint="eastAsia" w:ascii="Times New Roman" w:hAnsi="Times New Roman" w:eastAsia="仿宋_GB2312" w:cs="Times New Roman"/>
          <w:b w:val="0"/>
          <w:sz w:val="32"/>
          <w:lang w:eastAsia="zh-CN"/>
        </w:rPr>
        <w:t>“</w:t>
      </w:r>
      <w:r>
        <w:rPr>
          <w:rFonts w:hint="default" w:ascii="Times New Roman" w:hAnsi="Times New Roman" w:eastAsia="仿宋_GB2312" w:cs="Times New Roman"/>
          <w:b w:val="0"/>
          <w:sz w:val="32"/>
        </w:rPr>
        <w:t>十五五</w:t>
      </w:r>
      <w:r>
        <w:rPr>
          <w:rFonts w:hint="eastAsia" w:ascii="Times New Roman" w:hAnsi="Times New Roman" w:eastAsia="仿宋_GB2312" w:cs="Times New Roman"/>
          <w:b w:val="0"/>
          <w:sz w:val="32"/>
          <w:lang w:eastAsia="zh-CN"/>
        </w:rPr>
        <w:t>”</w:t>
      </w:r>
      <w:r>
        <w:rPr>
          <w:rFonts w:hint="default" w:ascii="Times New Roman" w:hAnsi="Times New Roman" w:eastAsia="仿宋_GB2312" w:cs="Times New Roman"/>
          <w:b w:val="0"/>
          <w:sz w:val="32"/>
        </w:rPr>
        <w:t>期间4万亿元电网投资的重大机遇，提出的</w:t>
      </w:r>
      <w:r>
        <w:rPr>
          <w:rFonts w:hint="eastAsia" w:ascii="Times New Roman" w:hAnsi="Times New Roman" w:eastAsia="仿宋_GB2312" w:cs="Times New Roman"/>
          <w:b w:val="0"/>
          <w:sz w:val="32"/>
          <w:lang w:eastAsia="zh-CN"/>
        </w:rPr>
        <w:t>“</w:t>
      </w:r>
      <w:r>
        <w:rPr>
          <w:rFonts w:hint="default" w:ascii="Times New Roman" w:hAnsi="Times New Roman" w:eastAsia="仿宋_GB2312" w:cs="Times New Roman"/>
          <w:b w:val="0"/>
          <w:sz w:val="32"/>
        </w:rPr>
        <w:t>制定专项行动方案、精准招商强链补链、打造多元示范场景、借力侨乡优势抱团出海</w:t>
      </w:r>
      <w:r>
        <w:rPr>
          <w:rFonts w:hint="eastAsia" w:ascii="Times New Roman" w:hAnsi="Times New Roman" w:eastAsia="仿宋_GB2312" w:cs="Times New Roman"/>
          <w:b w:val="0"/>
          <w:sz w:val="32"/>
          <w:lang w:eastAsia="zh-CN"/>
        </w:rPr>
        <w:t>”</w:t>
      </w:r>
      <w:r>
        <w:rPr>
          <w:rFonts w:hint="default" w:ascii="Times New Roman" w:hAnsi="Times New Roman" w:eastAsia="仿宋_GB2312" w:cs="Times New Roman"/>
          <w:b w:val="0"/>
          <w:sz w:val="32"/>
        </w:rPr>
        <w:t>等建议，对我市输配电装备及海上风电产业集群高质量发展具有重要参考价值。</w:t>
      </w:r>
    </w:p>
    <w:p>
      <w:pPr>
        <w:keepNext w:val="0"/>
        <w:keepLines w:val="0"/>
        <w:pageBreakBefore w:val="0"/>
        <w:widowControl/>
        <w:kinsoku/>
        <w:wordWrap/>
        <w:overflowPunct/>
        <w:topLinePunct w:val="0"/>
        <w:autoSpaceDE/>
        <w:autoSpaceDN/>
        <w:bidi w:val="0"/>
        <w:adjustRightInd/>
        <w:snapToGrid/>
        <w:spacing w:after="0" w:line="576" w:lineRule="exact"/>
        <w:ind w:firstLine="640" w:firstLineChars="200"/>
        <w:jc w:val="both"/>
        <w:textAlignment w:val="auto"/>
        <w:rPr>
          <w:rFonts w:hint="eastAsia" w:ascii="黑体" w:hAnsi="黑体" w:eastAsia="黑体" w:cs="黑体"/>
          <w:b w:val="0"/>
          <w:bCs/>
        </w:rPr>
      </w:pPr>
      <w:r>
        <w:rPr>
          <w:rFonts w:hint="eastAsia" w:ascii="黑体" w:hAnsi="黑体" w:eastAsia="黑体" w:cs="黑体"/>
          <w:b w:val="0"/>
          <w:bCs/>
          <w:sz w:val="32"/>
        </w:rPr>
        <w:t>一、关于</w:t>
      </w:r>
      <w:r>
        <w:rPr>
          <w:rFonts w:hint="eastAsia" w:ascii="黑体" w:hAnsi="黑体" w:eastAsia="黑体" w:cs="黑体"/>
          <w:b w:val="0"/>
          <w:bCs/>
          <w:sz w:val="32"/>
          <w:lang w:eastAsia="zh-CN"/>
        </w:rPr>
        <w:t>“</w:t>
      </w:r>
      <w:r>
        <w:rPr>
          <w:rFonts w:hint="eastAsia" w:ascii="黑体" w:hAnsi="黑体" w:eastAsia="黑体" w:cs="黑体"/>
          <w:b w:val="0"/>
          <w:bCs/>
          <w:sz w:val="32"/>
        </w:rPr>
        <w:t>制定市级行动计划，强链补链提升协同效能</w:t>
      </w:r>
      <w:r>
        <w:rPr>
          <w:rFonts w:hint="eastAsia" w:ascii="黑体" w:hAnsi="黑体" w:eastAsia="黑体" w:cs="黑体"/>
          <w:b w:val="0"/>
          <w:bCs/>
          <w:sz w:val="32"/>
          <w:lang w:eastAsia="zh-CN"/>
        </w:rPr>
        <w:t>”</w:t>
      </w:r>
      <w:r>
        <w:rPr>
          <w:rFonts w:hint="eastAsia" w:ascii="黑体" w:hAnsi="黑体" w:eastAsia="黑体" w:cs="黑体"/>
          <w:b w:val="0"/>
          <w:bCs/>
          <w:sz w:val="32"/>
        </w:rPr>
        <w:t>的建议</w:t>
      </w:r>
    </w:p>
    <w:p>
      <w:pPr>
        <w:spacing w:before="40" w:after="40" w:line="576" w:lineRule="exact"/>
        <w:ind w:firstLine="640" w:firstLineChars="200"/>
        <w:jc w:val="both"/>
        <w:rPr>
          <w:rFonts w:hint="default" w:ascii="Times New Roman" w:hAnsi="Times New Roman" w:eastAsia="仿宋_GB2312" w:cs="Times New Roman"/>
        </w:rPr>
      </w:pPr>
      <w:r>
        <w:rPr>
          <w:rFonts w:hint="default" w:ascii="Times New Roman" w:hAnsi="Times New Roman" w:eastAsia="仿宋_GB2312" w:cs="Times New Roman"/>
          <w:b w:val="0"/>
          <w:sz w:val="32"/>
        </w:rPr>
        <w:t>我市输配电装备产业已集聚了正超电气、金晖隆、中兴电器、佰林电气等一批优质企业，2024年全市输配电线缆规上企业约42家，规上工业总产值约29亿元。同时，依托得天独厚的风资源优势，我市全力构建</w:t>
      </w:r>
      <w:r>
        <w:rPr>
          <w:rFonts w:hint="eastAsia" w:ascii="Times New Roman" w:hAnsi="Times New Roman" w:eastAsia="仿宋_GB2312" w:cs="Times New Roman"/>
          <w:b w:val="0"/>
          <w:sz w:val="32"/>
          <w:lang w:eastAsia="zh-CN"/>
        </w:rPr>
        <w:t>“</w:t>
      </w:r>
      <w:r>
        <w:rPr>
          <w:rFonts w:hint="default" w:ascii="Times New Roman" w:hAnsi="Times New Roman" w:eastAsia="仿宋_GB2312" w:cs="Times New Roman"/>
          <w:b w:val="0"/>
          <w:sz w:val="32"/>
        </w:rPr>
        <w:t>1+3+3</w:t>
      </w:r>
      <w:r>
        <w:rPr>
          <w:rFonts w:hint="eastAsia" w:ascii="Times New Roman" w:hAnsi="Times New Roman" w:eastAsia="仿宋_GB2312" w:cs="Times New Roman"/>
          <w:b w:val="0"/>
          <w:sz w:val="32"/>
          <w:lang w:eastAsia="zh-CN"/>
        </w:rPr>
        <w:t>”</w:t>
      </w:r>
      <w:r>
        <w:rPr>
          <w:rFonts w:hint="default" w:ascii="Times New Roman" w:hAnsi="Times New Roman" w:eastAsia="仿宋_GB2312" w:cs="Times New Roman"/>
          <w:b w:val="0"/>
          <w:sz w:val="32"/>
        </w:rPr>
        <w:t>全产业链生态体系，全球首个涵盖研发设计、工艺流程、生产制造、检测认证"四个一体化"的海上风电装备制造基地加快建设。至2025年，广东省风电临海试验基地4个机位全部投用，单机测试容量最大可达24兆瓦级别，居世界前列；40兆瓦级风电机组电气及动力学六自由度实验平台已列入</w:t>
      </w:r>
      <w:r>
        <w:rPr>
          <w:rFonts w:hint="eastAsia" w:ascii="Times New Roman" w:hAnsi="Times New Roman" w:eastAsia="仿宋_GB2312" w:cs="Times New Roman"/>
          <w:b w:val="0"/>
          <w:sz w:val="32"/>
          <w:lang w:eastAsia="zh-CN"/>
        </w:rPr>
        <w:t>“</w:t>
      </w:r>
      <w:r>
        <w:rPr>
          <w:rFonts w:hint="default" w:ascii="Times New Roman" w:hAnsi="Times New Roman" w:eastAsia="仿宋_GB2312" w:cs="Times New Roman"/>
          <w:b w:val="0"/>
          <w:sz w:val="32"/>
        </w:rPr>
        <w:t>国家重点研发计划</w:t>
      </w:r>
      <w:r>
        <w:rPr>
          <w:rFonts w:hint="eastAsia" w:ascii="Times New Roman" w:hAnsi="Times New Roman" w:eastAsia="仿宋_GB2312" w:cs="Times New Roman"/>
          <w:b w:val="0"/>
          <w:sz w:val="32"/>
          <w:lang w:eastAsia="zh-CN"/>
        </w:rPr>
        <w:t>”</w:t>
      </w:r>
      <w:r>
        <w:rPr>
          <w:rFonts w:hint="default" w:ascii="Times New Roman" w:hAnsi="Times New Roman" w:eastAsia="仿宋_GB2312" w:cs="Times New Roman"/>
          <w:b w:val="0"/>
          <w:sz w:val="32"/>
        </w:rPr>
        <w:t>。下来，我们将对标先进地区，研究制定《汕头市推进新型电力系统装备产业集群发展三年行动方案》，绘制产业链图谱，组建</w:t>
      </w:r>
      <w:r>
        <w:rPr>
          <w:rFonts w:hint="eastAsia" w:ascii="Times New Roman" w:hAnsi="Times New Roman" w:eastAsia="仿宋_GB2312" w:cs="Times New Roman"/>
          <w:b w:val="0"/>
          <w:sz w:val="32"/>
          <w:lang w:eastAsia="zh-CN"/>
        </w:rPr>
        <w:t>“</w:t>
      </w:r>
      <w:r>
        <w:rPr>
          <w:rFonts w:hint="default" w:ascii="Times New Roman" w:hAnsi="Times New Roman" w:eastAsia="仿宋_GB2312" w:cs="Times New Roman"/>
          <w:b w:val="0"/>
          <w:sz w:val="32"/>
        </w:rPr>
        <w:t>汕头市新型电力装备产业联盟</w:t>
      </w:r>
      <w:r>
        <w:rPr>
          <w:rFonts w:hint="eastAsia" w:ascii="Times New Roman" w:hAnsi="Times New Roman" w:eastAsia="仿宋_GB2312" w:cs="Times New Roman"/>
          <w:b w:val="0"/>
          <w:sz w:val="32"/>
          <w:lang w:eastAsia="zh-CN"/>
        </w:rPr>
        <w:t>”</w:t>
      </w:r>
      <w:r>
        <w:rPr>
          <w:rFonts w:hint="default" w:ascii="Times New Roman" w:hAnsi="Times New Roman" w:eastAsia="仿宋_GB2312" w:cs="Times New Roman"/>
          <w:b w:val="0"/>
          <w:sz w:val="32"/>
        </w:rPr>
        <w:t>，规划建设</w:t>
      </w:r>
      <w:r>
        <w:rPr>
          <w:rFonts w:hint="eastAsia" w:ascii="Times New Roman" w:hAnsi="Times New Roman" w:eastAsia="仿宋_GB2312" w:cs="Times New Roman"/>
          <w:b w:val="0"/>
          <w:sz w:val="32"/>
          <w:lang w:eastAsia="zh-CN"/>
        </w:rPr>
        <w:t>“</w:t>
      </w:r>
      <w:r>
        <w:rPr>
          <w:rFonts w:hint="default" w:ascii="Times New Roman" w:hAnsi="Times New Roman" w:eastAsia="仿宋_GB2312" w:cs="Times New Roman"/>
          <w:b w:val="0"/>
          <w:sz w:val="32"/>
        </w:rPr>
        <w:t>电力装备核心部件配套园区</w:t>
      </w:r>
      <w:r>
        <w:rPr>
          <w:rFonts w:hint="eastAsia" w:ascii="Times New Roman" w:hAnsi="Times New Roman" w:eastAsia="仿宋_GB2312" w:cs="Times New Roman"/>
          <w:b w:val="0"/>
          <w:sz w:val="32"/>
          <w:lang w:eastAsia="zh-CN"/>
        </w:rPr>
        <w:t>”</w:t>
      </w:r>
      <w:r>
        <w:rPr>
          <w:rFonts w:hint="default" w:ascii="Times New Roman" w:hAnsi="Times New Roman" w:eastAsia="仿宋_GB2312" w:cs="Times New Roman"/>
          <w:b w:val="0"/>
          <w:sz w:val="32"/>
        </w:rPr>
        <w:t>。</w:t>
      </w:r>
    </w:p>
    <w:p>
      <w:pPr>
        <w:spacing w:before="120" w:after="60" w:line="576" w:lineRule="exact"/>
        <w:ind w:firstLine="640" w:firstLineChars="200"/>
        <w:jc w:val="both"/>
        <w:rPr>
          <w:rFonts w:hint="eastAsia" w:ascii="黑体" w:hAnsi="黑体" w:eastAsia="黑体" w:cs="黑体"/>
          <w:b w:val="0"/>
          <w:bCs/>
        </w:rPr>
      </w:pPr>
      <w:r>
        <w:rPr>
          <w:rFonts w:hint="eastAsia" w:ascii="黑体" w:hAnsi="黑体" w:eastAsia="黑体" w:cs="黑体"/>
          <w:b w:val="0"/>
          <w:bCs/>
          <w:sz w:val="32"/>
        </w:rPr>
        <w:t>二、关于</w:t>
      </w:r>
      <w:r>
        <w:rPr>
          <w:rFonts w:hint="eastAsia" w:ascii="黑体" w:hAnsi="黑体" w:eastAsia="黑体" w:cs="黑体"/>
          <w:b w:val="0"/>
          <w:bCs/>
          <w:sz w:val="32"/>
          <w:lang w:eastAsia="zh-CN"/>
        </w:rPr>
        <w:t>“</w:t>
      </w:r>
      <w:r>
        <w:rPr>
          <w:rFonts w:hint="eastAsia" w:ascii="黑体" w:hAnsi="黑体" w:eastAsia="黑体" w:cs="黑体"/>
          <w:b w:val="0"/>
          <w:bCs/>
          <w:sz w:val="32"/>
        </w:rPr>
        <w:t>打造多元示范场景，驱动技术迭代</w:t>
      </w:r>
      <w:r>
        <w:rPr>
          <w:rFonts w:hint="eastAsia" w:ascii="黑体" w:hAnsi="黑体" w:eastAsia="黑体" w:cs="黑体"/>
          <w:b w:val="0"/>
          <w:bCs/>
          <w:sz w:val="32"/>
          <w:lang w:eastAsia="zh-CN"/>
        </w:rPr>
        <w:t>”</w:t>
      </w:r>
      <w:r>
        <w:rPr>
          <w:rFonts w:hint="eastAsia" w:ascii="黑体" w:hAnsi="黑体" w:eastAsia="黑体" w:cs="黑体"/>
          <w:b w:val="0"/>
          <w:bCs/>
          <w:sz w:val="32"/>
        </w:rPr>
        <w:t>的建议</w:t>
      </w:r>
    </w:p>
    <w:p>
      <w:pPr>
        <w:spacing w:before="40" w:after="40" w:line="576" w:lineRule="exact"/>
        <w:ind w:firstLine="640" w:firstLineChars="200"/>
        <w:jc w:val="both"/>
        <w:rPr>
          <w:rFonts w:hint="default" w:ascii="Times New Roman" w:hAnsi="Times New Roman" w:eastAsia="仿宋_GB2312" w:cs="Times New Roman"/>
        </w:rPr>
      </w:pPr>
      <w:r>
        <w:rPr>
          <w:rFonts w:hint="default" w:ascii="Times New Roman" w:hAnsi="Times New Roman" w:eastAsia="仿宋_GB2312" w:cs="Times New Roman"/>
          <w:b w:val="0"/>
          <w:sz w:val="32"/>
        </w:rPr>
        <w:t>在输配电示范应用方面，汕头供电局已率先实现输变配无人机自主巡检全覆盖，构建起</w:t>
      </w:r>
      <w:r>
        <w:rPr>
          <w:rFonts w:hint="eastAsia" w:ascii="Times New Roman" w:hAnsi="Times New Roman" w:eastAsia="仿宋_GB2312" w:cs="Times New Roman"/>
          <w:b w:val="0"/>
          <w:sz w:val="32"/>
          <w:lang w:eastAsia="zh-CN"/>
        </w:rPr>
        <w:t>“</w:t>
      </w:r>
      <w:r>
        <w:rPr>
          <w:rFonts w:hint="default" w:ascii="Times New Roman" w:hAnsi="Times New Roman" w:eastAsia="仿宋_GB2312" w:cs="Times New Roman"/>
          <w:b w:val="0"/>
          <w:sz w:val="32"/>
        </w:rPr>
        <w:t>空天地</w:t>
      </w:r>
      <w:r>
        <w:rPr>
          <w:rFonts w:hint="eastAsia" w:ascii="Times New Roman" w:hAnsi="Times New Roman" w:eastAsia="仿宋_GB2312" w:cs="Times New Roman"/>
          <w:b w:val="0"/>
          <w:sz w:val="32"/>
          <w:lang w:eastAsia="zh-CN"/>
        </w:rPr>
        <w:t>”</w:t>
      </w:r>
      <w:r>
        <w:rPr>
          <w:rFonts w:hint="default" w:ascii="Times New Roman" w:hAnsi="Times New Roman" w:eastAsia="仿宋_GB2312" w:cs="Times New Roman"/>
          <w:b w:val="0"/>
          <w:sz w:val="32"/>
        </w:rPr>
        <w:t>一体化巡检体系。我们还将立项支持</w:t>
      </w:r>
      <w:r>
        <w:rPr>
          <w:rFonts w:hint="eastAsia" w:ascii="Times New Roman" w:hAnsi="Times New Roman" w:eastAsia="仿宋_GB2312" w:cs="Times New Roman"/>
          <w:b w:val="0"/>
          <w:sz w:val="32"/>
          <w:lang w:eastAsia="zh-CN"/>
        </w:rPr>
        <w:t>“</w:t>
      </w:r>
      <w:r>
        <w:rPr>
          <w:rFonts w:hint="default" w:ascii="Times New Roman" w:hAnsi="Times New Roman" w:eastAsia="仿宋_GB2312" w:cs="Times New Roman"/>
          <w:b w:val="0"/>
          <w:sz w:val="32"/>
        </w:rPr>
        <w:t>光储充检</w:t>
      </w:r>
      <w:r>
        <w:rPr>
          <w:rFonts w:hint="eastAsia" w:ascii="Times New Roman" w:hAnsi="Times New Roman" w:eastAsia="仿宋_GB2312" w:cs="Times New Roman"/>
          <w:b w:val="0"/>
          <w:sz w:val="32"/>
          <w:lang w:eastAsia="zh-CN"/>
        </w:rPr>
        <w:t>”</w:t>
      </w:r>
      <w:r>
        <w:rPr>
          <w:rFonts w:hint="default" w:ascii="Times New Roman" w:hAnsi="Times New Roman" w:eastAsia="仿宋_GB2312" w:cs="Times New Roman"/>
          <w:b w:val="0"/>
          <w:sz w:val="32"/>
        </w:rPr>
        <w:t>一体化示范站建设，在城市公交枢纽、大型园区规划建设综合示范站。开展</w:t>
      </w:r>
      <w:r>
        <w:rPr>
          <w:rFonts w:hint="eastAsia" w:ascii="Times New Roman" w:hAnsi="Times New Roman" w:eastAsia="仿宋_GB2312" w:cs="Times New Roman"/>
          <w:b w:val="0"/>
          <w:sz w:val="32"/>
          <w:lang w:eastAsia="zh-CN"/>
        </w:rPr>
        <w:t>“</w:t>
      </w:r>
      <w:r>
        <w:rPr>
          <w:rFonts w:hint="default" w:ascii="Times New Roman" w:hAnsi="Times New Roman" w:eastAsia="仿宋_GB2312" w:cs="Times New Roman"/>
          <w:b w:val="0"/>
          <w:sz w:val="32"/>
        </w:rPr>
        <w:t>智慧园区</w:t>
      </w:r>
      <w:r>
        <w:rPr>
          <w:rFonts w:hint="eastAsia" w:ascii="Times New Roman" w:hAnsi="Times New Roman" w:eastAsia="仿宋_GB2312" w:cs="Times New Roman"/>
          <w:b w:val="0"/>
          <w:sz w:val="32"/>
          <w:lang w:eastAsia="zh-CN"/>
        </w:rPr>
        <w:t>”</w:t>
      </w:r>
      <w:r>
        <w:rPr>
          <w:rFonts w:hint="default" w:ascii="Times New Roman" w:hAnsi="Times New Roman" w:eastAsia="仿宋_GB2312" w:cs="Times New Roman"/>
          <w:b w:val="0"/>
          <w:sz w:val="32"/>
        </w:rPr>
        <w:t>微电网试点，支持企业打造整体智慧用电解决方案。在海上风电领域，支持正超电气、金晖隆等企业参与海上风电输变电装备研制，立足我市海上风电120万千瓦装机的实际应用场景，推动本地输配电装备企业在智能电网、海上风电升压站、柔直输电等领域打造一批标杆项目。</w:t>
      </w:r>
    </w:p>
    <w:p>
      <w:pPr>
        <w:spacing w:before="120" w:after="60" w:line="576" w:lineRule="exact"/>
        <w:ind w:firstLine="640" w:firstLineChars="200"/>
        <w:jc w:val="both"/>
        <w:rPr>
          <w:rFonts w:hint="eastAsia" w:ascii="黑体" w:hAnsi="黑体" w:eastAsia="黑体" w:cs="黑体"/>
          <w:b w:val="0"/>
          <w:bCs/>
        </w:rPr>
      </w:pPr>
      <w:r>
        <w:rPr>
          <w:rFonts w:hint="eastAsia" w:ascii="黑体" w:hAnsi="黑体" w:eastAsia="黑体" w:cs="黑体"/>
          <w:b w:val="0"/>
          <w:bCs/>
          <w:sz w:val="32"/>
        </w:rPr>
        <w:t>三、关于</w:t>
      </w:r>
      <w:r>
        <w:rPr>
          <w:rFonts w:hint="eastAsia" w:ascii="黑体" w:hAnsi="黑体" w:eastAsia="黑体" w:cs="黑体"/>
          <w:b w:val="0"/>
          <w:bCs/>
          <w:sz w:val="32"/>
          <w:lang w:eastAsia="zh-CN"/>
        </w:rPr>
        <w:t>“</w:t>
      </w:r>
      <w:r>
        <w:rPr>
          <w:rFonts w:hint="eastAsia" w:ascii="黑体" w:hAnsi="黑体" w:eastAsia="黑体" w:cs="黑体"/>
          <w:b w:val="0"/>
          <w:bCs/>
          <w:sz w:val="32"/>
        </w:rPr>
        <w:t>借力侨乡网络优势，推动产业抱团出海</w:t>
      </w:r>
      <w:r>
        <w:rPr>
          <w:rFonts w:hint="eastAsia" w:ascii="黑体" w:hAnsi="黑体" w:eastAsia="黑体" w:cs="黑体"/>
          <w:b w:val="0"/>
          <w:bCs/>
          <w:sz w:val="32"/>
          <w:lang w:eastAsia="zh-CN"/>
        </w:rPr>
        <w:t>”</w:t>
      </w:r>
      <w:r>
        <w:rPr>
          <w:rFonts w:hint="eastAsia" w:ascii="黑体" w:hAnsi="黑体" w:eastAsia="黑体" w:cs="黑体"/>
          <w:b w:val="0"/>
          <w:bCs/>
          <w:sz w:val="32"/>
        </w:rPr>
        <w:t>的建议</w:t>
      </w:r>
    </w:p>
    <w:p>
      <w:pPr>
        <w:spacing w:before="40" w:after="40" w:line="576" w:lineRule="exact"/>
        <w:ind w:firstLine="640" w:firstLineChars="200"/>
        <w:jc w:val="both"/>
        <w:rPr>
          <w:rFonts w:hint="default" w:ascii="Times New Roman" w:hAnsi="Times New Roman" w:eastAsia="仿宋_GB2312" w:cs="Times New Roman"/>
        </w:rPr>
      </w:pPr>
      <w:r>
        <w:rPr>
          <w:rFonts w:hint="default" w:ascii="Times New Roman" w:hAnsi="Times New Roman" w:eastAsia="仿宋_GB2312" w:cs="Times New Roman"/>
          <w:b w:val="0"/>
          <w:sz w:val="32"/>
        </w:rPr>
        <w:t>我市已成功举办第22届世界风能大会暨第三届汕头国际风电技术创新大会，吸引近30个国家和地区的能源领袖参与，发布《全球风能合作汕头宣言》，设立永久性</w:t>
      </w:r>
      <w:r>
        <w:rPr>
          <w:rFonts w:hint="eastAsia" w:ascii="Times New Roman" w:hAnsi="Times New Roman" w:eastAsia="仿宋_GB2312" w:cs="Times New Roman"/>
          <w:b w:val="0"/>
          <w:sz w:val="32"/>
          <w:lang w:eastAsia="zh-CN"/>
        </w:rPr>
        <w:t>“</w:t>
      </w:r>
      <w:r>
        <w:rPr>
          <w:rFonts w:hint="default" w:ascii="Times New Roman" w:hAnsi="Times New Roman" w:eastAsia="仿宋_GB2312" w:cs="Times New Roman"/>
          <w:b w:val="0"/>
          <w:sz w:val="32"/>
        </w:rPr>
        <w:t>全球风电合作对话</w:t>
      </w:r>
      <w:r>
        <w:rPr>
          <w:rFonts w:hint="eastAsia" w:ascii="Times New Roman" w:hAnsi="Times New Roman" w:eastAsia="仿宋_GB2312" w:cs="Times New Roman"/>
          <w:b w:val="0"/>
          <w:sz w:val="32"/>
          <w:lang w:eastAsia="zh-CN"/>
        </w:rPr>
        <w:t>”</w:t>
      </w:r>
      <w:r>
        <w:rPr>
          <w:rFonts w:hint="default" w:ascii="Times New Roman" w:hAnsi="Times New Roman" w:eastAsia="仿宋_GB2312" w:cs="Times New Roman"/>
          <w:b w:val="0"/>
          <w:sz w:val="32"/>
        </w:rPr>
        <w:t>机制，启动中国风电产业出海综合服务基地建设。广澳港区三期工程已于2025年9月开工，规划3个风电专用泊位，将成为辐射东南亚的能源装备出口枢纽。下来，我们将依托全球潮汕商会网络，推动</w:t>
      </w:r>
      <w:r>
        <w:rPr>
          <w:rFonts w:hint="eastAsia" w:ascii="Times New Roman" w:hAnsi="Times New Roman" w:eastAsia="仿宋_GB2312" w:cs="Times New Roman"/>
          <w:b w:val="0"/>
          <w:sz w:val="32"/>
          <w:lang w:eastAsia="zh-CN"/>
        </w:rPr>
        <w:t>“</w:t>
      </w:r>
      <w:r>
        <w:rPr>
          <w:rFonts w:hint="default" w:ascii="Times New Roman" w:hAnsi="Times New Roman" w:eastAsia="仿宋_GB2312" w:cs="Times New Roman"/>
          <w:b w:val="0"/>
          <w:sz w:val="32"/>
        </w:rPr>
        <w:t>汕籍侨商电力装备产业合作联盟</w:t>
      </w:r>
      <w:r>
        <w:rPr>
          <w:rFonts w:hint="eastAsia" w:ascii="Times New Roman" w:hAnsi="Times New Roman" w:eastAsia="仿宋_GB2312" w:cs="Times New Roman"/>
          <w:b w:val="0"/>
          <w:sz w:val="32"/>
          <w:lang w:eastAsia="zh-CN"/>
        </w:rPr>
        <w:t>”</w:t>
      </w:r>
      <w:r>
        <w:rPr>
          <w:rFonts w:hint="default" w:ascii="Times New Roman" w:hAnsi="Times New Roman" w:eastAsia="仿宋_GB2312" w:cs="Times New Roman"/>
          <w:b w:val="0"/>
          <w:sz w:val="32"/>
        </w:rPr>
        <w:t>组建，搭建</w:t>
      </w:r>
      <w:r>
        <w:rPr>
          <w:rFonts w:hint="eastAsia" w:ascii="Times New Roman" w:hAnsi="Times New Roman" w:eastAsia="仿宋_GB2312" w:cs="Times New Roman"/>
          <w:b w:val="0"/>
          <w:sz w:val="32"/>
          <w:lang w:eastAsia="zh-CN"/>
        </w:rPr>
        <w:t>“</w:t>
      </w:r>
      <w:r>
        <w:rPr>
          <w:rFonts w:hint="default" w:ascii="Times New Roman" w:hAnsi="Times New Roman" w:eastAsia="仿宋_GB2312" w:cs="Times New Roman"/>
          <w:b w:val="0"/>
          <w:sz w:val="32"/>
        </w:rPr>
        <w:t>产品出海</w:t>
      </w:r>
      <w:r>
        <w:rPr>
          <w:rFonts w:hint="eastAsia" w:ascii="Times New Roman" w:hAnsi="Times New Roman" w:eastAsia="仿宋_GB2312" w:cs="Times New Roman"/>
          <w:b w:val="0"/>
          <w:sz w:val="32"/>
          <w:lang w:eastAsia="zh-CN"/>
        </w:rPr>
        <w:t>”</w:t>
      </w:r>
      <w:r>
        <w:rPr>
          <w:rFonts w:hint="default" w:ascii="Times New Roman" w:hAnsi="Times New Roman" w:eastAsia="仿宋_GB2312" w:cs="Times New Roman"/>
          <w:b w:val="0"/>
          <w:sz w:val="32"/>
        </w:rPr>
        <w:t>一站式服务平台，支持企业以</w:t>
      </w:r>
      <w:r>
        <w:rPr>
          <w:rFonts w:hint="eastAsia" w:ascii="Times New Roman" w:hAnsi="Times New Roman" w:eastAsia="仿宋_GB2312" w:cs="Times New Roman"/>
          <w:b w:val="0"/>
          <w:sz w:val="32"/>
          <w:lang w:eastAsia="zh-CN"/>
        </w:rPr>
        <w:t>“</w:t>
      </w:r>
      <w:r>
        <w:rPr>
          <w:rFonts w:hint="default" w:ascii="Times New Roman" w:hAnsi="Times New Roman" w:eastAsia="仿宋_GB2312" w:cs="Times New Roman"/>
          <w:b w:val="0"/>
          <w:sz w:val="32"/>
        </w:rPr>
        <w:t>EPC+F</w:t>
      </w:r>
      <w:r>
        <w:rPr>
          <w:rFonts w:hint="eastAsia" w:ascii="Times New Roman" w:hAnsi="Times New Roman" w:eastAsia="仿宋_GB2312" w:cs="Times New Roman"/>
          <w:b w:val="0"/>
          <w:sz w:val="32"/>
          <w:lang w:eastAsia="zh-CN"/>
        </w:rPr>
        <w:t>”</w:t>
      </w:r>
      <w:r>
        <w:rPr>
          <w:rFonts w:hint="default" w:ascii="Times New Roman" w:hAnsi="Times New Roman" w:eastAsia="仿宋_GB2312" w:cs="Times New Roman"/>
          <w:b w:val="0"/>
          <w:sz w:val="32"/>
        </w:rPr>
        <w:t>模式竞标海外综合项目。</w:t>
      </w:r>
    </w:p>
    <w:p>
      <w:pPr>
        <w:spacing w:before="120" w:after="60" w:line="576" w:lineRule="exact"/>
        <w:ind w:firstLine="640" w:firstLineChars="200"/>
        <w:jc w:val="both"/>
        <w:rPr>
          <w:rFonts w:hint="eastAsia" w:ascii="黑体" w:hAnsi="黑体" w:eastAsia="黑体" w:cs="黑体"/>
          <w:b w:val="0"/>
          <w:bCs/>
        </w:rPr>
      </w:pPr>
      <w:r>
        <w:rPr>
          <w:rFonts w:hint="eastAsia" w:ascii="黑体" w:hAnsi="黑体" w:eastAsia="黑体" w:cs="黑体"/>
          <w:b w:val="0"/>
          <w:bCs/>
          <w:sz w:val="32"/>
        </w:rPr>
        <w:t>四、关于"加大政策支持力度"的建议</w:t>
      </w:r>
    </w:p>
    <w:p>
      <w:pPr>
        <w:keepNext w:val="0"/>
        <w:keepLines w:val="0"/>
        <w:pageBreakBefore w:val="0"/>
        <w:widowControl/>
        <w:kinsoku/>
        <w:wordWrap/>
        <w:overflowPunct/>
        <w:topLinePunct w:val="0"/>
        <w:autoSpaceDE/>
        <w:autoSpaceDN/>
        <w:bidi w:val="0"/>
        <w:adjustRightInd/>
        <w:snapToGrid/>
        <w:spacing w:after="0" w:line="576" w:lineRule="exact"/>
        <w:ind w:firstLine="640" w:firstLineChars="200"/>
        <w:jc w:val="both"/>
        <w:textAlignment w:val="auto"/>
        <w:rPr>
          <w:rFonts w:hint="default" w:ascii="Times New Roman" w:hAnsi="Times New Roman" w:eastAsia="仿宋_GB2312" w:cs="Times New Roman"/>
        </w:rPr>
      </w:pPr>
      <w:r>
        <w:rPr>
          <w:rFonts w:hint="default" w:ascii="Times New Roman" w:hAnsi="Times New Roman" w:eastAsia="仿宋_GB2312" w:cs="Times New Roman"/>
          <w:b w:val="0"/>
          <w:sz w:val="32"/>
        </w:rPr>
        <w:t>我市</w:t>
      </w:r>
      <w:r>
        <w:rPr>
          <w:rFonts w:hint="eastAsia" w:ascii="Times New Roman" w:hAnsi="Times New Roman" w:eastAsia="仿宋_GB2312" w:cs="Times New Roman"/>
          <w:b w:val="0"/>
          <w:sz w:val="32"/>
          <w:lang w:eastAsia="zh-CN"/>
        </w:rPr>
        <w:t>“</w:t>
      </w:r>
      <w:r>
        <w:rPr>
          <w:rFonts w:hint="default" w:ascii="Times New Roman" w:hAnsi="Times New Roman" w:eastAsia="仿宋_GB2312" w:cs="Times New Roman"/>
          <w:b w:val="0"/>
          <w:sz w:val="32"/>
        </w:rPr>
        <w:t>十四五</w:t>
      </w:r>
      <w:r>
        <w:rPr>
          <w:rFonts w:hint="eastAsia" w:ascii="Times New Roman" w:hAnsi="Times New Roman" w:eastAsia="仿宋_GB2312" w:cs="Times New Roman"/>
          <w:b w:val="0"/>
          <w:sz w:val="32"/>
          <w:lang w:eastAsia="zh-CN"/>
        </w:rPr>
        <w:t>”</w:t>
      </w:r>
      <w:r>
        <w:rPr>
          <w:rFonts w:hint="default" w:ascii="Times New Roman" w:hAnsi="Times New Roman" w:eastAsia="仿宋_GB2312" w:cs="Times New Roman"/>
          <w:b w:val="0"/>
          <w:sz w:val="32"/>
        </w:rPr>
        <w:t>期间市级财政支持产业发展奖补资金合计奖补输配电规上企业835.26万元。下来，我们将落实研发费用加计扣除、高新技术企业税收减免等惠企政策，完善</w:t>
      </w:r>
      <w:r>
        <w:rPr>
          <w:rFonts w:hint="eastAsia" w:ascii="Times New Roman" w:hAnsi="Times New Roman" w:eastAsia="仿宋_GB2312" w:cs="Times New Roman"/>
          <w:b w:val="0"/>
          <w:sz w:val="32"/>
          <w:lang w:eastAsia="zh-CN"/>
        </w:rPr>
        <w:t>“</w:t>
      </w:r>
      <w:r>
        <w:rPr>
          <w:rFonts w:hint="default" w:ascii="Times New Roman" w:hAnsi="Times New Roman" w:eastAsia="仿宋_GB2312" w:cs="Times New Roman"/>
          <w:b w:val="0"/>
          <w:sz w:val="32"/>
        </w:rPr>
        <w:t>汕金惠企通</w:t>
      </w:r>
      <w:r>
        <w:rPr>
          <w:rFonts w:hint="eastAsia" w:ascii="Times New Roman" w:hAnsi="Times New Roman" w:eastAsia="仿宋_GB2312" w:cs="Times New Roman"/>
          <w:b w:val="0"/>
          <w:sz w:val="32"/>
          <w:lang w:eastAsia="zh-CN"/>
        </w:rPr>
        <w:t>”</w:t>
      </w:r>
      <w:r>
        <w:rPr>
          <w:rFonts w:hint="default" w:ascii="Times New Roman" w:hAnsi="Times New Roman" w:eastAsia="仿宋_GB2312" w:cs="Times New Roman"/>
          <w:b w:val="0"/>
          <w:sz w:val="32"/>
        </w:rPr>
        <w:t>银企融资服务平台，发挥</w:t>
      </w:r>
      <w:r>
        <w:rPr>
          <w:rFonts w:hint="eastAsia" w:ascii="Times New Roman" w:hAnsi="Times New Roman" w:eastAsia="仿宋_GB2312" w:cs="Times New Roman"/>
          <w:b w:val="0"/>
          <w:sz w:val="32"/>
          <w:lang w:eastAsia="zh-CN"/>
        </w:rPr>
        <w:t>“</w:t>
      </w:r>
      <w:r>
        <w:rPr>
          <w:rFonts w:hint="default" w:ascii="Times New Roman" w:hAnsi="Times New Roman" w:eastAsia="仿宋_GB2312" w:cs="Times New Roman"/>
          <w:b w:val="0"/>
          <w:sz w:val="32"/>
        </w:rPr>
        <w:t>政银担</w:t>
      </w:r>
      <w:r>
        <w:rPr>
          <w:rFonts w:hint="eastAsia" w:ascii="Times New Roman" w:hAnsi="Times New Roman" w:eastAsia="仿宋_GB2312" w:cs="Times New Roman"/>
          <w:b w:val="0"/>
          <w:sz w:val="32"/>
          <w:lang w:eastAsia="zh-CN"/>
        </w:rPr>
        <w:t>”“</w:t>
      </w:r>
      <w:r>
        <w:rPr>
          <w:rFonts w:hint="default" w:ascii="Times New Roman" w:hAnsi="Times New Roman" w:eastAsia="仿宋_GB2312" w:cs="Times New Roman"/>
          <w:b w:val="0"/>
          <w:sz w:val="32"/>
        </w:rPr>
        <w:t>政银保</w:t>
      </w:r>
      <w:r>
        <w:rPr>
          <w:rFonts w:hint="eastAsia" w:ascii="Times New Roman" w:hAnsi="Times New Roman" w:eastAsia="仿宋_GB2312" w:cs="Times New Roman"/>
          <w:b w:val="0"/>
          <w:sz w:val="32"/>
          <w:lang w:eastAsia="zh-CN"/>
        </w:rPr>
        <w:t>”</w:t>
      </w:r>
      <w:r>
        <w:rPr>
          <w:rFonts w:hint="default" w:ascii="Times New Roman" w:hAnsi="Times New Roman" w:eastAsia="仿宋_GB2312" w:cs="Times New Roman"/>
          <w:b w:val="0"/>
          <w:sz w:val="32"/>
        </w:rPr>
        <w:t>等政策工具作用。同时，加快</w:t>
      </w:r>
      <w:r>
        <w:rPr>
          <w:rFonts w:hint="eastAsia" w:ascii="Times New Roman" w:hAnsi="Times New Roman" w:eastAsia="仿宋_GB2312" w:cs="Times New Roman"/>
          <w:b w:val="0"/>
          <w:sz w:val="32"/>
          <w:lang w:eastAsia="zh-CN"/>
        </w:rPr>
        <w:t>“</w:t>
      </w:r>
      <w:r>
        <w:rPr>
          <w:rFonts w:hint="default" w:ascii="Times New Roman" w:hAnsi="Times New Roman" w:eastAsia="仿宋_GB2312" w:cs="Times New Roman"/>
          <w:b w:val="0"/>
          <w:sz w:val="32"/>
        </w:rPr>
        <w:t>3+8+10</w:t>
      </w:r>
      <w:r>
        <w:rPr>
          <w:rFonts w:hint="eastAsia" w:ascii="Times New Roman" w:hAnsi="Times New Roman" w:eastAsia="仿宋_GB2312" w:cs="Times New Roman"/>
          <w:b w:val="0"/>
          <w:sz w:val="32"/>
          <w:lang w:eastAsia="zh-CN"/>
        </w:rPr>
        <w:t>”</w:t>
      </w:r>
      <w:r>
        <w:rPr>
          <w:rFonts w:hint="default" w:ascii="Times New Roman" w:hAnsi="Times New Roman" w:eastAsia="仿宋_GB2312" w:cs="Times New Roman"/>
          <w:b w:val="0"/>
          <w:sz w:val="32"/>
        </w:rPr>
        <w:t>产业空间体系建设，保障优质项目用地需求。围绕海上风电装备产业集群目标，推动濠江产业园获评国家级零碳示范区，力争近海深水区300万千瓦风电项目纳入国家首批试点，向着千亿级新能源产业集群目标稳步迈进。</w:t>
      </w:r>
    </w:p>
    <w:p>
      <w:pPr>
        <w:keepNext w:val="0"/>
        <w:keepLines w:val="0"/>
        <w:pageBreakBefore w:val="0"/>
        <w:widowControl/>
        <w:kinsoku/>
        <w:wordWrap/>
        <w:overflowPunct/>
        <w:topLinePunct w:val="0"/>
        <w:autoSpaceDE/>
        <w:autoSpaceDN/>
        <w:bidi w:val="0"/>
        <w:adjustRightInd/>
        <w:snapToGrid/>
        <w:spacing w:after="0" w:line="576" w:lineRule="exact"/>
        <w:ind w:firstLine="640" w:firstLineChars="200"/>
        <w:jc w:val="both"/>
        <w:textAlignment w:val="auto"/>
        <w:rPr>
          <w:rFonts w:hint="default" w:ascii="Times New Roman" w:hAnsi="Times New Roman" w:eastAsia="仿宋_GB2312" w:cs="Times New Roman"/>
        </w:rPr>
      </w:pPr>
      <w:r>
        <w:rPr>
          <w:rFonts w:hint="default" w:ascii="Times New Roman" w:hAnsi="Times New Roman" w:eastAsia="仿宋_GB2312" w:cs="Times New Roman"/>
          <w:b w:val="0"/>
          <w:sz w:val="32"/>
        </w:rPr>
        <w:t>下来，我局将结合您的建议，紧抓国家</w:t>
      </w:r>
      <w:r>
        <w:rPr>
          <w:rFonts w:hint="eastAsia" w:ascii="Times New Roman" w:hAnsi="Times New Roman" w:eastAsia="仿宋_GB2312" w:cs="Times New Roman"/>
          <w:b w:val="0"/>
          <w:sz w:val="32"/>
          <w:lang w:eastAsia="zh-CN"/>
        </w:rPr>
        <w:t>“</w:t>
      </w:r>
      <w:r>
        <w:rPr>
          <w:rFonts w:hint="default" w:ascii="Times New Roman" w:hAnsi="Times New Roman" w:eastAsia="仿宋_GB2312" w:cs="Times New Roman"/>
          <w:b w:val="0"/>
          <w:sz w:val="32"/>
        </w:rPr>
        <w:t>十五五</w:t>
      </w:r>
      <w:r>
        <w:rPr>
          <w:rFonts w:hint="eastAsia" w:ascii="Times New Roman" w:hAnsi="Times New Roman" w:eastAsia="仿宋_GB2312" w:cs="Times New Roman"/>
          <w:b w:val="0"/>
          <w:sz w:val="32"/>
          <w:lang w:eastAsia="zh-CN"/>
        </w:rPr>
        <w:t>”</w:t>
      </w:r>
      <w:r>
        <w:rPr>
          <w:rFonts w:hint="default" w:ascii="Times New Roman" w:hAnsi="Times New Roman" w:eastAsia="仿宋_GB2312" w:cs="Times New Roman"/>
          <w:b w:val="0"/>
          <w:sz w:val="32"/>
        </w:rPr>
        <w:t>电网投资和海上风电产业发展的双重机遇，加快推进输配电装备产业高质量发展，助力我市新能源产业体系建设。</w:t>
      </w:r>
    </w:p>
    <w:p>
      <w:pPr>
        <w:keepNext w:val="0"/>
        <w:keepLines w:val="0"/>
        <w:pageBreakBefore w:val="0"/>
        <w:widowControl/>
        <w:kinsoku/>
        <w:wordWrap/>
        <w:overflowPunct/>
        <w:topLinePunct w:val="0"/>
        <w:autoSpaceDE/>
        <w:autoSpaceDN/>
        <w:bidi w:val="0"/>
        <w:adjustRightInd/>
        <w:snapToGrid/>
        <w:spacing w:after="0" w:line="576" w:lineRule="exact"/>
        <w:ind w:firstLine="640" w:firstLineChars="200"/>
        <w:jc w:val="both"/>
        <w:textAlignment w:val="auto"/>
      </w:pPr>
      <w:r>
        <w:rPr>
          <w:rFonts w:hint="default" w:ascii="Times New Roman" w:hAnsi="Times New Roman" w:eastAsia="仿宋_GB2312" w:cs="Times New Roman"/>
          <w:b w:val="0"/>
          <w:sz w:val="32"/>
        </w:rPr>
        <w:t>感谢您对我市工业和信息化工作的关心和支持。</w:t>
      </w:r>
    </w:p>
    <w:p>
      <w:pPr>
        <w:spacing w:line="576" w:lineRule="exact"/>
      </w:pPr>
    </w:p>
    <w:p>
      <w:pPr>
        <w:spacing w:line="576" w:lineRule="exact"/>
        <w:rPr>
          <w:rFonts w:hint="default" w:ascii="Times New Roman" w:hAnsi="Times New Roman" w:eastAsia="仿宋_GB2312" w:cs="Times New Roman"/>
          <w:sz w:val="32"/>
          <w:szCs w:val="32"/>
        </w:rPr>
      </w:pPr>
    </w:p>
    <w:p>
      <w:pPr>
        <w:spacing w:before="60" w:after="0" w:line="576" w:lineRule="exact"/>
        <w:jc w:val="center"/>
        <w:rPr>
          <w:rFonts w:hint="default" w:ascii="Times New Roman" w:hAnsi="Times New Roman" w:eastAsia="仿宋_GB2312" w:cs="Times New Roman"/>
          <w:sz w:val="32"/>
          <w:szCs w:val="32"/>
        </w:rPr>
      </w:pPr>
      <w:r>
        <w:rPr>
          <w:rFonts w:hint="eastAsia" w:ascii="Times New Roman" w:hAnsi="Times New Roman" w:eastAsia="仿宋_GB2312" w:cs="Times New Roman"/>
          <w:b w:val="0"/>
          <w:sz w:val="32"/>
          <w:szCs w:val="32"/>
          <w:lang w:val="en-US" w:eastAsia="zh-CN"/>
        </w:rPr>
        <w:t xml:space="preserve">                                                           </w:t>
      </w:r>
      <w:r>
        <w:rPr>
          <w:rFonts w:hint="default" w:ascii="Times New Roman" w:hAnsi="Times New Roman" w:eastAsia="仿宋_GB2312" w:cs="Times New Roman"/>
          <w:b w:val="0"/>
          <w:sz w:val="32"/>
          <w:szCs w:val="32"/>
        </w:rPr>
        <w:t>汕头市工业和信息化局</w:t>
      </w:r>
    </w:p>
    <w:p>
      <w:pPr>
        <w:spacing w:before="0" w:after="0" w:line="576" w:lineRule="exact"/>
        <w:jc w:val="center"/>
        <w:rPr>
          <w:rFonts w:hint="default" w:ascii="Times New Roman" w:hAnsi="Times New Roman" w:eastAsia="仿宋_GB2312" w:cs="Times New Roman"/>
          <w:sz w:val="32"/>
          <w:szCs w:val="32"/>
        </w:rPr>
      </w:pPr>
      <w:r>
        <w:rPr>
          <w:rFonts w:hint="eastAsia" w:ascii="Times New Roman" w:hAnsi="Times New Roman" w:eastAsia="仿宋_GB2312" w:cs="Times New Roman"/>
          <w:b w:val="0"/>
          <w:sz w:val="32"/>
          <w:szCs w:val="32"/>
          <w:lang w:val="en-US" w:eastAsia="zh-CN"/>
        </w:rPr>
        <w:t xml:space="preserve">                                                          </w:t>
      </w:r>
      <w:r>
        <w:rPr>
          <w:rFonts w:hint="default" w:ascii="Times New Roman" w:hAnsi="Times New Roman" w:eastAsia="仿宋_GB2312" w:cs="Times New Roman"/>
          <w:b w:val="0"/>
          <w:sz w:val="32"/>
          <w:szCs w:val="32"/>
        </w:rPr>
        <w:t>2026年</w:t>
      </w:r>
      <w:r>
        <w:rPr>
          <w:rFonts w:hint="eastAsia" w:ascii="Times New Roman" w:hAnsi="Times New Roman" w:eastAsia="仿宋_GB2312" w:cs="Times New Roman"/>
          <w:b w:val="0"/>
          <w:sz w:val="32"/>
          <w:szCs w:val="32"/>
          <w:lang w:val="en-US" w:eastAsia="zh-CN"/>
        </w:rPr>
        <w:t>7</w:t>
      </w:r>
      <w:r>
        <w:rPr>
          <w:rFonts w:hint="default" w:ascii="Times New Roman" w:hAnsi="Times New Roman" w:eastAsia="仿宋_GB2312" w:cs="Times New Roman"/>
          <w:b w:val="0"/>
          <w:sz w:val="32"/>
          <w:szCs w:val="32"/>
        </w:rPr>
        <w:t>月</w:t>
      </w:r>
      <w:r>
        <w:rPr>
          <w:rFonts w:hint="eastAsia" w:ascii="Times New Roman" w:hAnsi="Times New Roman" w:eastAsia="仿宋_GB2312" w:cs="Times New Roman"/>
          <w:b w:val="0"/>
          <w:sz w:val="32"/>
          <w:szCs w:val="32"/>
          <w:lang w:val="en-US" w:eastAsia="zh-CN"/>
        </w:rPr>
        <w:t>1</w:t>
      </w:r>
      <w:r>
        <w:rPr>
          <w:rFonts w:hint="default" w:ascii="Times New Roman" w:hAnsi="Times New Roman" w:eastAsia="仿宋_GB2312" w:cs="Times New Roman"/>
          <w:b w:val="0"/>
          <w:sz w:val="32"/>
          <w:szCs w:val="32"/>
        </w:rPr>
        <w:t>日</w:t>
      </w:r>
    </w:p>
    <w:p>
      <w:pPr>
        <w:spacing w:before="0" w:after="0" w:line="480" w:lineRule="exact"/>
        <w:jc w:val="left"/>
        <w:rPr>
          <w:rFonts w:hint="default" w:ascii="Times New Roman" w:hAnsi="Times New Roman" w:eastAsia="仿宋_GB2312" w:cs="Times New Roman"/>
          <w:b w:val="0"/>
          <w:sz w:val="32"/>
          <w:szCs w:val="32"/>
        </w:rPr>
      </w:pPr>
    </w:p>
    <w:p>
      <w:pPr>
        <w:spacing w:before="0" w:after="0" w:line="480" w:lineRule="exact"/>
        <w:jc w:val="left"/>
        <w:rPr>
          <w:rFonts w:hint="default" w:ascii="Times New Roman" w:hAnsi="Times New Roman" w:eastAsia="仿宋_GB2312" w:cs="Times New Roman"/>
          <w:b w:val="0"/>
          <w:sz w:val="32"/>
          <w:szCs w:val="32"/>
        </w:rPr>
      </w:pPr>
    </w:p>
    <w:p>
      <w:pPr>
        <w:spacing w:before="0" w:after="0" w:line="480" w:lineRule="exact"/>
        <w:jc w:val="left"/>
        <w:rPr>
          <w:rFonts w:hint="default" w:ascii="Times New Roman" w:hAnsi="Times New Roman" w:eastAsia="仿宋_GB2312" w:cs="Times New Roman"/>
          <w:b w:val="0"/>
          <w:sz w:val="32"/>
          <w:szCs w:val="32"/>
        </w:rPr>
      </w:pPr>
    </w:p>
    <w:p>
      <w:pPr>
        <w:spacing w:before="0" w:after="0" w:line="480" w:lineRule="exact"/>
        <w:jc w:val="left"/>
        <w:rPr>
          <w:rFonts w:hint="default" w:ascii="Times New Roman" w:hAnsi="Times New Roman" w:eastAsia="仿宋_GB2312" w:cs="Times New Roman"/>
          <w:b w:val="0"/>
          <w:sz w:val="32"/>
          <w:szCs w:val="32"/>
        </w:rPr>
      </w:pPr>
    </w:p>
    <w:p>
      <w:pPr>
        <w:spacing w:before="0" w:after="0" w:line="480" w:lineRule="exact"/>
        <w:jc w:val="left"/>
        <w:rPr>
          <w:rFonts w:hint="default" w:ascii="Times New Roman" w:hAnsi="Times New Roman" w:eastAsia="仿宋_GB2312" w:cs="Times New Roman"/>
          <w:b w:val="0"/>
          <w:sz w:val="32"/>
          <w:szCs w:val="32"/>
        </w:rPr>
      </w:pPr>
    </w:p>
    <w:p>
      <w:pPr>
        <w:spacing w:before="0" w:after="0" w:line="480" w:lineRule="exact"/>
        <w:jc w:val="left"/>
        <w:rPr>
          <w:rFonts w:hint="default" w:ascii="Times New Roman" w:hAnsi="Times New Roman" w:eastAsia="仿宋_GB2312" w:cs="Times New Roman"/>
          <w:b w:val="0"/>
          <w:sz w:val="32"/>
          <w:szCs w:val="32"/>
        </w:rPr>
      </w:pPr>
    </w:p>
    <w:p>
      <w:pPr>
        <w:spacing w:before="0" w:after="0" w:line="480" w:lineRule="exact"/>
        <w:jc w:val="left"/>
        <w:rPr>
          <w:rFonts w:hint="default" w:ascii="Times New Roman" w:hAnsi="Times New Roman" w:eastAsia="仿宋_GB2312" w:cs="Times New Roman"/>
          <w:b w:val="0"/>
          <w:sz w:val="32"/>
          <w:szCs w:val="32"/>
        </w:rPr>
      </w:pPr>
    </w:p>
    <w:p>
      <w:pPr>
        <w:spacing w:before="0" w:after="0" w:line="480" w:lineRule="exact"/>
        <w:jc w:val="left"/>
        <w:rPr>
          <w:rFonts w:hint="default" w:ascii="Times New Roman" w:hAnsi="Times New Roman" w:eastAsia="仿宋_GB2312" w:cs="Times New Roman"/>
          <w:b w:val="0"/>
          <w:sz w:val="32"/>
          <w:szCs w:val="32"/>
        </w:rPr>
      </w:pPr>
    </w:p>
    <w:p>
      <w:pPr>
        <w:spacing w:before="0" w:after="0" w:line="480" w:lineRule="exact"/>
        <w:jc w:val="left"/>
        <w:rPr>
          <w:rFonts w:hint="default" w:ascii="Times New Roman" w:hAnsi="Times New Roman" w:eastAsia="仿宋_GB2312" w:cs="Times New Roman"/>
          <w:b w:val="0"/>
          <w:sz w:val="32"/>
          <w:szCs w:val="32"/>
        </w:rPr>
      </w:pPr>
    </w:p>
    <w:p>
      <w:pPr>
        <w:spacing w:before="0" w:after="0" w:line="480" w:lineRule="exact"/>
        <w:jc w:val="left"/>
        <w:rPr>
          <w:rFonts w:hint="default" w:ascii="Times New Roman" w:hAnsi="Times New Roman" w:eastAsia="仿宋_GB2312" w:cs="Times New Roman"/>
          <w:b w:val="0"/>
          <w:sz w:val="32"/>
          <w:szCs w:val="32"/>
        </w:rPr>
      </w:pPr>
    </w:p>
    <w:p>
      <w:pPr>
        <w:keepNext w:val="0"/>
        <w:keepLines w:val="0"/>
        <w:pageBreakBefore w:val="0"/>
        <w:widowControl/>
        <w:kinsoku/>
        <w:wordWrap/>
        <w:overflowPunct/>
        <w:topLinePunct w:val="0"/>
        <w:autoSpaceDE/>
        <w:autoSpaceDN/>
        <w:bidi w:val="0"/>
        <w:adjustRightInd/>
        <w:snapToGrid/>
        <w:spacing w:before="0" w:after="0" w:line="600" w:lineRule="exact"/>
        <w:jc w:val="left"/>
        <w:textAlignment w:val="auto"/>
        <w:rPr>
          <w:rFonts w:hint="eastAsia" w:ascii="Times New Roman" w:hAnsi="Times New Roman" w:eastAsia="仿宋_GB2312" w:cs="Times New Roman"/>
          <w:b w:val="0"/>
          <w:sz w:val="32"/>
          <w:szCs w:val="32"/>
          <w:lang w:val="en-US" w:eastAsia="zh-CN"/>
        </w:rPr>
      </w:pPr>
      <w:r>
        <w:rPr>
          <w:rFonts w:hint="default" w:ascii="Times New Roman" w:hAnsi="Times New Roman" w:eastAsia="仿宋_GB2312" w:cs="Times New Roman"/>
          <w:b w:val="0"/>
          <w:sz w:val="32"/>
          <w:szCs w:val="32"/>
        </w:rPr>
        <w:t>联系人：制造业创新科</w:t>
      </w:r>
      <w:r>
        <w:rPr>
          <w:rFonts w:hint="eastAsia" w:ascii="Times New Roman" w:hAnsi="Times New Roman" w:eastAsia="仿宋_GB2312" w:cs="Times New Roman"/>
          <w:b w:val="0"/>
          <w:sz w:val="32"/>
          <w:szCs w:val="32"/>
          <w:lang w:val="en-US" w:eastAsia="zh-CN"/>
        </w:rPr>
        <w:t xml:space="preserve">      </w:t>
      </w:r>
      <w:r>
        <w:rPr>
          <w:rFonts w:hint="default" w:ascii="Times New Roman" w:hAnsi="Times New Roman" w:eastAsia="仿宋_GB2312" w:cs="Times New Roman"/>
          <w:b w:val="0"/>
          <w:sz w:val="32"/>
          <w:szCs w:val="32"/>
        </w:rPr>
        <w:t>电话：8899201</w:t>
      </w:r>
      <w:r>
        <w:rPr>
          <w:rFonts w:hint="eastAsia" w:ascii="Times New Roman" w:hAnsi="Times New Roman" w:eastAsia="仿宋_GB2312" w:cs="Times New Roman"/>
          <w:b w:val="0"/>
          <w:sz w:val="32"/>
          <w:szCs w:val="32"/>
          <w:lang w:val="en-US" w:eastAsia="zh-CN"/>
        </w:rPr>
        <w:t>1</w:t>
      </w:r>
    </w:p>
    <w:p>
      <w:pPr>
        <w:keepNext w:val="0"/>
        <w:keepLines w:val="0"/>
        <w:pageBreakBefore w:val="0"/>
        <w:widowControl/>
        <w:kinsoku/>
        <w:wordWrap/>
        <w:overflowPunct/>
        <w:topLinePunct w:val="0"/>
        <w:autoSpaceDE/>
        <w:autoSpaceDN/>
        <w:bidi w:val="0"/>
        <w:adjustRightInd/>
        <w:snapToGrid/>
        <w:spacing w:before="0" w:after="0" w:line="600" w:lineRule="exact"/>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val="0"/>
          <w:sz w:val="32"/>
          <w:szCs w:val="32"/>
        </w:rPr>
        <w:t>抄送：市政府办公室</w:t>
      </w:r>
      <w:r>
        <w:rPr>
          <w:rFonts w:hint="eastAsia" w:ascii="Times New Roman" w:hAnsi="Times New Roman" w:eastAsia="仿宋_GB2312" w:cs="Times New Roman"/>
          <w:b w:val="0"/>
          <w:sz w:val="32"/>
          <w:szCs w:val="32"/>
          <w:lang w:eastAsia="zh-CN"/>
        </w:rPr>
        <w:t>、</w:t>
      </w:r>
      <w:r>
        <w:rPr>
          <w:rFonts w:hint="default" w:ascii="Times New Roman" w:hAnsi="Times New Roman" w:eastAsia="仿宋_GB2312" w:cs="Times New Roman"/>
          <w:b w:val="0"/>
          <w:sz w:val="32"/>
          <w:szCs w:val="32"/>
        </w:rPr>
        <w:t>市政协</w:t>
      </w:r>
      <w:r>
        <w:rPr>
          <w:rFonts w:hint="eastAsia" w:ascii="Times New Roman" w:hAnsi="Times New Roman" w:eastAsia="仿宋_GB2312" w:cs="Times New Roman"/>
          <w:b w:val="0"/>
          <w:sz w:val="32"/>
          <w:szCs w:val="32"/>
          <w:lang w:eastAsia="zh-CN"/>
        </w:rPr>
        <w:t>办公室</w:t>
      </w:r>
      <w:r>
        <w:rPr>
          <w:rFonts w:hint="default" w:ascii="Times New Roman" w:hAnsi="Times New Roman" w:eastAsia="仿宋_GB2312" w:cs="Times New Roman"/>
          <w:b w:val="0"/>
          <w:sz w:val="32"/>
          <w:szCs w:val="32"/>
        </w:rPr>
        <w:t>。</w:t>
      </w:r>
    </w:p>
    <w:sectPr>
      <w:footerReference r:id="rId5" w:type="default"/>
      <w:pgSz w:w="12240" w:h="15840"/>
      <w:pgMar w:top="2098" w:right="1474" w:bottom="1984" w:left="1587" w:header="720" w:footer="720" w:gutter="0"/>
      <w:pgNumType w:fmt="decimal"/>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A0F3C52" w:usb2="00000016" w:usb3="00000000" w:csb0="0004001F" w:csb1="00000000"/>
  </w:font>
  <w:font w:name="方正书宋_GBK">
    <w:panose1 w:val="02000000000000000000"/>
    <w:charset w:val="86"/>
    <w:family w:val="auto"/>
    <w:pitch w:val="default"/>
    <w:sig w:usb0="00000001" w:usb1="08000000" w:usb2="00000000" w:usb3="00000000" w:csb0="00040000" w:csb1="00000000"/>
  </w:font>
  <w:font w:name="Cambria">
    <w:altName w:val="FreeSerif"/>
    <w:panose1 w:val="02040503050406030204"/>
    <w:charset w:val="00"/>
    <w:family w:val="auto"/>
    <w:pitch w:val="default"/>
    <w:sig w:usb0="00000000" w:usb1="00000000" w:usb2="00000000" w:usb3="00000000" w:csb0="0000019F" w:csb1="00000000"/>
  </w:font>
  <w:font w:name="FreeSerif">
    <w:panose1 w:val="02020603050405020304"/>
    <w:charset w:val="00"/>
    <w:family w:val="auto"/>
    <w:pitch w:val="default"/>
    <w:sig w:usb0="E59FAFFF" w:usb1="C200FDFF" w:usb2="43501B29" w:usb3="04000043" w:csb0="600101FF" w:csb1="FFFF0000"/>
  </w:font>
  <w:font w:name="ＭＳ 明朝">
    <w:altName w:val="阿里巴巴普惠体 R"/>
    <w:panose1 w:val="00000000000000000000"/>
    <w:charset w:val="80"/>
    <w:family w:val="roman"/>
    <w:pitch w:val="default"/>
    <w:sig w:usb0="00000000" w:usb1="00000000" w:usb2="00000010" w:usb3="00000000" w:csb0="00020000" w:csb1="00000000"/>
  </w:font>
  <w:font w:name="阿里巴巴普惠体 R">
    <w:panose1 w:val="00020600040101010101"/>
    <w:charset w:val="86"/>
    <w:family w:val="auto"/>
    <w:pitch w:val="default"/>
    <w:sig w:usb0="A00002FF" w:usb1="7ACF7CFB" w:usb2="0000001E" w:usb3="00000000" w:csb0="0004009F" w:csb1="00000000"/>
  </w:font>
  <w:font w:name="ＭＳ 明朝">
    <w:altName w:val="阿里巴巴普惠体 R"/>
    <w:panose1 w:val="00000000000000000000"/>
    <w:charset w:val="86"/>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ＭＳ ゴシック">
    <w:altName w:val="阿里巴巴普惠体 R"/>
    <w:panose1 w:val="00000000000000000000"/>
    <w:charset w:val="80"/>
    <w:family w:val="modern"/>
    <w:pitch w:val="default"/>
    <w:sig w:usb0="00000000" w:usb1="00000000" w:usb2="00000010" w:usb3="00000000" w:csb0="00020000" w:csb1="00000000"/>
  </w:font>
  <w:font w:name="ＭＳ 明朝">
    <w:altName w:val="阿里巴巴普惠体 R"/>
    <w:panose1 w:val="00000000000000000000"/>
    <w:charset w:val="00"/>
    <w:family w:val="auto"/>
    <w:pitch w:val="default"/>
    <w:sig w:usb0="00000000" w:usb1="00000000" w:usb2="00000000" w:usb3="00000000" w:csb0="00000000" w:csb1="00000000"/>
  </w:font>
  <w:font w:name="Courier">
    <w:altName w:val="Noto Sans Lao"/>
    <w:panose1 w:val="02000500000000000000"/>
    <w:charset w:val="00"/>
    <w:family w:val="auto"/>
    <w:pitch w:val="default"/>
    <w:sig w:usb0="00000000" w:usb1="00000000" w:usb2="00000000" w:usb3="00000000" w:csb0="00000001" w:csb1="00000000"/>
  </w:font>
  <w:font w:name="Noto Sans Lao">
    <w:panose1 w:val="02000500000000000000"/>
    <w:charset w:val="00"/>
    <w:family w:val="auto"/>
    <w:pitch w:val="default"/>
    <w:sig w:usb0="02000000" w:usb1="00000000" w:usb2="00000000" w:usb3="00000000" w:csb0="20000111" w:csb1="41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仿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Pr>
    <w:r>
      <w:rPr>
        <w:sz w:val="32"/>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">
              <v:fill on="f" focussize="0,0"/>
              <v:stroke on="f" weight="0.5pt"/>
              <v:imagedata o:title=""/>
              <o:lock v:ext="edit" aspectratio="f"/>
              <v:textbox inset="0mm,0mm,0mm,0mm" style="mso-fit-shape-to-text:t;">
                <w:txbxContent>
                  <w:p>
                    <w:pPr>
                      <w:pStyle w:val="2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1D9FD7F7"/>
    <w:rsid w:val="2FFF2EAA"/>
    <w:rsid w:val="3EEFC3DA"/>
    <w:rsid w:val="5F5FC2C2"/>
    <w:rsid w:val="65B5D596"/>
    <w:rsid w:val="6FFAC08B"/>
    <w:rsid w:val="7667F498"/>
    <w:rsid w:val="7B3FB6F4"/>
    <w:rsid w:val="7CFE6AA8"/>
    <w:rsid w:val="B3DE0C72"/>
    <w:rsid w:val="BF3FEF3A"/>
    <w:rsid w:val="BFEF9FBC"/>
    <w:rsid w:val="E5F72CAA"/>
    <w:rsid w:val="E7F802ED"/>
    <w:rsid w:val="EF7DDA40"/>
    <w:rsid w:val="F3CF576F"/>
    <w:rsid w:val="FBABCA2E"/>
    <w:rsid w:val="FEE415BA"/>
    <w:rsid w:val="FEEF8B0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00" w:line="576" w:lineRule="exact"/>
    </w:pPr>
    <w:rPr>
      <w:rFonts w:ascii="仿宋" w:hAnsi="仿宋" w:eastAsia="仿宋" w:cstheme="minorBidi"/>
      <w:sz w:val="32"/>
      <w:szCs w:val="22"/>
      <w:lang w:val="en-US" w:eastAsia="en-US" w:bidi="ar-SA"/>
    </w:rPr>
  </w:style>
  <w:style w:type="paragraph" w:styleId="3">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2">
    <w:name w:val="macro"/>
    <w:link w:val="147"/>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Body Text 3"/>
    <w:basedOn w:val="1"/>
    <w:link w:val="146"/>
    <w:unhideWhenUsed/>
    <w:qFormat/>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44"/>
    <w:unhideWhenUsed/>
    <w:qFormat/>
    <w:uiPriority w:val="99"/>
    <w:pPr>
      <w:spacing w:after="120"/>
    </w:pPr>
  </w:style>
  <w:style w:type="paragraph" w:styleId="20">
    <w:name w:val="List Number 3"/>
    <w:basedOn w:val="1"/>
    <w:unhideWhenUsed/>
    <w:qFormat/>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qFormat/>
    <w:uiPriority w:val="99"/>
    <w:pPr>
      <w:numPr>
        <w:ilvl w:val="0"/>
        <w:numId w:val="6"/>
      </w:numPr>
      <w:contextualSpacing/>
    </w:pPr>
  </w:style>
  <w:style w:type="paragraph" w:styleId="24">
    <w:name w:val="footer"/>
    <w:basedOn w:val="1"/>
    <w:link w:val="136"/>
    <w:unhideWhenUsed/>
    <w:qFormat/>
    <w:uiPriority w:val="99"/>
    <w:pPr>
      <w:tabs>
        <w:tab w:val="center" w:pos="4680"/>
        <w:tab w:val="right" w:pos="9360"/>
      </w:tabs>
      <w:spacing w:after="0" w:line="240" w:lineRule="auto"/>
    </w:pPr>
  </w:style>
  <w:style w:type="paragraph" w:styleId="25">
    <w:name w:val="header"/>
    <w:basedOn w:val="1"/>
    <w:link w:val="135"/>
    <w:unhideWhenUsed/>
    <w:qFormat/>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qFormat/>
    <w:uiPriority w:val="99"/>
    <w:pPr>
      <w:ind w:left="360" w:hanging="360"/>
      <w:contextualSpacing/>
    </w:pPr>
  </w:style>
  <w:style w:type="paragraph" w:styleId="28">
    <w:name w:val="Body Text 2"/>
    <w:basedOn w:val="1"/>
    <w:link w:val="145"/>
    <w:unhideWhenUsed/>
    <w:qFormat/>
    <w:uiPriority w:val="99"/>
    <w:pPr>
      <w:spacing w:after="120" w:line="480" w:lineRule="auto"/>
    </w:pPr>
  </w:style>
  <w:style w:type="paragraph" w:styleId="29">
    <w:name w:val="List Continue 2"/>
    <w:basedOn w:val="1"/>
    <w:unhideWhenUsed/>
    <w:qFormat/>
    <w:uiPriority w:val="99"/>
    <w:pPr>
      <w:spacing w:after="120"/>
      <w:ind w:left="720"/>
      <w:contextualSpacing/>
    </w:pPr>
  </w:style>
  <w:style w:type="paragraph" w:styleId="30">
    <w:name w:val="List Continue 3"/>
    <w:basedOn w:val="1"/>
    <w:unhideWhenUsed/>
    <w:qFormat/>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Header Char"/>
    <w:basedOn w:val="132"/>
    <w:link w:val="25"/>
    <w:qFormat/>
    <w:uiPriority w:val="99"/>
  </w:style>
  <w:style w:type="character" w:customStyle="1" w:styleId="136">
    <w:name w:val="Footer Char"/>
    <w:basedOn w:val="132"/>
    <w:link w:val="24"/>
    <w:qFormat/>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2"/>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32"/>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32"/>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32"/>
    <w:link w:val="31"/>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32"/>
    <w:link w:val="26"/>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32"/>
    <w:link w:val="19"/>
    <w:qFormat/>
    <w:uiPriority w:val="99"/>
  </w:style>
  <w:style w:type="character" w:customStyle="1" w:styleId="145">
    <w:name w:val="Body Text 2 Char"/>
    <w:basedOn w:val="132"/>
    <w:link w:val="28"/>
    <w:qFormat/>
    <w:uiPriority w:val="99"/>
  </w:style>
  <w:style w:type="character" w:customStyle="1" w:styleId="146">
    <w:name w:val="Body Text 3 Char"/>
    <w:basedOn w:val="132"/>
    <w:link w:val="17"/>
    <w:qFormat/>
    <w:uiPriority w:val="99"/>
    <w:rPr>
      <w:sz w:val="16"/>
      <w:szCs w:val="16"/>
    </w:rPr>
  </w:style>
  <w:style w:type="character" w:customStyle="1" w:styleId="147">
    <w:name w:val="Macro Text Char"/>
    <w:basedOn w:val="132"/>
    <w:link w:val="2"/>
    <w:qFormat/>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32"/>
    <w:link w:val="148"/>
    <w:qFormat/>
    <w:uiPriority w:val="29"/>
    <w:rPr>
      <w:i/>
      <w:iCs/>
      <w:color w:val="000000" w:themeColor="text1"/>
      <w14:textFill>
        <w14:solidFill>
          <w14:schemeClr w14:val="tx1"/>
        </w14:solidFill>
      </w14:textFill>
    </w:rPr>
  </w:style>
  <w:style w:type="character" w:customStyle="1" w:styleId="150">
    <w:name w:val="Heading 4 Char"/>
    <w:basedOn w:val="132"/>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32"/>
    <w:link w:val="7"/>
    <w:semiHidden/>
    <w:qFormat/>
    <w:uiPriority w:val="9"/>
    <w:rPr>
      <w:rFonts w:asciiTheme="majorHAnsi" w:hAnsiTheme="majorHAnsi" w:eastAsiaTheme="majorEastAsia" w:cstheme="majorBidi"/>
      <w:color w:val="254061" w:themeColor="accent1" w:themeShade="80"/>
    </w:rPr>
  </w:style>
  <w:style w:type="character" w:customStyle="1" w:styleId="152">
    <w:name w:val="Heading 6 Char"/>
    <w:basedOn w:val="132"/>
    <w:link w:val="8"/>
    <w:semiHidden/>
    <w:qFormat/>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32"/>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32"/>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32"/>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32"/>
    <w:link w:val="156"/>
    <w:qFormat/>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Office_11.8.2.12313_F1E327BC-269C-435d-A152-05C5408002CA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2013-12-24T23:15:00Z</dcterms:created>
  <dc:creator>python-docx</dc:creator>
  <dc:description>generated by python-docx</dc:description>
  <cp:lastModifiedBy>李秋鹏</cp:lastModifiedBy>
  <dcterms:modified xsi:type="dcterms:W3CDTF">2026-07-01T09:53:30Z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2052-11.8.2.12313</vt:lpwstr>
  </property>
  <property fmtid="{D5CDD505-2E9C-101B-9397-08002B2CF9AE}" pid="3" name="ICV">
    <vt:lpwstr>26FF3D500A80F7D50981436AA59D89B5</vt:lpwstr>
  </property>
</Properties>
</file>