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576" w:lineRule="exact"/>
        <w:jc w:val="center"/>
        <w:rPr>
          <w:rFonts w:hint="default" w:ascii="Times New Roman" w:hAnsi="Times New Roman" w:eastAsia="仿宋_GB2312" w:cs="Times New Roman"/>
          <w:b w:val="0"/>
          <w:sz w:val="32"/>
        </w:rPr>
      </w:pPr>
    </w:p>
    <w:p>
      <w:pPr>
        <w:spacing w:before="0" w:after="0" w:line="576" w:lineRule="exact"/>
        <w:jc w:val="both"/>
        <w:rPr>
          <w:rFonts w:hint="default" w:ascii="Times New Roman" w:hAnsi="Times New Roman" w:eastAsia="仿宋_GB2312" w:cs="Times New Roman"/>
          <w:b w:val="0"/>
          <w:sz w:val="32"/>
        </w:rPr>
      </w:pPr>
    </w:p>
    <w:p>
      <w:pPr>
        <w:spacing w:before="0" w:after="0" w:line="576" w:lineRule="exact"/>
        <w:jc w:val="left"/>
        <w:rPr>
          <w:rFonts w:hint="default" w:ascii="Times New Roman" w:hAnsi="Times New Roman" w:eastAsia="仿宋_GB2312" w:cs="Times New Roman"/>
          <w:b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A类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 xml:space="preserve">                                                               </w:t>
      </w:r>
      <w:r>
        <w:rPr>
          <w:rFonts w:hint="default" w:ascii="Times New Roman" w:hAnsi="Times New Roman" w:eastAsia="仿宋_GB2312" w:cs="Times New Roman"/>
          <w:b w:val="0"/>
          <w:sz w:val="32"/>
        </w:rPr>
        <w:t>汕工信函〔2026〕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162</w:t>
      </w:r>
      <w:r>
        <w:rPr>
          <w:rFonts w:hint="default" w:ascii="Times New Roman" w:hAnsi="Times New Roman" w:eastAsia="仿宋_GB2312" w:cs="Times New Roman"/>
          <w:b w:val="0"/>
          <w:sz w:val="32"/>
        </w:rPr>
        <w:t>号</w:t>
      </w:r>
    </w:p>
    <w:p>
      <w:pPr>
        <w:spacing w:before="0" w:after="0" w:line="576" w:lineRule="exact"/>
        <w:jc w:val="left"/>
        <w:rPr>
          <w:rFonts w:hint="default" w:ascii="Times New Roman" w:hAnsi="Times New Roman" w:eastAsia="仿宋_GB2312" w:cs="Times New Roman"/>
          <w:b w:val="0"/>
          <w:sz w:val="32"/>
        </w:rPr>
      </w:pPr>
    </w:p>
    <w:p>
      <w:pPr>
        <w:spacing w:before="200" w:after="120" w:line="576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关于市政协十四届五次会议第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20260135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号</w:t>
      </w:r>
    </w:p>
    <w:p>
      <w:pPr>
        <w:spacing w:before="200" w:after="120" w:line="576" w:lineRule="exact"/>
        <w:jc w:val="center"/>
        <w:rPr>
          <w:rFonts w:ascii="仿宋" w:hAnsi="仿宋" w:eastAsia="仿宋"/>
          <w:b w:val="0"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提案的答复</w:t>
      </w:r>
    </w:p>
    <w:p>
      <w:pPr>
        <w:spacing w:before="60" w:after="60" w:line="576" w:lineRule="exact"/>
        <w:jc w:val="left"/>
        <w:rPr>
          <w:rFonts w:ascii="仿宋" w:hAnsi="仿宋" w:eastAsia="仿宋"/>
          <w:b w:val="0"/>
          <w:sz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76" w:lineRule="exact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黄灿彪委员：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您提出的《关于加快路权开放与场景创新 打造智能网联汽车产业高地的提案》收悉，现答复如下：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sz w:val="32"/>
        </w:rPr>
        <w:t>首先，衷心感谢您对我市智能网联汽车产业发展的关注和支持。提案提出的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sz w:val="32"/>
        </w:rPr>
        <w:t>全市域路权有序开放、多元化场景示范应用、全链条产业集群构建</w:t>
      </w: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sz w:val="32"/>
        </w:rPr>
        <w:t>三步走战略，对我市抢抓智能网联汽车产业发展机遇具有重要借鉴意义。</w:t>
      </w:r>
    </w:p>
    <w:p>
      <w:pPr>
        <w:spacing w:before="120" w:after="60" w:line="576" w:lineRule="exact"/>
        <w:ind w:firstLine="640" w:firstLineChars="200"/>
        <w:jc w:val="both"/>
        <w:rPr>
          <w:rFonts w:hint="eastAsia" w:ascii="黑体" w:hAnsi="黑体" w:eastAsia="黑体" w:cs="黑体"/>
          <w:b w:val="0"/>
          <w:bCs/>
        </w:rPr>
      </w:pPr>
      <w:r>
        <w:rPr>
          <w:rFonts w:hint="eastAsia" w:ascii="黑体" w:hAnsi="黑体" w:eastAsia="黑体" w:cs="黑体"/>
          <w:b w:val="0"/>
          <w:bCs/>
          <w:sz w:val="32"/>
        </w:rPr>
        <w:t>一、关于"全市域路权有序开放"的建议</w:t>
      </w:r>
    </w:p>
    <w:p>
      <w:pPr>
        <w:spacing w:before="40" w:after="40"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为加快推进智能网联汽车产业发展，我市于2025年5月15日正式印发《汕头市智能网联汽车道路测试与示范应用管理实施细则（试行）》（汕工信〔2025〕61号），有效期至2027年5月22日。该细则由市工业和信息化局、市公安局、市交通运输局、市城市管理和综合执法局四部门联合印发，在全省率先出台市域级管理规范。</w:t>
      </w:r>
    </w:p>
    <w:p>
      <w:pPr>
        <w:spacing w:before="40" w:after="40"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细则建立了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</w:rPr>
        <w:t>市联席会议—试点区—第三方机构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</w:rPr>
        <w:t>三级管理架构，明确了道路测试和示范应用的申请条件、审核流程、安全管理及事故责任划分等关键要素。针对无人专用作业车（如配送车、清扫车等）设置了专门管理条款，要求每车购买不低于500万元的事故责任保险。目前，九识自动驾驶城配设备首批20辆无人配送车已获颁汕头市功能型无人车牌照并上路试运营。下来，我们将在现有实施细则基础上，研究推出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</w:rPr>
        <w:t>分级分类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</w:rPr>
        <w:t>2.0版开放策略，建设全市统一的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</w:rPr>
        <w:t>智能网联汽车云控基础平台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</w:rPr>
        <w:t>，逐步扩大开放范围和运营规模。</w:t>
      </w:r>
    </w:p>
    <w:p>
      <w:pPr>
        <w:spacing w:before="120" w:after="60" w:line="576" w:lineRule="exact"/>
        <w:ind w:firstLine="640" w:firstLineChars="200"/>
        <w:jc w:val="both"/>
        <w:rPr>
          <w:rFonts w:hint="eastAsia" w:ascii="黑体" w:hAnsi="黑体" w:eastAsia="黑体" w:cs="黑体"/>
          <w:b w:val="0"/>
          <w:bCs/>
        </w:rPr>
      </w:pPr>
      <w:r>
        <w:rPr>
          <w:rFonts w:hint="eastAsia" w:ascii="黑体" w:hAnsi="黑体" w:eastAsia="黑体" w:cs="黑体"/>
          <w:b w:val="0"/>
          <w:bCs/>
          <w:sz w:val="32"/>
        </w:rPr>
        <w:t>二、关于"拓展多元场景示范"的建议</w:t>
      </w:r>
    </w:p>
    <w:p>
      <w:pPr>
        <w:spacing w:before="40" w:after="40"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目前我市已布局九识智能无人配送车项目，为粤东地区首个智能网联汽车商业化运营项目。下来，我们将进一步支持九识等龙头企业扩大运营规模，探索从园区配送向城市末端配送、冷链运输等多元化场景延伸，形成可复制的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</w:rPr>
        <w:t>汕头模式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</w:rPr>
        <w:t>。同时，逐步开放高关注度公共出行场景，在华侨试验区、大学城等区域试点自动驾驶公交微循环接驳，探索Robotaxi体验专线。在广澳港区探索港口集装箱自动驾驶水平运输，支持无人零售车、无人环卫车、无人安防巡逻车等创新形态在公园、园区、社区落地。</w:t>
      </w:r>
    </w:p>
    <w:p>
      <w:pPr>
        <w:spacing w:before="120" w:after="60" w:line="576" w:lineRule="exact"/>
        <w:ind w:firstLine="640" w:firstLineChars="200"/>
        <w:jc w:val="both"/>
        <w:rPr>
          <w:rFonts w:hint="eastAsia" w:ascii="黑体" w:hAnsi="黑体" w:eastAsia="黑体" w:cs="黑体"/>
          <w:b w:val="0"/>
          <w:bCs/>
        </w:rPr>
      </w:pPr>
      <w:r>
        <w:rPr>
          <w:rFonts w:hint="eastAsia" w:ascii="黑体" w:hAnsi="黑体" w:eastAsia="黑体" w:cs="黑体"/>
          <w:b w:val="0"/>
          <w:bCs/>
          <w:sz w:val="32"/>
        </w:rPr>
        <w:t>三、关于"推动产业集群发展"的建议</w:t>
      </w:r>
    </w:p>
    <w:p>
      <w:pPr>
        <w:spacing w:before="40" w:after="40"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我们正围绕九识等已落户的链主企业，精准招引电池、电驱、传感器、计算平台等上下游配套企业。研究设立智能网联汽车产业专项基金，鼓励本地电子信息、精密制造企业转型切入供应链。在产业载体方面，规划在华侨试验区或六合产业园建设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</w:rPr>
        <w:t>智能网联汽车产业园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</w:rPr>
        <w:t>，集中提供标准厂房、测试场地、数据中心等一站式服务。在人才体系方面，支持汕头大学、广东以色列理工学院设立智能网联汽车相关课程，制定专项人才政策引进高层次算法人才和系统架构师。</w:t>
      </w:r>
    </w:p>
    <w:p>
      <w:pPr>
        <w:spacing w:before="40" w:after="40"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下来，我局将联合市公安局、市交通运输局、市城管局等部门，依托已出台的实施细则，加快推进路权开放和场景创新，全力打造粤东智能网联汽车创新应用示范区和产业集群高地。</w:t>
      </w:r>
    </w:p>
    <w:p>
      <w:pPr>
        <w:spacing w:before="120" w:after="60"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感谢您对我市工业和信息化工作的关心和支持。</w:t>
      </w:r>
    </w:p>
    <w:p>
      <w:pPr>
        <w:spacing w:line="576" w:lineRule="exact"/>
      </w:pPr>
    </w:p>
    <w:p>
      <w:pPr>
        <w:spacing w:line="576" w:lineRule="exact"/>
      </w:pPr>
    </w:p>
    <w:p>
      <w:pPr>
        <w:spacing w:before="60" w:after="0" w:line="576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 xml:space="preserve">                                                        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汕头市工业和信息化局</w:t>
      </w:r>
    </w:p>
    <w:p>
      <w:pPr>
        <w:spacing w:before="0" w:after="0" w:line="576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 xml:space="preserve">                                                        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2026年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日</w:t>
      </w: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left"/>
        <w:textAlignment w:val="auto"/>
        <w:rPr>
          <w:rFonts w:ascii="仿宋" w:hAnsi="仿宋" w:eastAsia="仿宋"/>
          <w:b w:val="0"/>
          <w:sz w:val="28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联系人：制造业创新科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电话：8899201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抄送：市政府办公室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市政协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eastAsia="zh-CN"/>
        </w:rPr>
        <w:t>办公室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。</w:t>
      </w:r>
    </w:p>
    <w:sectPr>
      <w:footerReference r:id="rId5" w:type="default"/>
      <w:pgSz w:w="12240" w:h="15840"/>
      <w:pgMar w:top="2098" w:right="1474" w:bottom="1984" w:left="1587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ＭＳ 明朝">
    <w:altName w:val="阿里巴巴普惠体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阿里巴巴普惠体 R">
    <w:panose1 w:val="00020600040101010101"/>
    <w:charset w:val="86"/>
    <w:family w:val="auto"/>
    <w:pitch w:val="default"/>
    <w:sig w:usb0="A00002FF" w:usb1="7ACF7CFB" w:usb2="0000001E" w:usb3="00000000" w:csb0="0004009F" w:csb1="00000000"/>
  </w:font>
  <w:font w:name="ＭＳ 明朝">
    <w:altName w:val="阿里巴巴普惠体 R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ゴシック">
    <w:altName w:val="阿里巴巴普惠体 R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ＭＳ 明朝">
    <w:altName w:val="阿里巴巴普惠体 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Noto Sans Lao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Noto Sans Lao">
    <w:panose1 w:val="02000500000000000000"/>
    <w:charset w:val="00"/>
    <w:family w:val="auto"/>
    <w:pitch w:val="default"/>
    <w:sig w:usb0="02000000" w:usb1="00000000" w:usb2="00000000" w:usb3="00000000" w:csb0="20000111" w:csb1="41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C7F123F"/>
    <w:rsid w:val="3EC75AF6"/>
    <w:rsid w:val="3FA725AA"/>
    <w:rsid w:val="474FA719"/>
    <w:rsid w:val="5E3F2E66"/>
    <w:rsid w:val="5EFF846D"/>
    <w:rsid w:val="5FDFF5A9"/>
    <w:rsid w:val="6A927AA8"/>
    <w:rsid w:val="6AFCB4CA"/>
    <w:rsid w:val="6FB39F13"/>
    <w:rsid w:val="7BBF6C78"/>
    <w:rsid w:val="86FF6BB3"/>
    <w:rsid w:val="A22F8BFF"/>
    <w:rsid w:val="EDE900CD"/>
    <w:rsid w:val="EECBACB2"/>
    <w:rsid w:val="F1BBBFC0"/>
    <w:rsid w:val="FDD97ECA"/>
    <w:rsid w:val="FEFE5F8B"/>
    <w:rsid w:val="FF7BF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576" w:lineRule="exact"/>
    </w:pPr>
    <w:rPr>
      <w:rFonts w:ascii="仿宋" w:hAnsi="仿宋" w:eastAsia="仿宋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2013-12-24T23:15:00Z</dcterms:created>
  <dc:creator>python-docx</dc:creator>
  <dc:description>generated by python-docx</dc:description>
  <cp:lastModifiedBy>李秋鹏</cp:lastModifiedBy>
  <cp:lastPrinted>2026-07-01T09:19:00Z</cp:lastPrinted>
  <dcterms:modified xsi:type="dcterms:W3CDTF">2026-07-01T09:37:33Z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156BDD378812DDF4A179436AF248A31D</vt:lpwstr>
  </property>
</Properties>
</file>