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576" w:lineRule="exact"/>
        <w:jc w:val="left"/>
        <w:rPr>
          <w:rFonts w:hint="eastAsia"/>
          <w:b w:val="0"/>
          <w:sz w:val="32"/>
          <w:lang w:val="en-US" w:eastAsia="zh-CN"/>
        </w:rPr>
      </w:pPr>
    </w:p>
    <w:p>
      <w:pPr>
        <w:spacing w:before="0" w:after="0" w:line="576" w:lineRule="exact"/>
        <w:jc w:val="left"/>
        <w:rPr>
          <w:rFonts w:hint="eastAsia"/>
          <w:b w:val="0"/>
          <w:sz w:val="32"/>
          <w:lang w:val="en-US" w:eastAsia="zh-CN"/>
        </w:rPr>
      </w:pPr>
    </w:p>
    <w:p>
      <w:pPr>
        <w:spacing w:before="0" w:after="0" w:line="576" w:lineRule="exact"/>
        <w:jc w:val="left"/>
        <w:rPr>
          <w:rFonts w:hint="default" w:ascii="Times New Roman" w:hAnsi="Times New Roman" w:eastAsia="仿宋_GB2312" w:cs="Times New Roman"/>
          <w:b w:val="0"/>
          <w:sz w:val="32"/>
        </w:rPr>
      </w:pPr>
      <w:r>
        <w:rPr>
          <w:rFonts w:hint="default" w:ascii="Times New Roman" w:hAnsi="Times New Roman" w:eastAsia="仿宋_GB2312" w:cs="Times New Roman"/>
          <w:b w:val="0"/>
          <w:sz w:val="32"/>
          <w:lang w:val="en-US" w:eastAsia="zh-CN"/>
        </w:rPr>
        <w:t xml:space="preserve">A类                    </w:t>
      </w:r>
      <w:r>
        <w:rPr>
          <w:rFonts w:hint="eastAsia" w:ascii="Times New Roman" w:hAnsi="Times New Roman" w:eastAsia="仿宋_GB2312" w:cs="Times New Roman"/>
          <w:b w:val="0"/>
          <w:sz w:val="32"/>
          <w:lang w:val="en-US" w:eastAsia="zh-CN"/>
        </w:rPr>
        <w:t xml:space="preserve">                                           </w:t>
      </w:r>
      <w:r>
        <w:rPr>
          <w:rFonts w:hint="default" w:ascii="Times New Roman" w:hAnsi="Times New Roman" w:eastAsia="仿宋_GB2312" w:cs="Times New Roman"/>
          <w:b w:val="0"/>
          <w:sz w:val="32"/>
        </w:rPr>
        <w:t>汕工信函〔2026〕</w:t>
      </w:r>
      <w:r>
        <w:rPr>
          <w:rFonts w:hint="eastAsia" w:ascii="Times New Roman" w:hAnsi="Times New Roman" w:eastAsia="仿宋_GB2312" w:cs="Times New Roman"/>
          <w:b w:val="0"/>
          <w:sz w:val="32"/>
          <w:lang w:val="en-US" w:eastAsia="zh-CN"/>
        </w:rPr>
        <w:t>165</w:t>
      </w:r>
      <w:r>
        <w:rPr>
          <w:rFonts w:hint="default" w:ascii="Times New Roman" w:hAnsi="Times New Roman" w:eastAsia="仿宋_GB2312" w:cs="Times New Roman"/>
          <w:b w:val="0"/>
          <w:sz w:val="32"/>
        </w:rPr>
        <w:t>号</w:t>
      </w:r>
    </w:p>
    <w:p>
      <w:pPr>
        <w:spacing w:before="0" w:after="0" w:line="576" w:lineRule="exact"/>
        <w:jc w:val="left"/>
        <w:rPr>
          <w:rFonts w:hint="default" w:ascii="Times New Roman" w:hAnsi="Times New Roman" w:eastAsia="仿宋_GB2312" w:cs="Times New Roman"/>
          <w:b w:val="0"/>
          <w:sz w:val="32"/>
        </w:rPr>
      </w:pPr>
    </w:p>
    <w:p>
      <w:pPr>
        <w:spacing w:before="200" w:after="120" w:line="576"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关于市政协十四届五次会议第20260053号</w:t>
      </w:r>
    </w:p>
    <w:p>
      <w:pPr>
        <w:spacing w:before="200" w:after="120" w:line="576"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提案的答复</w:t>
      </w:r>
    </w:p>
    <w:p>
      <w:pPr>
        <w:spacing w:before="60" w:after="60" w:line="576" w:lineRule="exact"/>
        <w:jc w:val="left"/>
        <w:rPr>
          <w:rFonts w:ascii="仿宋" w:hAnsi="仿宋" w:eastAsia="仿宋"/>
          <w:b w:val="0"/>
          <w:sz w:val="32"/>
        </w:rPr>
      </w:pPr>
    </w:p>
    <w:p>
      <w:pPr>
        <w:spacing w:before="60" w:after="60" w:line="576" w:lineRule="exact"/>
        <w:jc w:val="left"/>
      </w:pPr>
      <w:r>
        <w:rPr>
          <w:rFonts w:ascii="仿宋" w:hAnsi="仿宋" w:eastAsia="仿宋"/>
          <w:b w:val="0"/>
          <w:sz w:val="32"/>
        </w:rPr>
        <w:t>市民盟：</w:t>
      </w:r>
    </w:p>
    <w:p>
      <w:pPr>
        <w:spacing w:before="0" w:after="6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lang w:eastAsia="zh-CN"/>
        </w:rPr>
        <w:t>贵单位</w:t>
      </w:r>
      <w:r>
        <w:rPr>
          <w:rFonts w:hint="default" w:ascii="Times New Roman" w:hAnsi="Times New Roman" w:eastAsia="仿宋_GB2312" w:cs="Times New Roman"/>
          <w:b w:val="0"/>
          <w:sz w:val="32"/>
        </w:rPr>
        <w:t>提出的《关于布局工业机器人新赛道，打造粤东智能制造高地的提案》收悉，现答复如下：</w:t>
      </w:r>
    </w:p>
    <w:p>
      <w:pPr>
        <w:spacing w:before="0" w:after="6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首先，衷心感谢您对我市工业机器人产业发展的关注和支持。提案围绕</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应用牵引、场景驱动、链条突破、生态培育</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提出的四条精准建议，深入分析了我市产业基础和比较优势，对我市抢抓工业机器人产业发展机遇具有重要指导意义。</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一、关于</w:t>
      </w:r>
      <w:r>
        <w:rPr>
          <w:rFonts w:hint="eastAsia" w:ascii="黑体" w:hAnsi="黑体" w:eastAsia="黑体" w:cs="黑体"/>
          <w:b w:val="0"/>
          <w:bCs/>
          <w:sz w:val="32"/>
          <w:lang w:eastAsia="zh-CN"/>
        </w:rPr>
        <w:t>“</w:t>
      </w:r>
      <w:r>
        <w:rPr>
          <w:rFonts w:hint="eastAsia" w:ascii="黑体" w:hAnsi="黑体" w:eastAsia="黑体" w:cs="黑体"/>
          <w:b w:val="0"/>
          <w:bCs/>
          <w:sz w:val="32"/>
        </w:rPr>
        <w:t>深化细化发展战略，引领产业升级</w:t>
      </w:r>
      <w:r>
        <w:rPr>
          <w:rFonts w:hint="eastAsia" w:ascii="黑体" w:hAnsi="黑体" w:eastAsia="黑体" w:cs="黑体"/>
          <w:b w:val="0"/>
          <w:bCs/>
          <w:sz w:val="32"/>
          <w:lang w:eastAsia="zh-CN"/>
        </w:rPr>
        <w:t>”</w:t>
      </w:r>
      <w:r>
        <w:rPr>
          <w:rFonts w:hint="eastAsia" w:ascii="黑体" w:hAnsi="黑体" w:eastAsia="黑体" w:cs="黑体"/>
          <w:b w:val="0"/>
          <w:bCs/>
          <w:sz w:val="32"/>
        </w:rPr>
        <w:t>的建议</w:t>
      </w:r>
    </w:p>
    <w:p>
      <w:pPr>
        <w:spacing w:before="40" w:after="4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我市在</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十五五</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规划编制中已将智能机器人产业纳入重点培育的新兴产业体系，明确打造</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特色应用示范高地与关键环节创新基地</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的发展定位。目前，全市智能制造装备规上企业114家，2025年实现工业产值约60.6亿元，拥有省级制造业单项冠军企业1家（金明精机）、国家级专精特新</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小巨人</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企业2家（超声仪器研究所、俊国机电）。从全省数据看，2025年广东省工业机器人产量达33.63万台，占全国43.5%，连续六年蝉联全国第一，为我市融入全省工业机器人产业布局提供了良好外部环境。下来，我们将进一步细化智能机器人产业发展专项政策。</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二、关于</w:t>
      </w:r>
      <w:r>
        <w:rPr>
          <w:rFonts w:hint="eastAsia" w:ascii="黑体" w:hAnsi="黑体" w:eastAsia="黑体" w:cs="黑体"/>
          <w:b w:val="0"/>
          <w:bCs/>
          <w:sz w:val="32"/>
          <w:lang w:eastAsia="zh-CN"/>
        </w:rPr>
        <w:t>“</w:t>
      </w:r>
      <w:r>
        <w:rPr>
          <w:rFonts w:hint="eastAsia" w:ascii="黑体" w:hAnsi="黑体" w:eastAsia="黑体" w:cs="黑体"/>
          <w:b w:val="0"/>
          <w:bCs/>
          <w:sz w:val="32"/>
        </w:rPr>
        <w:t>绘制产业链招商图谱，精准导入关键环节</w:t>
      </w:r>
      <w:r>
        <w:rPr>
          <w:rFonts w:hint="eastAsia" w:ascii="黑体" w:hAnsi="黑体" w:eastAsia="黑体" w:cs="黑体"/>
          <w:b w:val="0"/>
          <w:bCs/>
          <w:sz w:val="32"/>
          <w:lang w:eastAsia="zh-CN"/>
        </w:rPr>
        <w:t>”</w:t>
      </w:r>
      <w:r>
        <w:rPr>
          <w:rFonts w:hint="eastAsia" w:ascii="黑体" w:hAnsi="黑体" w:eastAsia="黑体" w:cs="黑体"/>
          <w:b w:val="0"/>
          <w:bCs/>
          <w:sz w:val="32"/>
        </w:rPr>
        <w:t>的建议</w:t>
      </w:r>
    </w:p>
    <w:p>
      <w:pPr>
        <w:spacing w:before="40" w:after="4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我们已着手研究绘制</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汕头市工业机器人产业链招商图谱</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在上游零部件环节，支持汕头大学、广东以色列理工学院在机电、材料等领域开展研究攻关，重点吸引力控传感器、专用伺服电机等细分领域创新团队。在中游本体制造环节，积极对接深圳乐聚机器人等龙头企业，以</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场景换投资</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引进专用机器人本体企业。在下游系统集成环节，鼓励本地装备制造企业转型为行业系统集成商。在资金政策端，省工信厅已组织开展2026年人工智能与机器人产业创新发展资金项目申报，重点支持开源社区和生态中心建设，奖补资金最高800万元。下来，我们将积极争取省级资金支持，引导本地企业参与项目申报。</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三、关于"构建协同生态体系"的建议</w:t>
      </w:r>
    </w:p>
    <w:p>
      <w:pPr>
        <w:spacing w:before="40" w:after="4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在平台搭建方面，汕头市潮商品牌建设促进会已于2025年7月与广东省机器人协会开展对接交流，探讨产业赋能合作。在创新载体方面，依托智造云谷打造智能机器人孵化器，培育了一批</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专精特新</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中小企业；推动成立AI玩具创新中心和人工智能实验室。在人才培养方面，支持汕头大学、广东以色列理工学院开设机器人工程相关课程。下来，我们将推动成立</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汕头市智能制造（工业机器人）产学研创新联盟</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，建设</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工业机器人公共测试验证与示范中心</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，进一步织密协同创新生态。</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四、关于"政府职能协同，形成政策合力"的建议</w:t>
      </w:r>
    </w:p>
    <w:p>
      <w:pPr>
        <w:keepNext w:val="0"/>
        <w:keepLines w:val="0"/>
        <w:pageBreakBefore w:val="0"/>
        <w:widowControl/>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b w:val="0"/>
          <w:sz w:val="32"/>
        </w:rPr>
      </w:pPr>
      <w:r>
        <w:rPr>
          <w:rFonts w:hint="default" w:ascii="Times New Roman" w:hAnsi="Times New Roman" w:eastAsia="仿宋_GB2312" w:cs="Times New Roman"/>
          <w:b w:val="0"/>
          <w:sz w:val="32"/>
        </w:rPr>
        <w:t>我市已出台《汕头市支持纺织服装和玩具创意产业发展若干措施》等政策文件，省级中小企业数字化转型城市试点专项资金优先支持企业数字化改造。下来，我们将统筹各类产业基金，研究设立</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智能制造转型升级基金</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重点支持企业实施机器人应用示范项目。落实研发费用加计扣除等普惠政策，在国土空间规划中保障机器人产业重点项目用地需求。同时，我局将牵头梳理机器人产业急需紧缺人才目录，推动职业院校优化专业设置，为产业持续发展输送技术人才。</w:t>
      </w:r>
    </w:p>
    <w:p>
      <w:pPr>
        <w:keepNext w:val="0"/>
        <w:keepLines w:val="0"/>
        <w:pageBreakBefore w:val="0"/>
        <w:widowControl/>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b w:val="0"/>
          <w:sz w:val="32"/>
        </w:rPr>
      </w:pPr>
      <w:r>
        <w:rPr>
          <w:rFonts w:hint="default" w:ascii="Times New Roman" w:hAnsi="Times New Roman" w:eastAsia="仿宋_GB2312" w:cs="Times New Roman"/>
          <w:b w:val="0"/>
          <w:sz w:val="32"/>
        </w:rPr>
        <w:t>下来，我局将结合您的建议，加快推进工业机器人产业布局，推动制造业智能化升级，全力打造粤东智能制造高地。</w:t>
      </w:r>
    </w:p>
    <w:p>
      <w:pPr>
        <w:spacing w:before="120" w:after="60"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感谢您对我市工业和信息化工作的关心和支持。</w:t>
      </w:r>
    </w:p>
    <w:p>
      <w:pPr>
        <w:spacing w:line="576" w:lineRule="exact"/>
        <w:rPr>
          <w:rFonts w:hint="default" w:ascii="Times New Roman" w:hAnsi="Times New Roman" w:eastAsia="仿宋_GB2312" w:cs="Times New Roman"/>
          <w:sz w:val="32"/>
          <w:szCs w:val="32"/>
        </w:rPr>
      </w:pPr>
    </w:p>
    <w:p>
      <w:pPr>
        <w:spacing w:line="576" w:lineRule="exact"/>
        <w:rPr>
          <w:rFonts w:hint="default" w:ascii="Times New Roman" w:hAnsi="Times New Roman" w:eastAsia="仿宋_GB2312" w:cs="Times New Roman"/>
          <w:sz w:val="32"/>
          <w:szCs w:val="32"/>
        </w:rPr>
      </w:pPr>
    </w:p>
    <w:p>
      <w:pPr>
        <w:spacing w:before="60" w:after="0" w:line="576" w:lineRule="exact"/>
        <w:ind w:firstLine="5120" w:firstLineChars="16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汕头市工业和信息化局</w:t>
      </w:r>
    </w:p>
    <w:p>
      <w:pPr>
        <w:spacing w:before="0" w:after="0" w:line="576" w:lineRule="exact"/>
        <w:jc w:val="center"/>
        <w:rPr>
          <w:rFonts w:hint="default" w:ascii="Times New Roman" w:hAnsi="Times New Roman" w:eastAsia="仿宋_GB2312" w:cs="Times New Roman"/>
          <w:sz w:val="32"/>
          <w:szCs w:val="32"/>
        </w:rPr>
      </w:pPr>
      <w:r>
        <w:rPr>
          <w:rFonts w:hint="eastAsia" w:ascii="Times New Roman" w:hAnsi="Times New Roman" w:eastAsia="仿宋_GB2312" w:cs="Times New Roman"/>
          <w:b w:val="0"/>
          <w:sz w:val="32"/>
          <w:szCs w:val="32"/>
          <w:lang w:val="en-US" w:eastAsia="zh-CN"/>
        </w:rPr>
        <w:t xml:space="preserve">                                                    </w:t>
      </w:r>
      <w:r>
        <w:rPr>
          <w:rFonts w:hint="default" w:ascii="Times New Roman" w:hAnsi="Times New Roman" w:eastAsia="仿宋_GB2312" w:cs="Times New Roman"/>
          <w:b w:val="0"/>
          <w:sz w:val="32"/>
          <w:szCs w:val="32"/>
        </w:rPr>
        <w:t>2026年</w:t>
      </w:r>
      <w:r>
        <w:rPr>
          <w:rFonts w:hint="eastAsia" w:ascii="Times New Roman" w:hAnsi="Times New Roman" w:eastAsia="仿宋_GB2312" w:cs="Times New Roman"/>
          <w:b w:val="0"/>
          <w:sz w:val="32"/>
          <w:szCs w:val="32"/>
          <w:lang w:val="en-US" w:eastAsia="zh-CN"/>
        </w:rPr>
        <w:t>7</w:t>
      </w:r>
      <w:r>
        <w:rPr>
          <w:rFonts w:hint="default" w:ascii="Times New Roman" w:hAnsi="Times New Roman" w:eastAsia="仿宋_GB2312" w:cs="Times New Roman"/>
          <w:b w:val="0"/>
          <w:sz w:val="32"/>
          <w:szCs w:val="32"/>
        </w:rPr>
        <w:t>月</w:t>
      </w:r>
      <w:r>
        <w:rPr>
          <w:rFonts w:hint="eastAsia" w:ascii="Times New Roman" w:hAnsi="Times New Roman" w:eastAsia="仿宋_GB2312" w:cs="Times New Roman"/>
          <w:b w:val="0"/>
          <w:sz w:val="32"/>
          <w:szCs w:val="32"/>
          <w:lang w:val="en-US" w:eastAsia="zh-CN"/>
        </w:rPr>
        <w:t>1</w:t>
      </w:r>
      <w:r>
        <w:rPr>
          <w:rFonts w:hint="default" w:ascii="Times New Roman" w:hAnsi="Times New Roman" w:eastAsia="仿宋_GB2312" w:cs="Times New Roman"/>
          <w:b w:val="0"/>
          <w:sz w:val="32"/>
          <w:szCs w:val="32"/>
        </w:rPr>
        <w:t>日</w:t>
      </w:r>
    </w:p>
    <w:p>
      <w:pPr>
        <w:spacing w:before="120" w:line="240" w:lineRule="exact"/>
        <w:rPr>
          <w:rFonts w:hint="default" w:ascii="Times New Roman" w:hAnsi="Times New Roman" w:eastAsia="仿宋_GB2312" w:cs="Times New Roman"/>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bookmarkStart w:id="0" w:name="_GoBack"/>
      <w:bookmarkEnd w:id="0"/>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keepNext w:val="0"/>
        <w:keepLines w:val="0"/>
        <w:pageBreakBefore w:val="0"/>
        <w:widowControl/>
        <w:kinsoku/>
        <w:wordWrap/>
        <w:overflowPunct/>
        <w:topLinePunct w:val="0"/>
        <w:autoSpaceDE/>
        <w:autoSpaceDN/>
        <w:bidi w:val="0"/>
        <w:adjustRightInd/>
        <w:snapToGrid/>
        <w:spacing w:before="0" w:after="0" w:line="600" w:lineRule="exact"/>
        <w:jc w:val="left"/>
        <w:textAlignment w:val="auto"/>
        <w:rPr>
          <w:rFonts w:hint="eastAsia"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rPr>
        <w:t>联系人：制造业创新科</w:t>
      </w:r>
      <w:r>
        <w:rPr>
          <w:rFonts w:hint="eastAsia" w:ascii="Times New Roman" w:hAnsi="Times New Roman" w:eastAsia="仿宋_GB2312" w:cs="Times New Roman"/>
          <w:b w:val="0"/>
          <w:sz w:val="32"/>
          <w:szCs w:val="32"/>
          <w:lang w:val="en-US" w:eastAsia="zh-CN"/>
        </w:rPr>
        <w:t xml:space="preserve">       </w:t>
      </w:r>
      <w:r>
        <w:rPr>
          <w:rFonts w:hint="default" w:ascii="Times New Roman" w:hAnsi="Times New Roman" w:eastAsia="仿宋_GB2312" w:cs="Times New Roman"/>
          <w:b w:val="0"/>
          <w:sz w:val="32"/>
          <w:szCs w:val="32"/>
        </w:rPr>
        <w:t>电话：8899201</w:t>
      </w:r>
      <w:r>
        <w:rPr>
          <w:rFonts w:hint="eastAsia" w:ascii="Times New Roman" w:hAnsi="Times New Roman" w:eastAsia="仿宋_GB2312" w:cs="Times New Roman"/>
          <w:b w:val="0"/>
          <w:sz w:val="32"/>
          <w:szCs w:val="32"/>
          <w:lang w:val="en-US" w:eastAsia="zh-CN"/>
        </w:rPr>
        <w:t>1</w:t>
      </w:r>
    </w:p>
    <w:p>
      <w:pPr>
        <w:keepNext w:val="0"/>
        <w:keepLines w:val="0"/>
        <w:pageBreakBefore w:val="0"/>
        <w:widowControl/>
        <w:kinsoku/>
        <w:wordWrap/>
        <w:overflowPunct/>
        <w:topLinePunct w:val="0"/>
        <w:autoSpaceDE/>
        <w:autoSpaceDN/>
        <w:bidi w:val="0"/>
        <w:adjustRightInd/>
        <w:snapToGrid/>
        <w:spacing w:before="0" w:after="0"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抄送：市政府办公室</w:t>
      </w:r>
      <w:r>
        <w:rPr>
          <w:rFonts w:hint="eastAsia"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市政协</w:t>
      </w:r>
      <w:r>
        <w:rPr>
          <w:rFonts w:hint="eastAsia" w:ascii="Times New Roman" w:hAnsi="Times New Roman" w:eastAsia="仿宋_GB2312" w:cs="Times New Roman"/>
          <w:b w:val="0"/>
          <w:sz w:val="32"/>
          <w:szCs w:val="32"/>
          <w:lang w:eastAsia="zh-CN"/>
        </w:rPr>
        <w:t>办公室</w:t>
      </w:r>
      <w:r>
        <w:rPr>
          <w:rFonts w:hint="default" w:ascii="Times New Roman" w:hAnsi="Times New Roman" w:eastAsia="仿宋_GB2312" w:cs="Times New Roman"/>
          <w:b w:val="0"/>
          <w:sz w:val="32"/>
          <w:szCs w:val="32"/>
        </w:rPr>
        <w:t>。</w:t>
      </w:r>
    </w:p>
    <w:sectPr>
      <w:footerReference r:id="rId5" w:type="default"/>
      <w:pgSz w:w="12240" w:h="15840"/>
      <w:pgMar w:top="2098" w:right="1474" w:bottom="1984" w:left="1587"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ＭＳ 明朝">
    <w:altName w:val="阿里巴巴普惠体 R"/>
    <w:panose1 w:val="00000000000000000000"/>
    <w:charset w:val="80"/>
    <w:family w:val="roman"/>
    <w:pitch w:val="default"/>
    <w:sig w:usb0="00000000" w:usb1="00000000" w:usb2="00000010" w:usb3="00000000" w:csb0="00020000" w:csb1="00000000"/>
  </w:font>
  <w:font w:name="阿里巴巴普惠体 R">
    <w:panose1 w:val="00020600040101010101"/>
    <w:charset w:val="86"/>
    <w:family w:val="auto"/>
    <w:pitch w:val="default"/>
    <w:sig w:usb0="A00002FF" w:usb1="7ACF7CFB" w:usb2="0000001E" w:usb3="00000000" w:csb0="0004009F" w:csb1="00000000"/>
  </w:font>
  <w:font w:name="ＭＳ 明朝">
    <w:altName w:val="阿里巴巴普惠体 R"/>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ＭＳ ゴシック">
    <w:altName w:val="阿里巴巴普惠体 R"/>
    <w:panose1 w:val="00000000000000000000"/>
    <w:charset w:val="80"/>
    <w:family w:val="modern"/>
    <w:pitch w:val="default"/>
    <w:sig w:usb0="00000000" w:usb1="00000000" w:usb2="00000010" w:usb3="00000000" w:csb0="00020000" w:csb1="00000000"/>
  </w:font>
  <w:font w:name="ＭＳ 明朝">
    <w:altName w:val="阿里巴巴普惠体 R"/>
    <w:panose1 w:val="00000000000000000000"/>
    <w:charset w:val="00"/>
    <w:family w:val="auto"/>
    <w:pitch w:val="default"/>
    <w:sig w:usb0="00000000" w:usb1="00000000" w:usb2="00000000" w:usb3="00000000" w:csb0="00000000" w:csb1="00000000"/>
  </w:font>
  <w:font w:name="Courier">
    <w:altName w:val="Noto Sans Lao"/>
    <w:panose1 w:val="02000500000000000000"/>
    <w:charset w:val="00"/>
    <w:family w:val="auto"/>
    <w:pitch w:val="default"/>
    <w:sig w:usb0="00000000" w:usb1="00000000" w:usb2="00000000" w:usb3="00000000" w:csb0="00000001" w:csb1="00000000"/>
  </w:font>
  <w:font w:name="Noto Sans Lao">
    <w:panose1 w:val="02000500000000000000"/>
    <w:charset w:val="00"/>
    <w:family w:val="auto"/>
    <w:pitch w:val="default"/>
    <w:sig w:usb0="02000000" w:usb1="00000000" w:usb2="00000000" w:usb3="00000000" w:csb0="20000111" w:csb1="41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7FF59E3"/>
    <w:rsid w:val="26EB7EE8"/>
    <w:rsid w:val="3EB2CB1F"/>
    <w:rsid w:val="773CAD0B"/>
    <w:rsid w:val="7BFF5E2B"/>
    <w:rsid w:val="7FEEBDC5"/>
    <w:rsid w:val="A79F387A"/>
    <w:rsid w:val="DF7FD8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576" w:lineRule="exact"/>
    </w:pPr>
    <w:rPr>
      <w:rFonts w:ascii="仿宋" w:hAnsi="仿宋" w:eastAsia="仿宋"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李秋鹏</cp:lastModifiedBy>
  <dcterms:modified xsi:type="dcterms:W3CDTF">2026-07-01T09:38:09Z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8F9AA7723D020E20462C436AC404C8B2</vt:lpwstr>
  </property>
</Properties>
</file>