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643" w:firstLineChars="0"/>
        <w:textAlignment w:val="auto"/>
        <w:outlineLvl w:val="9"/>
        <w:rPr>
          <w:rFonts w:hint="eastAsia" w:ascii="Times New Roman" w:hAnsi="Times New Roman" w:eastAsia="仿宋_GB2312" w:cs="Times New Roman"/>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3" w:firstLineChars="0"/>
        <w:textAlignment w:val="auto"/>
        <w:outlineLvl w:val="9"/>
        <w:rPr>
          <w:rFonts w:hint="eastAsia" w:ascii="Times New Roman" w:hAnsi="Times New Roman" w:eastAsia="仿宋_GB2312" w:cs="Times New Roman"/>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9"/>
        <w:rPr>
          <w:rFonts w:hint="eastAsia"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B类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0"/>
        <w:jc w:val="right"/>
        <w:textAlignment w:val="auto"/>
        <w:outlineLvl w:val="9"/>
        <w:rPr>
          <w:rFonts w:hint="default"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 xml:space="preserve">                        汕工信函</w:t>
      </w:r>
      <w:bookmarkStart w:id="0" w:name="OLE_LINK3"/>
      <w:r>
        <w:rPr>
          <w:rFonts w:hint="eastAsia" w:ascii="Times New Roman" w:hAnsi="Times New Roman" w:eastAsia="仿宋_GB2312" w:cs="Times New Roman"/>
          <w:sz w:val="32"/>
          <w:szCs w:val="20"/>
          <w:lang w:val="en-US" w:eastAsia="zh-CN"/>
        </w:rPr>
        <w:t>〔2026〕172号</w:t>
      </w:r>
    </w:p>
    <w:bookmarkEnd w:id="0"/>
    <w:p>
      <w:pPr>
        <w:keepNext w:val="0"/>
        <w:keepLines w:val="0"/>
        <w:pageBreakBefore w:val="0"/>
        <w:widowControl w:val="0"/>
        <w:kinsoku/>
        <w:wordWrap/>
        <w:overflowPunct/>
        <w:topLinePunct w:val="0"/>
        <w:autoSpaceDE/>
        <w:autoSpaceDN/>
        <w:bidi w:val="0"/>
        <w:adjustRightInd/>
        <w:snapToGrid/>
        <w:spacing w:line="600" w:lineRule="exact"/>
        <w:ind w:firstLine="643" w:firstLineChars="0"/>
        <w:jc w:val="left"/>
        <w:textAlignment w:val="auto"/>
        <w:outlineLvl w:val="9"/>
        <w:rPr>
          <w:rFonts w:hint="default" w:ascii="Times New Roman" w:hAnsi="Times New Roman" w:eastAsia="仿宋_GB2312" w:cs="Times New Roman"/>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楷体_GB2312" w:hAnsi="楷体_GB2312" w:eastAsia="楷体_GB2312" w:cs="楷体_GB2312"/>
          <w:sz w:val="32"/>
          <w:szCs w:val="32"/>
          <w:lang w:eastAsia="zh-CN"/>
        </w:rPr>
      </w:pPr>
      <w:r>
        <w:rPr>
          <w:rFonts w:hint="eastAsia" w:ascii="方正小标宋简体" w:hAnsi="方正小标宋简体" w:eastAsia="方正小标宋简体" w:cs="方正小标宋简体"/>
          <w:sz w:val="44"/>
          <w:szCs w:val="44"/>
          <w:lang w:eastAsia="zh-CN"/>
        </w:rPr>
        <w:t>关于对汕头</w:t>
      </w:r>
      <w:r>
        <w:rPr>
          <w:rFonts w:hint="eastAsia" w:ascii="方正小标宋简体" w:hAnsi="方正小标宋简体" w:eastAsia="方正小标宋简体" w:cs="方正小标宋简体"/>
          <w:sz w:val="44"/>
          <w:szCs w:val="44"/>
        </w:rPr>
        <w:t>市政协十四届</w:t>
      </w:r>
      <w:r>
        <w:rPr>
          <w:rFonts w:hint="eastAsia" w:ascii="方正小标宋简体" w:hAnsi="方正小标宋简体" w:eastAsia="方正小标宋简体" w:cs="方正小标宋简体"/>
          <w:sz w:val="44"/>
          <w:szCs w:val="44"/>
          <w:lang w:eastAsia="zh-CN"/>
        </w:rPr>
        <w:t>五</w:t>
      </w:r>
      <w:r>
        <w:rPr>
          <w:rFonts w:hint="eastAsia" w:ascii="方正小标宋简体" w:hAnsi="方正小标宋简体" w:eastAsia="方正小标宋简体" w:cs="方正小标宋简体"/>
          <w:sz w:val="44"/>
          <w:szCs w:val="44"/>
        </w:rPr>
        <w:t>次会议第</w:t>
      </w:r>
      <w:r>
        <w:rPr>
          <w:rFonts w:hint="default" w:ascii="Times New Roman" w:hAnsi="Times New Roman" w:eastAsia="方正小标宋简体" w:cs="Times New Roman"/>
          <w:sz w:val="44"/>
          <w:szCs w:val="44"/>
        </w:rPr>
        <w:t>20260169</w:t>
      </w:r>
      <w:r>
        <w:rPr>
          <w:rFonts w:hint="eastAsia" w:ascii="方正小标宋简体" w:hAnsi="方正小标宋简体" w:eastAsia="方正小标宋简体" w:cs="方正小标宋简体"/>
          <w:sz w:val="44"/>
          <w:szCs w:val="44"/>
        </w:rPr>
        <w:t>号</w:t>
      </w:r>
      <w:r>
        <w:rPr>
          <w:rFonts w:hint="eastAsia" w:ascii="方正小标宋简体" w:hAnsi="方正小标宋简体" w:eastAsia="方正小标宋简体" w:cs="方正小标宋简体"/>
          <w:sz w:val="44"/>
          <w:szCs w:val="44"/>
          <w:lang w:eastAsia="zh-CN"/>
        </w:rPr>
        <w:t>提案的答复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仿宋_GB2312"/>
          <w:strike/>
          <w:dstrike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 w:eastAsia="zh-CN"/>
        </w:rPr>
        <w:t>民进汕头市委</w:t>
      </w:r>
      <w:r>
        <w:rPr>
          <w:rFonts w:hint="eastAsia" w:ascii="Times New Roman" w:hAnsi="Times New Roman" w:eastAsia="仿宋_GB2312" w:cs="Times New Roman"/>
          <w:sz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你们提出的《关于梯队培育创新型企业，更好支撑汕头迎头赶上的提案》（第20260169号）收悉。根据提案办理要求，经综合有关单位意见，现将办理有关情况答复如下：</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lang w:eastAsia="zh-CN"/>
        </w:rPr>
      </w:pPr>
      <w:r>
        <w:rPr>
          <w:rFonts w:hint="eastAsia" w:ascii="黑体" w:hAnsi="黑体" w:eastAsia="黑体" w:cs="黑体"/>
          <w:sz w:val="32"/>
          <w:szCs w:val="32"/>
          <w:lang w:eastAsia="zh-CN"/>
        </w:rPr>
        <w:t>相关工作开展情况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我们对你们提出的梯队培育创新型企业，更好支撑汕头迎头赶上的提案深表赞同。近年来，我市深入贯彻落实国家、省关于创新型企业、优质中小企业梯度培育系列部署，做强做优创新型企业、壮大科创企业集群，推动汕头市“工业立市、产业强市”之路走得更稳健。</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z w:val="32"/>
          <w:lang w:val="en-US" w:eastAsia="zh-CN"/>
        </w:rPr>
        <w:sectPr>
          <w:pgSz w:w="11906" w:h="16838"/>
          <w:pgMar w:top="2098" w:right="1474" w:bottom="1984" w:left="1587" w:header="851" w:footer="992" w:gutter="0"/>
          <w:pgNumType w:fmt="decimal" w:start="2"/>
          <w:cols w:space="425" w:num="1"/>
          <w:docGrid w:type="lines" w:linePitch="312" w:charSpace="0"/>
        </w:sectPr>
      </w:pPr>
      <w:r>
        <w:rPr>
          <w:rFonts w:hint="eastAsia" w:ascii="楷体_GB2312" w:hAnsi="楷体_GB2312" w:eastAsia="楷体_GB2312" w:cs="楷体_GB2312"/>
          <w:sz w:val="32"/>
          <w:szCs w:val="32"/>
          <w:lang w:eastAsia="zh-CN"/>
        </w:rPr>
        <w:t>分层落实奖补政策，构建完备企业梯度培育体系。</w:t>
      </w:r>
      <w:r>
        <w:rPr>
          <w:rFonts w:hint="eastAsia" w:ascii="Times New Roman" w:hAnsi="Times New Roman" w:eastAsia="仿宋_GB2312" w:cs="Times New Roman"/>
          <w:sz w:val="32"/>
          <w:lang w:val="en-US" w:eastAsia="zh-CN"/>
        </w:rPr>
        <w:t>我市构建国家级专精特新“小巨人”、省级专精特新企业、创新型中小企业三级培育体系，分层落实专精特新专项奖补政策，对获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得国家重点小巨人支持的企业补贴600万元；对新认定的小巨人企业每家120万奖补；对省级“专精特新”中小企业贷款贴息奖补，按照每家不超过100万元，不超过利息金额50%的标准给予贴息支持。目前，我市已形成以国家级专精特新“小巨人”企业为引领、省级专精特新企业为骨干、创新型中小企业为储备，层次鲜明、路径精准的梯度培育格局。全市有效期内专精特新小巨人企业14家，在全省排名第11位，在粤东西北12个地市中排名第2位。专精特新企业297家，在全省排名第9位，在粤东西北12个地市中排名第1位。创新型中小企业387家，是全市创新产业最基础储备力量。</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深耕细分产业赛道，培育制造业单项冠军企业。</w:t>
      </w:r>
      <w:r>
        <w:rPr>
          <w:rFonts w:hint="eastAsia" w:ascii="Times New Roman" w:hAnsi="Times New Roman" w:eastAsia="仿宋_GB2312" w:cs="Times New Roman"/>
          <w:sz w:val="32"/>
          <w:lang w:val="en-US" w:eastAsia="zh-CN"/>
        </w:rPr>
        <w:t>制造业单项冠军企业长期专注于制造业特定细分领域，生产技术或工艺水平国际先进，单项产品（生产性服务）市场占有率位居全球前列。我市围绕提升产业基础高级化、产业链现代化水平，加大制造业单项冠军企业和“隐形冠军”培育力度，对新认定的制造业单项冠军企业予以150万元奖补，支持企业创新和研发投入、技术成果产业化应用、数字化网络化智能化绿色化改造、上市融资等，帮助于企业转型升级和高质量发展。我市围绕“三新两特一大”产业布局，完善优质中小企业梯度培育体系，畅通专精特新企业发展路径，通过重点小巨人支持政策和单项冠军奖励政策引导企业长期专注核心产品，深耕细分市场，以打造“隐形冠军”为目标。</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办好创客广东赛事，赋能专精特新企业创新创业。</w:t>
      </w:r>
      <w:r>
        <w:rPr>
          <w:rFonts w:hint="eastAsia" w:ascii="Times New Roman" w:hAnsi="Times New Roman" w:eastAsia="仿宋_GB2312" w:cs="Times New Roman"/>
          <w:sz w:val="32"/>
          <w:lang w:val="en-US" w:eastAsia="zh-CN"/>
        </w:rPr>
        <w:t>举办以“专精特新”企业为参赛主体创客汕头赛事。在市财政的大力支持下，依托创客广东汕头地市赛，汕头历届大赛重点聚焦“专精特新”，重点动员我市专精特新企业参赛，全力推进全市中小企业创新创业提质升级。</w:t>
      </w:r>
      <w:r>
        <w:rPr>
          <w:rFonts w:hint="default" w:ascii="Times New Roman" w:hAnsi="Times New Roman" w:eastAsia="仿宋_GB2312" w:cs="Times New Roman"/>
          <w:sz w:val="32"/>
          <w:lang w:val="en" w:eastAsia="zh-CN"/>
        </w:rPr>
        <w:t>202</w:t>
      </w:r>
      <w:r>
        <w:rPr>
          <w:rFonts w:hint="eastAsia" w:ascii="Times New Roman" w:hAnsi="Times New Roman" w:eastAsia="仿宋_GB2312" w:cs="Times New Roman"/>
          <w:sz w:val="32"/>
          <w:lang w:val="en-US" w:eastAsia="zh-CN"/>
        </w:rPr>
        <w:t>5年，大赛共动员了我市国家专精特新“小巨人“企业9家、省级“专精特新”中小企业数62家企业参赛，占全市“专精特新”企业总数比例约25%</w:t>
      </w:r>
      <w:r>
        <w:rPr>
          <w:rFonts w:hint="eastAsia" w:ascii="Times New Roman" w:hAnsi="Times New Roman" w:eastAsia="仿宋_GB2312" w:cs="Times New Roman"/>
          <w:sz w:val="32"/>
          <w:lang w:val="en" w:eastAsia="zh-CN"/>
        </w:rPr>
        <w:t>。</w:t>
      </w:r>
      <w:r>
        <w:rPr>
          <w:rFonts w:hint="eastAsia" w:ascii="Times New Roman" w:hAnsi="Times New Roman" w:eastAsia="仿宋_GB2312" w:cs="Times New Roman"/>
          <w:sz w:val="32"/>
          <w:lang w:val="en-US" w:eastAsia="zh-CN"/>
        </w:rPr>
        <w:t>创客汕头大赛为专精特新中小企业搭建起交流展示、产融对接、项目孵化的优质平台；同时邀请投融资机构加入大赛，借助金融“活水”赋能赛事，发掘和培育优质项目，跟进项目落地。</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多部门出台配套政策，常态化开展企业培育服务。</w:t>
      </w:r>
      <w:r>
        <w:rPr>
          <w:rFonts w:hint="eastAsia" w:ascii="Times New Roman" w:hAnsi="Times New Roman" w:eastAsia="仿宋_GB2312" w:cs="Times New Roman"/>
          <w:sz w:val="32"/>
          <w:lang w:val="en-US" w:eastAsia="zh-CN"/>
        </w:rPr>
        <w:t>我市认真贯彻落实《广东省推动专精特新企业高质量发展的指导意见》，市直各部门积极制定出台各项政策举措合力推动专精特新中小企业高质量发展。市工信局指导市智能制造产业协会联合市专精特新“小巨人”企业成立专精特新企业发展联盟，并开发建设“专精特新”企业自评估平台，常态化为企业提供申报自评估功能并形成分析报告定向发给企业，联盟定期开展政策宣讲和培育辅导，多举措推动企业“进阶式”发展。市科技局组织实施2024年中央引导地方科技发展资金，设立重点产业关键核心技术攻关、省实验室基础与应用基础研究等专题，支持“三新两特一大”重点产业发展和“双十”战略性产业的“卡脖子”技术或关键核心技术攻关，加快提升自主创新能力。市财政局开展提升广东区域性股权市场服务科技创新效能，发挥广东股权交易中心“华侨板”作用，增设“专精特新”专板，积极发挥广东股交汕头分公司在拓宽企业融资渠道、培育孵化企业转板等方面积极作用。市税务局举办“春风化雨润企心”中小企业座谈会。组织青年讲师团为“专精特新”“三新两特一大”和新办企业提供政策问需专项服务；汇编税收政策指引，组建税费辅导专业团队，为“专精特新”中小企业提供“点对点”精细服务，实行“一企一策”个性化服务模式以及线上全天候咨询服务模式。截止目前，我市共出台的支持专精特新中小企业高质量发展举措40多条，开展各类政策宣讲培训服务活动19次；上门指导服务企业15次。</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强化创新主体培育，促进企业提质增效。</w:t>
      </w:r>
      <w:r>
        <w:rPr>
          <w:rFonts w:hint="eastAsia" w:ascii="Times New Roman" w:hAnsi="Times New Roman" w:eastAsia="仿宋_GB2312" w:cs="Times New Roman"/>
          <w:sz w:val="32"/>
          <w:lang w:val="en-US" w:eastAsia="zh-CN"/>
        </w:rPr>
        <w:t>举办汕头市科技统计培训会、高新技术企业申报规划专题培训会等活动，邀请专家围绕研发费用归集、知识产权布局、科技创新税费优惠政策等企业关心的热点问题开展解读，持续推进科技型中小企业、高新技术企业梯次培育发展，支持更多科技企业成长为省级专精特新企业、国家级专精特新“小巨人”企业。2025年，全市共推动438家企业通过科技型中小企业评价，获得入库编号。推动263家企业申报认定高新技术企业，222家通过认定备案，目前全市高新技术企业总量达到733家（全市省级专精特新企业90%以上为高新技术企业）。2025年新增省级工程技术研究中心6家、市级6家，市级重点实验室6家；截至2026年4月，全市共有省级工程技术研究中心239家、市级402家，省级重点实验室8家、市级19家。</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组织产业技术攻关，提升产业链自主创新能力。</w:t>
      </w:r>
      <w:r>
        <w:rPr>
          <w:rFonts w:hint="eastAsia" w:ascii="Times New Roman" w:hAnsi="Times New Roman" w:eastAsia="仿宋_GB2312" w:cs="Times New Roman"/>
          <w:sz w:val="32"/>
          <w:lang w:val="en-US" w:eastAsia="zh-CN"/>
        </w:rPr>
        <w:t>提升产业创新能力。聚焦国家、省、市科技创新重点任务，组织实施2025年中央引导地方科技发展专项资金（汕头创新型城市建设）项目，设立“关键核心技术攻关专题”和“产学研协同创新专题”，支持我市企业与在汕高校、科研院所围绕纺织服装、玩具创意等“三新两特一大”重点产业发展需求共同开展产业关键核心技术攻关，为推动产业高质量发展提供科技支撑加快提升自主创新能力。广东正超电气有限公司、广东金明精机股份有限公司等企业获得立项支持。</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组建创新联合体，汇聚产业链协同创新动能。</w:t>
      </w:r>
      <w:r>
        <w:rPr>
          <w:rFonts w:hint="eastAsia" w:ascii="Times New Roman" w:hAnsi="Times New Roman" w:eastAsia="仿宋_GB2312" w:cs="Times New Roman"/>
          <w:sz w:val="32"/>
          <w:lang w:val="en-US" w:eastAsia="zh-CN"/>
        </w:rPr>
        <w:t>2025年12月，出台《汕头市创新联合体建设工作指引》，聚焦集中力量突破一批共性“卡脖子”技术，计划支持一批由龙头企业牵头、高校院所支撑、产业链各创新主体相互协同的创新联合体，促进产业链上下游科技企业协同创新。截至目前，由专精特新“小巨人”企业广东奥斯博膜技术有限公司牵头组建的汕头首家创新联合体—“汕头市高性能分离膜创新联合体”在汕头综合保税区成立，汇聚高校、科研院所及产业链上下游企业力量，瞄准行业共性关键技术难题，开展有组织的科研攻关，形成协同创新格局。化学与精细化工广东省实验室获批建设粤东西北地区首家广东省实验室概念验证中心，与市纺织服装产业协会共建“汕头市纺织材料创新中心”。以汕头市大型科研仪器开放共享服务平台为基础，接入潮州、揭阳辖区内大型科研仪器，启用汕潮揭大型仪器共享服务平台，粤东三市671台（套）、价值超3.5亿元的科研仪器实现开放共享，相关的经验做法入选全省基层改革创新、科技体制改革典型案例。</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搭建产学研对接桥梁，加速创新成果转化。</w:t>
      </w:r>
      <w:r>
        <w:rPr>
          <w:rFonts w:hint="eastAsia" w:ascii="Times New Roman" w:hAnsi="Times New Roman" w:eastAsia="仿宋_GB2312" w:cs="Times New Roman"/>
          <w:sz w:val="32"/>
          <w:lang w:val="en-US" w:eastAsia="zh-CN"/>
        </w:rPr>
        <w:t>组织开展校企“双走进”服务，梳理高校院所科研成果、企业技术创新需求，通过组织“企业走进高校院所、高校院所走进企业”，促进高校院所技术供给与企业创新需求精准对接。制定印发科技成果“先用后转”实施方案，鼓励引导高校、科研事业单位探索“先使用后付费”和“先使用后合作”模式，将科技成果许可给企业使用，着力破解“不敢转、不想转、不会转”问题。出台产学研合作项目视同市级科技计划项目实施细则，引导高校院所主动承接企业提出的技术攻关问题。2025年共举办纺织服装产业、玩具创意产业、新材料产业等13场产学研“面对面”专场对接活动，推动高校院所科技供给与企业需求精准对接。联合省生产力促进中心共建汕头东海岸国际科创路演中心，6场专场路演活动促成多个优质项目与投资机构达成合作。</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引育科技创新人才，夯实产业创新智力支撑。</w:t>
      </w:r>
      <w:r>
        <w:rPr>
          <w:rFonts w:hint="eastAsia" w:ascii="Times New Roman" w:hAnsi="Times New Roman" w:eastAsia="仿宋_GB2312" w:cs="Times New Roman"/>
          <w:sz w:val="32"/>
          <w:lang w:val="en-US" w:eastAsia="zh-CN"/>
        </w:rPr>
        <w:t>以引进、培育高端人才为抓手，建设高素质科技人才队伍。围绕量子材料与调控、细胞谱系与精准医学、脑机接口等主题，高水平办好11场“南澳科学会议”等。实施市精细化工企业引进科技领军人才团队立项项目7项，助推全市精细化工产业创新发展。向上级推荐申报人才项目65项。聚焦外国人来华工作服务需求，推出《外国人来华工作许可业务办理便民服务手册》“一本通”、外国人工作许可证和社保卡融合集成“一卡通”、外籍人才工作许可与居留许可“一窗通”便利化措施，提升涉外人才服务效能。</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下一步工作计划</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下一步，我局将会同市科技局、财政局，国家金融监管总局汕头监管分局等单位，全面对标提案提出的四大体系建设思路，重点从以下几个方面持续推进。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lang w:val="en-US" w:eastAsia="zh-CN"/>
        </w:rPr>
        <w:t>（一）构建侨智赋能的初创企业孵化体系，破解算力、设备资源门槛难题。</w:t>
      </w:r>
      <w:r>
        <w:rPr>
          <w:rFonts w:hint="eastAsia" w:ascii="Times New Roman" w:hAnsi="Times New Roman" w:eastAsia="仿宋_GB2312" w:cs="Times New Roman"/>
          <w:sz w:val="32"/>
          <w:lang w:val="en-US" w:eastAsia="zh-CN"/>
        </w:rPr>
        <w:t>依托汕头科学城、中以（汕头）科技创新合作区打造跨境创新孵化基地，联动华侨科创资源引进海外前沿技术、优质科创创业项目，定向孵化科技类初创创新型企业。扩容汕潮揭大型仪器共享服务平台覆盖范围，推广化学与精细化工省实验室仪器开放共享、科研成果收益向研发团队倾斜机制，降低初创创新型企业科研设备使用成本。强化跨境数字经济产业园配套扶持，对入驻的科技型初创创新型企业专项落实算力资源补贴、跨境通信专线资费优惠，补齐初创创新主体算力资源短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lang w:val="en-US" w:eastAsia="zh-CN"/>
        </w:rPr>
        <w:t>（二）打造政策精准滴灌的成长型企业提质体系，打通产学研转化堵点。</w:t>
      </w:r>
      <w:r>
        <w:rPr>
          <w:rFonts w:hint="eastAsia" w:ascii="Times New Roman" w:hAnsi="Times New Roman" w:eastAsia="仿宋_GB2312" w:cs="Times New Roman"/>
          <w:sz w:val="32"/>
          <w:lang w:val="en-US" w:eastAsia="zh-CN"/>
        </w:rPr>
        <w:t>分层落实专精特新培育政策，足额兑现国家级专精特新“小巨人”600万元补贴、省级专精特新贷款贴息支持，扩大数字化转型专项资金覆盖范围。常态化举办产学研“面对面”专场对接活动，聚焦纺织服装、玩具创意两大特色产业，推动企业与广东以色列理工学院、汕头大学共建联合创新中心，打通技术成果产业化“最后一公里”。设立细分产业创新专项基金，重点扶持电子信息材料、生物医药领域，帮助企业攻克“卡脖子”技术。持续办好创客广东汕头地市赛，以成长型企业、初创科创企业为核心参赛主体，增设高精尖技术赛道，联动投融资机构发掘优质科创项目，完善项目落地跟踪孵化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lang w:val="en-US" w:eastAsia="zh-CN"/>
        </w:rPr>
        <w:t>（三）培育龙头引领的产业协同创新体系，充分释放产业链带动效能。</w:t>
      </w:r>
      <w:r>
        <w:rPr>
          <w:rFonts w:hint="eastAsia" w:ascii="Times New Roman" w:hAnsi="Times New Roman" w:eastAsia="仿宋_GB2312" w:cs="Times New Roman"/>
          <w:sz w:val="32"/>
          <w:lang w:val="en-US" w:eastAsia="zh-CN"/>
        </w:rPr>
        <w:t>深入实施“百亿企业、千亿产业”倍增计划，支持西陇科学、美联新材等龙头企业牵头组建产业生态联合体，串联上下游中小创新型企业，强化产业链协同创新。用好南澳科学会议高端学术品牌，鼓励龙头企业引进院士专家团队，攻关碳中和化学、高端化工装备等关键领域。依托康博会、跨境选品中心等平台，推动龙头企业链接全球资源，带动配套中小企业抱团出海。扩面推广“大企业发榜、中小企业揭榜”机制，建立常态化技术需求榜单发布渠道，推动龙头创新企业与上下游中小创新型企业创新链、供应链、产业链深度融合，放大龙头产业带动作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lang w:val="en-US" w:eastAsia="zh-CN"/>
        </w:rPr>
        <w:t>（四）健全要素聚合的全周期保障体系，完善创新型企业一体化协同保障机制。</w:t>
      </w:r>
      <w:r>
        <w:rPr>
          <w:rFonts w:hint="eastAsia" w:ascii="Times New Roman" w:hAnsi="Times New Roman" w:eastAsia="仿宋_GB2312" w:cs="Times New Roman"/>
          <w:sz w:val="32"/>
          <w:lang w:val="en-US" w:eastAsia="zh-CN"/>
        </w:rPr>
        <w:t>整合设立市级创新型企业梯度培育专项基金，发挥财政资金杠杆作用，引导社会资本投向初创、成长、龙头各层级创新型企业。持续开展企业家培养计划、精细化工人才培训班，打造职业化、国际化产业经营与技术人才队伍；，常态化开展创新型企业校园专场招聘，缓解科创企业引才用工难题。迭代升级梯队企业动态管理数据库，落实新型研发机构、重点实验室等创新平台补助，实施“分类施策、精准赋能”闭环服务。联合税务、统计、供电建立小升规创新企业培育库，挖掘潜力科创主体入库培育，持续壮大创新型中小企业储备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专此答复，诚挚感谢你们对汕头市工业和信息化局工作的关心支持，欢迎你们继续对我们的工作提出宝贵意见和建议。</w:t>
      </w:r>
    </w:p>
    <w:p>
      <w:pPr>
        <w:keepNext w:val="0"/>
        <w:keepLines w:val="0"/>
        <w:pageBreakBefore w:val="0"/>
        <w:widowControl w:val="0"/>
        <w:kinsoku/>
        <w:overflowPunct/>
        <w:topLinePunct w:val="0"/>
        <w:autoSpaceDE/>
        <w:autoSpaceDN/>
        <w:bidi w:val="0"/>
        <w:adjustRightInd/>
        <w:snapToGrid/>
        <w:spacing w:afterLines="0" w:afterAutospacing="0" w:line="600" w:lineRule="exact"/>
        <w:ind w:left="0" w:leftChars="0" w:firstLine="0" w:firstLineChars="0"/>
        <w:jc w:val="both"/>
        <w:textAlignment w:val="auto"/>
        <w:rPr>
          <w:rFonts w:hint="eastAsia" w:ascii="Times New Roman" w:hAnsi="Times New Roman" w:eastAsia="仿宋" w:cs="Times New Roman"/>
          <w:kern w:val="2"/>
          <w:sz w:val="32"/>
          <w:szCs w:val="24"/>
          <w:lang w:val="en-US" w:eastAsia="zh-CN" w:bidi="ar-SA"/>
        </w:rPr>
      </w:pPr>
    </w:p>
    <w:p>
      <w:pPr>
        <w:keepNext w:val="0"/>
        <w:keepLines w:val="0"/>
        <w:pageBreakBefore w:val="0"/>
        <w:widowControl w:val="0"/>
        <w:kinsoku/>
        <w:overflowPunct/>
        <w:topLinePunct w:val="0"/>
        <w:autoSpaceDE/>
        <w:autoSpaceDN/>
        <w:bidi w:val="0"/>
        <w:adjustRightInd/>
        <w:snapToGrid/>
        <w:spacing w:afterLines="0" w:afterAutospacing="0" w:line="600" w:lineRule="exact"/>
        <w:ind w:left="0" w:leftChars="0" w:firstLine="0" w:firstLineChars="0"/>
        <w:jc w:val="both"/>
        <w:textAlignment w:val="auto"/>
        <w:rPr>
          <w:rFonts w:hint="eastAsia" w:ascii="Times New Roman" w:hAnsi="Times New Roman" w:eastAsia="仿宋" w:cs="Times New Roman"/>
          <w:kern w:val="2"/>
          <w:sz w:val="32"/>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ind w:right="344" w:rightChars="164" w:firstLine="643" w:firstLineChars="0"/>
        <w:jc w:val="right"/>
        <w:textAlignment w:val="auto"/>
        <w:outlineLvl w:val="9"/>
        <w:rPr>
          <w:rFonts w:hint="eastAsia"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汕头市工业和信息化局</w:t>
      </w:r>
    </w:p>
    <w:p>
      <w:pPr>
        <w:keepNext w:val="0"/>
        <w:keepLines w:val="0"/>
        <w:pageBreakBefore w:val="0"/>
        <w:widowControl w:val="0"/>
        <w:kinsoku/>
        <w:wordWrap w:val="0"/>
        <w:overflowPunct/>
        <w:topLinePunct w:val="0"/>
        <w:autoSpaceDE/>
        <w:autoSpaceDN/>
        <w:bidi w:val="0"/>
        <w:adjustRightInd/>
        <w:snapToGrid/>
        <w:spacing w:line="600" w:lineRule="exact"/>
        <w:jc w:val="right"/>
        <w:textAlignment w:val="auto"/>
        <w:outlineLvl w:val="9"/>
        <w:rPr>
          <w:rFonts w:hint="eastAsia"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 xml:space="preserve">2026年7月3日     </w:t>
      </w:r>
    </w:p>
    <w:p>
      <w:pPr>
        <w:keepNext w:val="0"/>
        <w:keepLines w:val="0"/>
        <w:pageBreakBefore w:val="0"/>
        <w:widowControl w:val="0"/>
        <w:kinsoku/>
        <w:overflowPunct/>
        <w:topLinePunct w:val="0"/>
        <w:autoSpaceDE/>
        <w:autoSpaceDN/>
        <w:bidi w:val="0"/>
        <w:adjustRightInd/>
        <w:snapToGrid/>
        <w:spacing w:line="600" w:lineRule="exact"/>
        <w:textAlignment w:val="auto"/>
        <w:rPr>
          <w:rFonts w:hint="default" w:ascii="Times New Roman" w:hAnsi="Times New Roman" w:eastAsia="仿宋" w:cs="Times New Roman"/>
          <w:sz w:val="32"/>
          <w:lang w:val="en-US" w:eastAsia="zh-CN"/>
        </w:rPr>
      </w:pPr>
    </w:p>
    <w:p>
      <w:pPr>
        <w:pStyle w:val="2"/>
        <w:keepNext w:val="0"/>
        <w:keepLines w:val="0"/>
        <w:pageBreakBefore w:val="0"/>
        <w:widowControl w:val="0"/>
        <w:kinsoku/>
        <w:overflowPunct/>
        <w:topLinePunct w:val="0"/>
        <w:autoSpaceDE/>
        <w:autoSpaceDN/>
        <w:bidi w:val="0"/>
        <w:adjustRightInd/>
        <w:snapToGrid/>
        <w:spacing w:line="600" w:lineRule="exact"/>
        <w:ind w:left="0" w:leftChars="0" w:firstLine="0" w:firstLineChars="0"/>
        <w:textAlignment w:val="auto"/>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default" w:ascii="Times New Roman" w:hAnsi="Times New Roman" w:eastAsia="仿宋_GB2312" w:cs="Times New Roman"/>
          <w:sz w:val="32"/>
          <w:szCs w:val="32"/>
          <w:u w:val="none"/>
          <w:lang w:val="en-US" w:eastAsia="zh-CN"/>
        </w:rPr>
      </w:pPr>
      <w:bookmarkStart w:id="1" w:name="_GoBack"/>
      <w:bookmarkEnd w:id="1"/>
      <w:r>
        <w:rPr>
          <w:rFonts w:hint="default" w:ascii="Times New Roman" w:hAnsi="Times New Roman" w:eastAsia="仿宋_GB2312" w:cs="Times New Roman"/>
          <w:sz w:val="32"/>
          <w:szCs w:val="32"/>
          <w:u w:val="none"/>
          <w:lang w:val="en-US" w:eastAsia="zh-CN"/>
        </w:rPr>
        <w:t>联系</w:t>
      </w:r>
      <w:r>
        <w:rPr>
          <w:rFonts w:hint="eastAsia" w:ascii="Times New Roman" w:hAnsi="Times New Roman" w:eastAsia="仿宋_GB2312" w:cs="Times New Roman"/>
          <w:sz w:val="32"/>
          <w:szCs w:val="32"/>
          <w:u w:val="none"/>
          <w:lang w:val="en-US" w:eastAsia="zh-CN"/>
        </w:rPr>
        <w:t>科室</w:t>
      </w:r>
      <w:r>
        <w:rPr>
          <w:rFonts w:hint="default" w:ascii="Times New Roman" w:hAnsi="Times New Roman" w:eastAsia="仿宋_GB2312" w:cs="Times New Roman"/>
          <w:sz w:val="32"/>
          <w:szCs w:val="32"/>
          <w:u w:val="none"/>
          <w:lang w:val="en-US" w:eastAsia="zh-CN"/>
        </w:rPr>
        <w:t>：</w:t>
      </w:r>
      <w:r>
        <w:rPr>
          <w:rFonts w:hint="eastAsia" w:ascii="Times New Roman" w:hAnsi="Times New Roman" w:eastAsia="仿宋_GB2312" w:cs="Times New Roman"/>
          <w:sz w:val="32"/>
          <w:szCs w:val="32"/>
          <w:u w:val="none"/>
          <w:lang w:val="en-US" w:eastAsia="zh-CN"/>
        </w:rPr>
        <w:t xml:space="preserve">服务建设与融资促进科        </w:t>
      </w:r>
      <w:r>
        <w:rPr>
          <w:rFonts w:hint="default" w:ascii="Times New Roman" w:hAnsi="Times New Roman" w:eastAsia="仿宋_GB2312" w:cs="Times New Roman"/>
          <w:sz w:val="32"/>
          <w:szCs w:val="32"/>
          <w:u w:val="none"/>
          <w:lang w:val="en-US" w:eastAsia="zh-CN"/>
        </w:rPr>
        <w:t>电话</w:t>
      </w:r>
      <w:r>
        <w:rPr>
          <w:rFonts w:hint="eastAsia" w:ascii="Times New Roman" w:hAnsi="Times New Roman" w:eastAsia="仿宋_GB2312" w:cs="Times New Roman"/>
          <w:sz w:val="32"/>
          <w:szCs w:val="32"/>
          <w:u w:val="none"/>
          <w:lang w:val="en-US" w:eastAsia="zh-CN"/>
        </w:rPr>
        <w:t>：88992021</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Times New Roman"/>
          <w:sz w:val="32"/>
          <w:szCs w:val="20"/>
          <w:lang w:val="en-US" w:eastAsia="zh-CN"/>
        </w:rPr>
        <w:t>抄送：市政府办公室、市政协办公室。</w:t>
      </w:r>
    </w:p>
    <w:sectPr>
      <w:footerReference r:id="rId3" w:type="default"/>
      <w:pgSz w:w="11906" w:h="16838"/>
      <w:pgMar w:top="2098" w:right="1474" w:bottom="1984" w:left="1587"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0F3C52" w:usb2="00000016" w:usb3="00000000" w:csb0="0004001F"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950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95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26690"/>
    <w:multiLevelType w:val="singleLevel"/>
    <w:tmpl w:val="9D426690"/>
    <w:lvl w:ilvl="0" w:tentative="0">
      <w:start w:val="1"/>
      <w:numFmt w:val="chineseCounting"/>
      <w:suff w:val="nothing"/>
      <w:lvlText w:val="（%1）"/>
      <w:lvlJc w:val="left"/>
      <w:rPr>
        <w:rFonts w:hint="eastAsia" w:ascii="楷体_GB2312" w:hAnsi="楷体_GB2312" w:eastAsia="楷体_GB2312" w:cs="楷体_GB2312"/>
        <w:sz w:val="32"/>
        <w:szCs w:val="32"/>
      </w:rPr>
    </w:lvl>
  </w:abstractNum>
  <w:abstractNum w:abstractNumId="1">
    <w:nsid w:val="E9513E97"/>
    <w:multiLevelType w:val="singleLevel"/>
    <w:tmpl w:val="E9513E97"/>
    <w:lvl w:ilvl="0" w:tentative="0">
      <w:start w:val="1"/>
      <w:numFmt w:val="chineseCounting"/>
      <w:suff w:val="nothing"/>
      <w:lvlText w:val="%1、"/>
      <w:lvlJc w:val="left"/>
      <w:rPr>
        <w:rFonts w:hint="eastAsia" w:ascii="黑体" w:hAnsi="黑体" w:eastAsia="黑体" w:cs="黑体"/>
        <w:sz w:val="32"/>
        <w:szCs w:val="32"/>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jYjE0YTc4ZjU1MmZmNDVjODIwMWQ4ZTIwNTRmMDYifQ=="/>
  </w:docVars>
  <w:rsids>
    <w:rsidRoot w:val="00000000"/>
    <w:rsid w:val="01297564"/>
    <w:rsid w:val="016F7099"/>
    <w:rsid w:val="043E4264"/>
    <w:rsid w:val="04992949"/>
    <w:rsid w:val="05C0515E"/>
    <w:rsid w:val="088C017B"/>
    <w:rsid w:val="08EA3C4D"/>
    <w:rsid w:val="08EB0353"/>
    <w:rsid w:val="095A6D85"/>
    <w:rsid w:val="096E2876"/>
    <w:rsid w:val="0973464C"/>
    <w:rsid w:val="097A01C6"/>
    <w:rsid w:val="0B8C2821"/>
    <w:rsid w:val="0BC30111"/>
    <w:rsid w:val="0BE360C6"/>
    <w:rsid w:val="0CA54015"/>
    <w:rsid w:val="0CAC2B9A"/>
    <w:rsid w:val="0DA864B6"/>
    <w:rsid w:val="0DBA3094"/>
    <w:rsid w:val="106C658C"/>
    <w:rsid w:val="12EA5F2E"/>
    <w:rsid w:val="14255766"/>
    <w:rsid w:val="16016957"/>
    <w:rsid w:val="16B15ACF"/>
    <w:rsid w:val="17121C7C"/>
    <w:rsid w:val="19C257AA"/>
    <w:rsid w:val="19EE5025"/>
    <w:rsid w:val="1BDD2B65"/>
    <w:rsid w:val="1DDF7F48"/>
    <w:rsid w:val="1ED03DDD"/>
    <w:rsid w:val="1EDD45AF"/>
    <w:rsid w:val="1F880146"/>
    <w:rsid w:val="20A501BD"/>
    <w:rsid w:val="22981523"/>
    <w:rsid w:val="23006CC6"/>
    <w:rsid w:val="25777D91"/>
    <w:rsid w:val="277A3B68"/>
    <w:rsid w:val="283E520D"/>
    <w:rsid w:val="283F26BC"/>
    <w:rsid w:val="2BFE644D"/>
    <w:rsid w:val="2BFEC9F4"/>
    <w:rsid w:val="2D8B73E4"/>
    <w:rsid w:val="2F7FD2BD"/>
    <w:rsid w:val="2FBE78D3"/>
    <w:rsid w:val="30367CA9"/>
    <w:rsid w:val="31480833"/>
    <w:rsid w:val="321356CB"/>
    <w:rsid w:val="32A372A9"/>
    <w:rsid w:val="33265EB1"/>
    <w:rsid w:val="35925B41"/>
    <w:rsid w:val="359427CF"/>
    <w:rsid w:val="35B069A7"/>
    <w:rsid w:val="35B53AC7"/>
    <w:rsid w:val="371A3C18"/>
    <w:rsid w:val="37816E26"/>
    <w:rsid w:val="382C2F15"/>
    <w:rsid w:val="38B630A8"/>
    <w:rsid w:val="39065214"/>
    <w:rsid w:val="39644874"/>
    <w:rsid w:val="396C9D84"/>
    <w:rsid w:val="3BED5822"/>
    <w:rsid w:val="3D3C3A57"/>
    <w:rsid w:val="3D841332"/>
    <w:rsid w:val="3D9B7F3D"/>
    <w:rsid w:val="42181748"/>
    <w:rsid w:val="42C87E0B"/>
    <w:rsid w:val="42F45EE4"/>
    <w:rsid w:val="442C6FB0"/>
    <w:rsid w:val="4570065B"/>
    <w:rsid w:val="46876CBA"/>
    <w:rsid w:val="483C767F"/>
    <w:rsid w:val="491D6188"/>
    <w:rsid w:val="49231401"/>
    <w:rsid w:val="4E1575D4"/>
    <w:rsid w:val="4EE7123F"/>
    <w:rsid w:val="4EF8680A"/>
    <w:rsid w:val="4F325912"/>
    <w:rsid w:val="4F37E562"/>
    <w:rsid w:val="4FD55E05"/>
    <w:rsid w:val="50FA5CA9"/>
    <w:rsid w:val="51B6571C"/>
    <w:rsid w:val="523302EC"/>
    <w:rsid w:val="52747EDD"/>
    <w:rsid w:val="53EF5893"/>
    <w:rsid w:val="54506176"/>
    <w:rsid w:val="55B32BE1"/>
    <w:rsid w:val="55B81234"/>
    <w:rsid w:val="57F684B9"/>
    <w:rsid w:val="58193B65"/>
    <w:rsid w:val="58F212EB"/>
    <w:rsid w:val="5974C6A5"/>
    <w:rsid w:val="59AB505F"/>
    <w:rsid w:val="5A9E52D8"/>
    <w:rsid w:val="5AD65DED"/>
    <w:rsid w:val="5B8250A9"/>
    <w:rsid w:val="5BBABCD3"/>
    <w:rsid w:val="5BBF057B"/>
    <w:rsid w:val="5DA56FD4"/>
    <w:rsid w:val="5DF30BC0"/>
    <w:rsid w:val="5E914CAB"/>
    <w:rsid w:val="5ED06E7C"/>
    <w:rsid w:val="5F2E3793"/>
    <w:rsid w:val="5FAB3CAB"/>
    <w:rsid w:val="5FD38613"/>
    <w:rsid w:val="61EF74F3"/>
    <w:rsid w:val="62010F1C"/>
    <w:rsid w:val="62AE51B8"/>
    <w:rsid w:val="62DF57A3"/>
    <w:rsid w:val="63FFE14F"/>
    <w:rsid w:val="658A0094"/>
    <w:rsid w:val="67E75E28"/>
    <w:rsid w:val="67F9B487"/>
    <w:rsid w:val="683A1F7D"/>
    <w:rsid w:val="694FD349"/>
    <w:rsid w:val="69684B84"/>
    <w:rsid w:val="69DFDA7A"/>
    <w:rsid w:val="6AC94BD4"/>
    <w:rsid w:val="6AE33185"/>
    <w:rsid w:val="6AFFD25C"/>
    <w:rsid w:val="6C2162FF"/>
    <w:rsid w:val="6C397F1D"/>
    <w:rsid w:val="6C4F1B65"/>
    <w:rsid w:val="6C621AA2"/>
    <w:rsid w:val="6C857302"/>
    <w:rsid w:val="6DEC3D19"/>
    <w:rsid w:val="6DFFF35B"/>
    <w:rsid w:val="6F2F1ACE"/>
    <w:rsid w:val="71530B04"/>
    <w:rsid w:val="71692D83"/>
    <w:rsid w:val="72A37CB3"/>
    <w:rsid w:val="73690BFC"/>
    <w:rsid w:val="737A6CB7"/>
    <w:rsid w:val="739E5AB6"/>
    <w:rsid w:val="73CE6C29"/>
    <w:rsid w:val="73F3C998"/>
    <w:rsid w:val="73FEDBA5"/>
    <w:rsid w:val="742D1BD6"/>
    <w:rsid w:val="75FF1A2F"/>
    <w:rsid w:val="763F731E"/>
    <w:rsid w:val="764C0E19"/>
    <w:rsid w:val="770E4080"/>
    <w:rsid w:val="77C11408"/>
    <w:rsid w:val="77E1A146"/>
    <w:rsid w:val="786D1E64"/>
    <w:rsid w:val="78B73EB0"/>
    <w:rsid w:val="78D710DF"/>
    <w:rsid w:val="78D85759"/>
    <w:rsid w:val="79310F86"/>
    <w:rsid w:val="79552D6D"/>
    <w:rsid w:val="79B6EFBE"/>
    <w:rsid w:val="7A7FCBFA"/>
    <w:rsid w:val="7D166040"/>
    <w:rsid w:val="7D472A36"/>
    <w:rsid w:val="7DEB30E6"/>
    <w:rsid w:val="7DFEA6E3"/>
    <w:rsid w:val="7E3F75D1"/>
    <w:rsid w:val="7E563D3E"/>
    <w:rsid w:val="7EB9A8BB"/>
    <w:rsid w:val="7EDFF25D"/>
    <w:rsid w:val="7EF6144E"/>
    <w:rsid w:val="7F5F00AC"/>
    <w:rsid w:val="7FBBD9A2"/>
    <w:rsid w:val="7FBF7CBE"/>
    <w:rsid w:val="8FEECC3A"/>
    <w:rsid w:val="9E5B927C"/>
    <w:rsid w:val="AFEBCE71"/>
    <w:rsid w:val="AFEF0200"/>
    <w:rsid w:val="B5F6B824"/>
    <w:rsid w:val="B7DC9208"/>
    <w:rsid w:val="B7F3B228"/>
    <w:rsid w:val="B7FF069C"/>
    <w:rsid w:val="BF5F0AC9"/>
    <w:rsid w:val="DE7F0BAA"/>
    <w:rsid w:val="DFE7074E"/>
    <w:rsid w:val="E1BC9018"/>
    <w:rsid w:val="E47BF67F"/>
    <w:rsid w:val="E4FF8837"/>
    <w:rsid w:val="E77FB319"/>
    <w:rsid w:val="E7FA5878"/>
    <w:rsid w:val="EDF06AF0"/>
    <w:rsid w:val="EFFB65E2"/>
    <w:rsid w:val="F3FB6BED"/>
    <w:rsid w:val="F5EEE1AC"/>
    <w:rsid w:val="F67A6DCA"/>
    <w:rsid w:val="F8B9DE89"/>
    <w:rsid w:val="F902EC2A"/>
    <w:rsid w:val="FACF33FB"/>
    <w:rsid w:val="FBE7A1ED"/>
    <w:rsid w:val="FBED45E4"/>
    <w:rsid w:val="FBF6E8AA"/>
    <w:rsid w:val="FDDF7D3E"/>
    <w:rsid w:val="FDF3BF33"/>
    <w:rsid w:val="FE5EF9D5"/>
    <w:rsid w:val="FEBFFF04"/>
    <w:rsid w:val="FEFF5CE9"/>
    <w:rsid w:val="FF712B2B"/>
    <w:rsid w:val="FFEFDEEB"/>
    <w:rsid w:val="FFEFE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left="0" w:leftChars="0" w:firstLine="420" w:firstLineChars="200"/>
    </w:pPr>
  </w:style>
  <w:style w:type="paragraph" w:styleId="3">
    <w:name w:val="Body Text Indent"/>
    <w:basedOn w:val="1"/>
    <w:qFormat/>
    <w:uiPriority w:val="0"/>
    <w:pPr>
      <w:spacing w:afterLines="0" w:afterAutospacing="0"/>
      <w:ind w:left="420" w:leftChars="200"/>
    </w:pPr>
  </w:style>
  <w:style w:type="paragraph" w:styleId="5">
    <w:name w:val="table of authorities"/>
    <w:basedOn w:val="1"/>
    <w:next w:val="1"/>
    <w:qFormat/>
    <w:uiPriority w:val="0"/>
    <w:pPr>
      <w:ind w:left="20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91"/>
    <w:next w:val="1"/>
    <w:qFormat/>
    <w:uiPriority w:val="99"/>
    <w:pPr>
      <w:wordWrap w:val="0"/>
      <w:ind w:left="2975"/>
      <w:jc w:val="both"/>
    </w:pPr>
    <w:rPr>
      <w:rFonts w:ascii="Calibri" w:hAnsi="Calibri" w:eastAsia="宋体" w:cs="Calibri"/>
      <w:kern w:val="0"/>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4667</Words>
  <Characters>4796</Characters>
  <Lines>0</Lines>
  <Paragraphs>0</Paragraphs>
  <TotalTime>3</TotalTime>
  <ScaleCrop>false</ScaleCrop>
  <LinksUpToDate>false</LinksUpToDate>
  <CharactersWithSpaces>4800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2024-07-16T02:41:00Z</dcterms:created>
  <dc:creator>Administrator</dc:creator>
  <cp:lastModifiedBy>office</cp:lastModifiedBy>
  <cp:lastPrinted>2024-07-19T08:42:00Z</cp:lastPrinted>
  <dcterms:modified xsi:type="dcterms:W3CDTF">2026-07-03T16:09:27Z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C01517923F524315AF43E92F6726112E_12</vt:lpwstr>
  </property>
</Properties>
</file>