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firstLine="643" w:firstLineChars="0"/>
        <w:textAlignment w:val="auto"/>
        <w:outlineLvl w:val="9"/>
        <w:rPr>
          <w:rFonts w:hint="eastAsia" w:ascii="Times New Roman" w:hAnsi="Times New Roman" w:eastAsia="仿宋_GB2312" w:cs="Times New Roman"/>
          <w:sz w:val="32"/>
          <w:szCs w:val="20"/>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3" w:firstLineChars="0"/>
        <w:textAlignment w:val="auto"/>
        <w:outlineLvl w:val="9"/>
        <w:rPr>
          <w:rFonts w:hint="eastAsia" w:ascii="Times New Roman" w:hAnsi="Times New Roman" w:eastAsia="仿宋_GB2312" w:cs="Times New Roman"/>
          <w:sz w:val="32"/>
          <w:szCs w:val="20"/>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left"/>
        <w:textAlignment w:val="auto"/>
        <w:outlineLvl w:val="9"/>
        <w:rPr>
          <w:rFonts w:hint="eastAsia" w:ascii="Times New Roman" w:hAnsi="Times New Roman" w:eastAsia="仿宋_GB2312" w:cs="Times New Roman"/>
          <w:sz w:val="32"/>
          <w:szCs w:val="20"/>
          <w:lang w:val="en-US" w:eastAsia="zh-CN"/>
        </w:rPr>
      </w:pPr>
      <w:r>
        <w:rPr>
          <w:rFonts w:hint="eastAsia" w:ascii="Times New Roman" w:hAnsi="Times New Roman" w:eastAsia="仿宋_GB2312" w:cs="Times New Roman"/>
          <w:sz w:val="32"/>
          <w:szCs w:val="20"/>
          <w:lang w:val="en-US" w:eastAsia="zh-CN"/>
        </w:rPr>
        <w:t>B类</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0"/>
        <w:jc w:val="right"/>
        <w:textAlignment w:val="auto"/>
        <w:outlineLvl w:val="9"/>
        <w:rPr>
          <w:rFonts w:hint="default" w:ascii="Times New Roman" w:hAnsi="Times New Roman" w:eastAsia="仿宋_GB2312" w:cs="Times New Roman"/>
          <w:sz w:val="32"/>
          <w:szCs w:val="20"/>
          <w:lang w:val="en-US" w:eastAsia="zh-CN"/>
        </w:rPr>
      </w:pPr>
      <w:r>
        <w:rPr>
          <w:rFonts w:hint="eastAsia" w:ascii="Times New Roman" w:hAnsi="Times New Roman" w:eastAsia="仿宋_GB2312" w:cs="Times New Roman"/>
          <w:sz w:val="32"/>
          <w:szCs w:val="20"/>
          <w:lang w:val="en-US" w:eastAsia="zh-CN"/>
        </w:rPr>
        <w:t xml:space="preserve">                        汕工信函</w:t>
      </w:r>
      <w:bookmarkStart w:id="0" w:name="OLE_LINK3"/>
      <w:r>
        <w:rPr>
          <w:rFonts w:hint="eastAsia" w:ascii="Times New Roman" w:hAnsi="Times New Roman" w:eastAsia="仿宋_GB2312" w:cs="Times New Roman"/>
          <w:sz w:val="32"/>
          <w:szCs w:val="20"/>
          <w:lang w:val="en-US" w:eastAsia="zh-CN"/>
        </w:rPr>
        <w:t>〔2026〕171</w:t>
      </w:r>
      <w:bookmarkStart w:id="1" w:name="_GoBack"/>
      <w:bookmarkEnd w:id="1"/>
      <w:r>
        <w:rPr>
          <w:rFonts w:hint="eastAsia" w:ascii="Times New Roman" w:hAnsi="Times New Roman" w:eastAsia="仿宋_GB2312" w:cs="Times New Roman"/>
          <w:sz w:val="32"/>
          <w:szCs w:val="20"/>
          <w:lang w:val="en-US" w:eastAsia="zh-CN"/>
        </w:rPr>
        <w:t>号</w:t>
      </w:r>
    </w:p>
    <w:bookmarkEnd w:id="0"/>
    <w:p>
      <w:pPr>
        <w:keepNext w:val="0"/>
        <w:keepLines w:val="0"/>
        <w:pageBreakBefore w:val="0"/>
        <w:widowControl w:val="0"/>
        <w:kinsoku/>
        <w:wordWrap/>
        <w:overflowPunct/>
        <w:topLinePunct w:val="0"/>
        <w:autoSpaceDE/>
        <w:autoSpaceDN/>
        <w:bidi w:val="0"/>
        <w:adjustRightInd/>
        <w:snapToGrid/>
        <w:spacing w:line="600" w:lineRule="exact"/>
        <w:ind w:firstLine="643" w:firstLineChars="0"/>
        <w:jc w:val="left"/>
        <w:textAlignment w:val="auto"/>
        <w:outlineLvl w:val="9"/>
        <w:rPr>
          <w:rFonts w:hint="default" w:ascii="Times New Roman" w:hAnsi="Times New Roman" w:eastAsia="仿宋_GB2312" w:cs="Times New Roman"/>
          <w:sz w:val="32"/>
          <w:szCs w:val="20"/>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3" w:firstLineChars="0"/>
        <w:jc w:val="center"/>
        <w:textAlignment w:val="auto"/>
        <w:outlineLvl w:val="9"/>
        <w:rPr>
          <w:rFonts w:hint="eastAsia" w:ascii="楷体_GB2312" w:hAnsi="楷体_GB2312" w:eastAsia="楷体_GB2312" w:cs="楷体_GB2312"/>
          <w:sz w:val="32"/>
          <w:szCs w:val="32"/>
          <w:lang w:eastAsia="zh-CN"/>
        </w:rPr>
      </w:pPr>
      <w:r>
        <w:rPr>
          <w:rFonts w:hint="eastAsia" w:ascii="方正小标宋简体" w:hAnsi="方正小标宋简体" w:eastAsia="方正小标宋简体" w:cs="方正小标宋简体"/>
          <w:sz w:val="44"/>
          <w:szCs w:val="44"/>
          <w:lang w:eastAsia="zh-CN"/>
        </w:rPr>
        <w:t>关于对汕头</w:t>
      </w:r>
      <w:r>
        <w:rPr>
          <w:rFonts w:hint="eastAsia" w:ascii="方正小标宋简体" w:hAnsi="方正小标宋简体" w:eastAsia="方正小标宋简体" w:cs="方正小标宋简体"/>
          <w:sz w:val="44"/>
          <w:szCs w:val="44"/>
        </w:rPr>
        <w:t>市政协十四届</w:t>
      </w:r>
      <w:r>
        <w:rPr>
          <w:rFonts w:hint="eastAsia" w:ascii="方正小标宋简体" w:hAnsi="方正小标宋简体" w:eastAsia="方正小标宋简体" w:cs="方正小标宋简体"/>
          <w:sz w:val="44"/>
          <w:szCs w:val="44"/>
          <w:lang w:eastAsia="zh-CN"/>
        </w:rPr>
        <w:t>五</w:t>
      </w:r>
      <w:r>
        <w:rPr>
          <w:rFonts w:hint="eastAsia" w:ascii="方正小标宋简体" w:hAnsi="方正小标宋简体" w:eastAsia="方正小标宋简体" w:cs="方正小标宋简体"/>
          <w:sz w:val="44"/>
          <w:szCs w:val="44"/>
        </w:rPr>
        <w:t>次会议第</w:t>
      </w:r>
      <w:r>
        <w:rPr>
          <w:rFonts w:hint="eastAsia" w:ascii="Times New Roman" w:hAnsi="Times New Roman" w:eastAsia="方正小标宋简体" w:cs="Times New Roman"/>
          <w:sz w:val="44"/>
          <w:szCs w:val="44"/>
          <w:lang w:val="en" w:eastAsia="zh-CN"/>
        </w:rPr>
        <w:t>20260039</w:t>
      </w:r>
      <w:r>
        <w:rPr>
          <w:rFonts w:hint="eastAsia" w:ascii="方正小标宋简体" w:hAnsi="方正小标宋简体" w:eastAsia="方正小标宋简体" w:cs="方正小标宋简体"/>
          <w:sz w:val="44"/>
          <w:szCs w:val="44"/>
        </w:rPr>
        <w:t>号</w:t>
      </w:r>
      <w:r>
        <w:rPr>
          <w:rFonts w:hint="eastAsia" w:ascii="方正小标宋简体" w:hAnsi="方正小标宋简体" w:eastAsia="方正小标宋简体" w:cs="方正小标宋简体"/>
          <w:sz w:val="44"/>
          <w:szCs w:val="44"/>
          <w:lang w:eastAsia="zh-CN"/>
        </w:rPr>
        <w:t>提案的答复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仿宋_GB2312"/>
          <w:strike/>
          <w:dstrike w:val="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 w:eastAsia="zh-CN"/>
        </w:rPr>
        <w:t>曾牡甘委员：</w:t>
      </w:r>
    </w:p>
    <w:p>
      <w:pPr>
        <w:keepNext w:val="0"/>
        <w:keepLines w:val="0"/>
        <w:pageBreakBefore w:val="0"/>
        <w:widowControl w:val="0"/>
        <w:kinsoku/>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US" w:eastAsia="zh-CN"/>
        </w:rPr>
        <w:t>您提出的《关于加力培育专精特新企业 完善汕头产业集群生态的提案》收悉。根据提案办理要求，经综合有关单位意见，现将办理有关情况答复如下：</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相关工作开展情况</w:t>
      </w:r>
    </w:p>
    <w:p>
      <w:pPr>
        <w:keepNext w:val="0"/>
        <w:keepLines w:val="0"/>
        <w:pageBreakBefore w:val="0"/>
        <w:widowControl w:val="0"/>
        <w:kinsoku/>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sectPr>
          <w:pgSz w:w="11906" w:h="16838"/>
          <w:pgMar w:top="2098" w:right="1474" w:bottom="1984" w:left="1587" w:header="851" w:footer="992" w:gutter="0"/>
          <w:pgNumType w:fmt="decimal" w:start="2"/>
          <w:cols w:space="425" w:num="1"/>
          <w:docGrid w:type="lines" w:linePitch="312" w:charSpace="0"/>
        </w:sectPr>
      </w:pPr>
      <w:r>
        <w:rPr>
          <w:rFonts w:hint="eastAsia" w:ascii="Times New Roman" w:hAnsi="Times New Roman" w:eastAsia="仿宋_GB2312" w:cs="Times New Roman"/>
          <w:sz w:val="32"/>
          <w:lang w:val="en-US" w:eastAsia="zh-CN"/>
        </w:rPr>
        <w:t>我们赞同您关于加力培育专精特新企业，完善汕头产业集群生态的建议，与我局当前推进的重点工作高度契合，具有很强的针对性和指导性。培育“专精特新”企业，对提升中小企业创新能力和专业化水平，促进中小企业高质量发展，助力实现产业基础高级化和产业链现代化，攻克关键核心技术和解决“卡脖子”问题具有重要意义。近年来，我市高度重视优质中小企业培育工作，深入贯彻习近平总书记关于“激发涌现更多专精特新中小企业”等精神，认真落实国家、省、市工作部署，培育一批既有创</w:t>
      </w:r>
    </w:p>
    <w:p>
      <w:pPr>
        <w:keepNext w:val="0"/>
        <w:keepLines w:val="0"/>
        <w:pageBreakBefore w:val="0"/>
        <w:widowControl w:val="0"/>
        <w:kinsoku/>
        <w:overflowPunct/>
        <w:topLinePunct w:val="0"/>
        <w:autoSpaceDE/>
        <w:autoSpaceDN/>
        <w:bidi w:val="0"/>
        <w:adjustRightInd/>
        <w:snapToGrid/>
        <w:spacing w:line="600" w:lineRule="exact"/>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US" w:eastAsia="zh-CN"/>
        </w:rPr>
        <w:t>新力又有持续力的专精特新企业，推动我市新一轮产业结构优化调整，打造具有汕头特色的小而美高质量经济实体，为坚定不移走“工业立市、产业强市”之路打下坚实基础。</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val="en-US" w:eastAsia="zh-CN"/>
        </w:rPr>
        <w:t>落实多层扶持政策，兑现专精特新奖补红利。</w:t>
      </w:r>
    </w:p>
    <w:p>
      <w:pPr>
        <w:keepNext w:val="0"/>
        <w:keepLines w:val="0"/>
        <w:pageBreakBefore w:val="0"/>
        <w:widowControl w:val="0"/>
        <w:kinsoku/>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US" w:eastAsia="zh-CN"/>
        </w:rPr>
        <w:t>国家、省、市各级政府部门高度重视专精特新企业培育工作，出台相关扶持政策，分层次给予不同梯队的专精特新企业奖励，不断释放利好信号，深入推进我市专精特新企业大纵深发展。</w:t>
      </w:r>
    </w:p>
    <w:p>
      <w:pPr>
        <w:keepNext w:val="0"/>
        <w:keepLines w:val="0"/>
        <w:pageBreakBefore w:val="0"/>
        <w:widowControl w:val="0"/>
        <w:numPr>
          <w:ilvl w:val="0"/>
          <w:numId w:val="0"/>
        </w:numPr>
        <w:tabs>
          <w:tab w:val="left" w:pos="847"/>
        </w:tabs>
        <w:kinsoku/>
        <w:wordWrap/>
        <w:overflowPunct/>
        <w:topLinePunct w:val="0"/>
        <w:autoSpaceDE/>
        <w:autoSpaceDN/>
        <w:bidi w:val="0"/>
        <w:adjustRightInd/>
        <w:snapToGrid/>
        <w:spacing w:line="600" w:lineRule="exact"/>
        <w:ind w:firstLine="642" w:firstLineChars="200"/>
        <w:jc w:val="both"/>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b/>
          <w:bCs/>
          <w:sz w:val="32"/>
          <w:lang w:val="en-US" w:eastAsia="zh-CN"/>
        </w:rPr>
        <w:t>1.国家级政策。</w:t>
      </w:r>
      <w:r>
        <w:rPr>
          <w:rFonts w:hint="eastAsia" w:ascii="Times New Roman" w:hAnsi="Times New Roman" w:eastAsia="仿宋_GB2312" w:cs="Times New Roman"/>
          <w:sz w:val="32"/>
          <w:lang w:val="en-US" w:eastAsia="zh-CN"/>
        </w:rPr>
        <w:t>对获得国家重点小巨人支持的企业补贴600万元，支持企业打造新动能、攻坚新技术、开发新产品、强化产业链配套能力。</w:t>
      </w:r>
    </w:p>
    <w:p>
      <w:pPr>
        <w:keepNext w:val="0"/>
        <w:keepLines w:val="0"/>
        <w:pageBreakBefore w:val="0"/>
        <w:widowControl w:val="0"/>
        <w:numPr>
          <w:ilvl w:val="0"/>
          <w:numId w:val="0"/>
        </w:numPr>
        <w:tabs>
          <w:tab w:val="left" w:pos="847"/>
        </w:tabs>
        <w:kinsoku/>
        <w:wordWrap/>
        <w:overflowPunct/>
        <w:topLinePunct w:val="0"/>
        <w:autoSpaceDE/>
        <w:autoSpaceDN/>
        <w:bidi w:val="0"/>
        <w:adjustRightInd/>
        <w:snapToGrid/>
        <w:spacing w:line="600" w:lineRule="exact"/>
        <w:ind w:firstLine="642" w:firstLineChars="200"/>
        <w:jc w:val="both"/>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b/>
          <w:bCs/>
          <w:sz w:val="32"/>
          <w:lang w:val="en-US" w:eastAsia="zh-CN"/>
        </w:rPr>
        <w:t>2.省级扶持政策。一是</w:t>
      </w:r>
      <w:r>
        <w:rPr>
          <w:rFonts w:hint="eastAsia" w:ascii="Times New Roman" w:hAnsi="Times New Roman" w:eastAsia="仿宋_GB2312" w:cs="Times New Roman"/>
          <w:sz w:val="32"/>
          <w:lang w:val="en-US" w:eastAsia="zh-CN"/>
        </w:rPr>
        <w:t>专精特新小巨人企业资格性奖补，对新认定的小巨人企业每家120万奖补。</w:t>
      </w:r>
      <w:r>
        <w:rPr>
          <w:rFonts w:hint="eastAsia" w:ascii="Times New Roman" w:hAnsi="Times New Roman" w:eastAsia="仿宋_GB2312" w:cs="Times New Roman"/>
          <w:b/>
          <w:bCs/>
          <w:sz w:val="32"/>
          <w:lang w:val="en-US" w:eastAsia="zh-CN"/>
        </w:rPr>
        <w:t>二是</w:t>
      </w:r>
      <w:r>
        <w:rPr>
          <w:rFonts w:hint="eastAsia" w:ascii="Times New Roman" w:hAnsi="Times New Roman" w:eastAsia="仿宋_GB2312" w:cs="Times New Roman"/>
          <w:sz w:val="32"/>
          <w:lang w:val="en-US" w:eastAsia="zh-CN"/>
        </w:rPr>
        <w:t>对省级“专精特新”中小企业贷款贴息奖补，按照每家不超过100万元，不超过利息金额50%的标准给予贴息支持，进一步支持专精特新企业增资扩产，转型升级、做大做强。</w:t>
      </w:r>
    </w:p>
    <w:p>
      <w:pPr>
        <w:keepNext w:val="0"/>
        <w:keepLines w:val="0"/>
        <w:pageBreakBefore w:val="0"/>
        <w:widowControl w:val="0"/>
        <w:kinsoku/>
        <w:overflowPunct/>
        <w:topLinePunct w:val="0"/>
        <w:autoSpaceDE/>
        <w:autoSpaceDN/>
        <w:bidi w:val="0"/>
        <w:adjustRightInd/>
        <w:snapToGrid/>
        <w:spacing w:line="600" w:lineRule="exact"/>
        <w:ind w:firstLine="642"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b/>
          <w:bCs/>
          <w:sz w:val="32"/>
          <w:lang w:val="en-US" w:eastAsia="zh-CN"/>
        </w:rPr>
        <w:t>3.市级扶持政策。</w:t>
      </w:r>
      <w:r>
        <w:rPr>
          <w:rFonts w:hint="eastAsia" w:ascii="Times New Roman" w:hAnsi="Times New Roman" w:eastAsia="仿宋_GB2312" w:cs="Times New Roman"/>
          <w:sz w:val="32"/>
          <w:lang w:val="en-US" w:eastAsia="zh-CN"/>
        </w:rPr>
        <w:t>以精细化工优秀人才培训政策、创客汕头比赛政策，整合形成支持组合拳，营造良好的营商环境，推动我市专精特新企业加快发展。</w:t>
      </w:r>
      <w:r>
        <w:rPr>
          <w:rFonts w:hint="eastAsia" w:ascii="Times New Roman" w:hAnsi="Times New Roman" w:eastAsia="仿宋_GB2312" w:cs="Times New Roman"/>
          <w:b/>
          <w:bCs/>
          <w:sz w:val="32"/>
          <w:lang w:val="en-US" w:eastAsia="zh-CN"/>
        </w:rPr>
        <w:t>一是</w:t>
      </w:r>
      <w:r>
        <w:rPr>
          <w:rFonts w:hint="eastAsia" w:ascii="Times New Roman" w:hAnsi="Times New Roman" w:eastAsia="仿宋_GB2312" w:cs="Times New Roman"/>
          <w:sz w:val="32"/>
          <w:lang w:val="en-US" w:eastAsia="zh-CN"/>
        </w:rPr>
        <w:t>精细化工优秀人才培训政策。专门面向专精特新中小企业及专精特新小巨人等优质企业，着力培养造就一批职业化、现代化、国际化的精细化工产业的优秀经营管理负责人和技术领军人才，不断厚植优秀人才沃土，不断提升人才整体素质，为促进中小企业专精特新发展提供坚实的人才保证和广泛的智力支撑。“2026年汕头市精细化工企业经营管理人才培训班”共有61名经营管理者和技术人员参训，参训企业涵盖培训3家国家级专精特新“小巨人”企业、19家省级专精特新企业。</w:t>
      </w:r>
      <w:r>
        <w:rPr>
          <w:rFonts w:hint="eastAsia" w:ascii="Times New Roman" w:hAnsi="Times New Roman" w:eastAsia="仿宋_GB2312" w:cs="Times New Roman"/>
          <w:b/>
          <w:bCs/>
          <w:sz w:val="32"/>
          <w:lang w:val="en-US" w:eastAsia="zh-CN"/>
        </w:rPr>
        <w:t>二是</w:t>
      </w:r>
      <w:r>
        <w:rPr>
          <w:rFonts w:hint="eastAsia" w:ascii="Times New Roman" w:hAnsi="Times New Roman" w:eastAsia="仿宋_GB2312" w:cs="Times New Roman"/>
          <w:sz w:val="32"/>
          <w:lang w:val="en-US" w:eastAsia="zh-CN"/>
        </w:rPr>
        <w:t>举办以“专精特新”企业为参赛主体创客汕头赛事。在市财政的大力支持下，依托创客广东汕头地市赛，汕头历届大赛重点聚焦“专精特新”，重点动员我市专精特新企业参赛，全力推进全市中小企业创新创业提质升级。</w:t>
      </w:r>
      <w:r>
        <w:rPr>
          <w:rFonts w:hint="default" w:ascii="Times New Roman" w:hAnsi="Times New Roman" w:eastAsia="仿宋_GB2312" w:cs="Times New Roman"/>
          <w:sz w:val="32"/>
          <w:lang w:val="en" w:eastAsia="zh-CN"/>
        </w:rPr>
        <w:t>202</w:t>
      </w:r>
      <w:r>
        <w:rPr>
          <w:rFonts w:hint="eastAsia" w:ascii="Times New Roman" w:hAnsi="Times New Roman" w:eastAsia="仿宋_GB2312" w:cs="Times New Roman"/>
          <w:sz w:val="32"/>
          <w:lang w:val="en-US" w:eastAsia="zh-CN"/>
        </w:rPr>
        <w:t>5年，大赛共动员了我市国家专精特新“小巨人“企业9家、省级“专精特新”中小企业数62家企业参赛，占全市“专精特新”企业总数比例约25%</w:t>
      </w:r>
      <w:r>
        <w:rPr>
          <w:rFonts w:hint="eastAsia" w:ascii="Times New Roman" w:hAnsi="Times New Roman" w:eastAsia="仿宋_GB2312" w:cs="Times New Roman"/>
          <w:sz w:val="32"/>
          <w:lang w:val="en" w:eastAsia="zh-CN"/>
        </w:rPr>
        <w:t>。</w:t>
      </w:r>
      <w:r>
        <w:rPr>
          <w:rFonts w:hint="eastAsia" w:ascii="Times New Roman" w:hAnsi="Times New Roman" w:eastAsia="仿宋_GB2312" w:cs="Times New Roman"/>
          <w:sz w:val="32"/>
          <w:lang w:val="en-US" w:eastAsia="zh-CN"/>
        </w:rPr>
        <w:t>创客汕头大赛为专精特新中小企业搭建起交流展示、产融对接、项目孵化的优质平台；同时邀请投融资机构加入大赛，借助金融“活水”赋能赛事，发掘和培育优质项目，跟进项目落地。</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仿宋_GB2312"/>
          <w:sz w:val="32"/>
          <w:szCs w:val="32"/>
          <w:lang w:eastAsia="zh-CN"/>
        </w:rPr>
      </w:pPr>
      <w:r>
        <w:rPr>
          <w:rFonts w:hint="eastAsia" w:ascii="楷体_GB2312" w:hAnsi="楷体_GB2312" w:eastAsia="楷体_GB2312" w:cs="楷体_GB2312"/>
          <w:sz w:val="32"/>
          <w:szCs w:val="32"/>
          <w:lang w:eastAsia="zh-CN"/>
        </w:rPr>
        <w:t>完善梯度培育布局，壮大优质企业集群规模。</w:t>
      </w:r>
    </w:p>
    <w:p>
      <w:pPr>
        <w:keepNext w:val="0"/>
        <w:keepLines w:val="0"/>
        <w:pageBreakBefore w:val="0"/>
        <w:widowControl w:val="0"/>
        <w:kinsoku/>
        <w:overflowPunct/>
        <w:topLinePunct w:val="0"/>
        <w:autoSpaceDE/>
        <w:autoSpaceDN/>
        <w:bidi w:val="0"/>
        <w:adjustRightInd/>
        <w:snapToGrid/>
        <w:spacing w:line="600" w:lineRule="exact"/>
        <w:ind w:firstLine="642"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b/>
          <w:bCs/>
          <w:sz w:val="32"/>
          <w:lang w:val="en-US" w:eastAsia="zh-CN"/>
        </w:rPr>
        <w:t>一是</w:t>
      </w:r>
      <w:r>
        <w:rPr>
          <w:rFonts w:hint="eastAsia" w:ascii="Times New Roman" w:hAnsi="Times New Roman" w:eastAsia="仿宋_GB2312" w:cs="Times New Roman"/>
          <w:sz w:val="32"/>
          <w:lang w:val="en-US" w:eastAsia="zh-CN"/>
        </w:rPr>
        <w:t>梯度培育格局不断向好。在有效期内我市专精特新小巨人企业数量为14家，在全省排名第11位；在粤东西北12个地市中排名第2位。专精特新企业297家，在全省排名第9位；在粤东西北12个地市中排名第1位；在东西两翼7市中排名第1位。创新型中小企业387家。目前，我市已经形成了以国家级专精特新“小巨人”企业为引领、省级专精特新企业为骨干、创新型中小企业为储备，层次鲜明、路径精准的梯度培育格局。</w:t>
      </w:r>
    </w:p>
    <w:p>
      <w:pPr>
        <w:keepNext w:val="0"/>
        <w:keepLines w:val="0"/>
        <w:pageBreakBefore w:val="0"/>
        <w:widowControl w:val="0"/>
        <w:kinsoku/>
        <w:overflowPunct/>
        <w:topLinePunct w:val="0"/>
        <w:autoSpaceDE/>
        <w:autoSpaceDN/>
        <w:bidi w:val="0"/>
        <w:adjustRightInd/>
        <w:snapToGrid/>
        <w:spacing w:line="600" w:lineRule="exact"/>
        <w:ind w:firstLine="642"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b/>
          <w:bCs/>
          <w:sz w:val="32"/>
          <w:lang w:val="en-US" w:eastAsia="zh-CN"/>
        </w:rPr>
        <w:t>二是</w:t>
      </w:r>
      <w:r>
        <w:rPr>
          <w:rFonts w:hint="eastAsia" w:ascii="Times New Roman" w:hAnsi="Times New Roman" w:eastAsia="仿宋_GB2312" w:cs="Times New Roman"/>
          <w:sz w:val="32"/>
          <w:lang w:val="en-US" w:eastAsia="zh-CN"/>
        </w:rPr>
        <w:t>分布区域和行业相对集中。从区域分布看，全市297家省级以上专精特新企业中，分布在金平区75家、龙湖区51家、濠江区23家、澄海区51家、潮阳区21家、潮南区33家，高新区26家、综保区16家、华侨试验区1家；全市14家国家级专精特新“小巨人”企业中，金平区5家，龙湖区4家，濠江区1家，澄海区1家，高新区1家，综保区2家；全市387家创新型中小企业中，金平区89家、龙湖区68家、濠江区33家、澄海区69家、潮阳区24家、潮南区42家、高新区41家、综保区18家、华侨试验区3家。从行业分布看，全市专精特新企业整体行业主要分布在工艺玩具、新材料、高端装备、新一代电子信息技术以及橡胶和塑料制品，属于“三新两特一大”产业的企业有172家，占总数的58%；全市创新型中小企业属于“三新两特一大”产业的企业有228家，占总数的58%。</w:t>
      </w:r>
    </w:p>
    <w:p>
      <w:pPr>
        <w:keepNext w:val="0"/>
        <w:keepLines w:val="0"/>
        <w:pageBreakBefore w:val="0"/>
        <w:widowControl w:val="0"/>
        <w:kinsoku/>
        <w:overflowPunct/>
        <w:topLinePunct w:val="0"/>
        <w:autoSpaceDE/>
        <w:autoSpaceDN/>
        <w:bidi w:val="0"/>
        <w:adjustRightInd/>
        <w:snapToGrid/>
        <w:spacing w:line="600" w:lineRule="exact"/>
        <w:ind w:firstLine="642"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b/>
          <w:bCs/>
          <w:sz w:val="32"/>
          <w:lang w:val="en-US" w:eastAsia="zh-CN"/>
        </w:rPr>
        <w:t>三是</w:t>
      </w:r>
      <w:r>
        <w:rPr>
          <w:rFonts w:hint="eastAsia" w:ascii="Times New Roman" w:hAnsi="Times New Roman" w:eastAsia="仿宋_GB2312" w:cs="Times New Roman"/>
          <w:sz w:val="32"/>
          <w:lang w:val="en-US" w:eastAsia="zh-CN"/>
        </w:rPr>
        <w:t>细分领域表现突出。全市专精特新中小企业中拥有一批在全国叫得响的名优特产品，形成了一批在行业细分领域的单打冠军企业。西陇科学、光华科技被评为“中国化学试剂行业十强企业”；美联新材是国内色母粒行业领头羊，也是色母粒行业里第一家上市企业；贝斯特产品技术达国际先进水平，市场占有率居全球前列。英联包装主导产品金属易开盖全国市场占有率排名前三；金晖隆的主导产品填补国内空白，实现替代进口；骏码凯撒的LED显示专用环氧胶打破国外垄断，国内市场占有率排名第一；俊国机电的MDM钢板多维标识设备打破国外垄断。华兴冶金的高效铜冷却设备和电机精密铜件、同行科技的体育大数据平台等在国内外市场都占有较高市场份额。</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搭建综合服务平台，精准破解企业申报难题。</w:t>
      </w:r>
      <w:r>
        <w:rPr>
          <w:rFonts w:hint="eastAsia" w:ascii="Times New Roman" w:hAnsi="Times New Roman" w:eastAsia="仿宋_GB2312" w:cs="Times New Roman"/>
          <w:sz w:val="32"/>
          <w:lang w:val="en-US" w:eastAsia="zh-CN"/>
        </w:rPr>
        <w:t>建立专精特新企业专家服务团队，为企业提供技术难点、痛点解决方案；搭建汕头市专精特新企业服务平台，内嵌企业网上申报前置测试模块，测评企业认定资格，帮助企业解决申报认定疑难问题，推送惠企暖企政策。开展政策“面对面”宣讲，采取“线上直播+线下四进”形式，走进企业、园区、区县、协会、确保培育库企业全覆盖，为专精企业提供政策咨询、申报辅导、政策解读等各类服务，帮助企业理解国家、省、市政策，提升企业政策知晓率，引导企业进行项目申报。</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多部门协同施策，构建全方位培育服务体系。</w:t>
      </w:r>
      <w:r>
        <w:rPr>
          <w:rFonts w:hint="eastAsia" w:ascii="Times New Roman" w:hAnsi="Times New Roman" w:eastAsia="仿宋_GB2312" w:cs="Times New Roman"/>
          <w:sz w:val="32"/>
          <w:lang w:val="en-US" w:eastAsia="zh-CN"/>
        </w:rPr>
        <w:t>我市认真贯彻落实《广东省推动专精特新企业高质量发展的指导意见》，市直各部门积极制定出台各项政策举措合力推动专精特新中小企业高质量发展。市工信局指导市智能制造产业协会联合市专精特新“小巨人”企业成立专精特新企业发展联盟，并开发建设“专精特新”企业自评估平台，常态化为企业提供申报自评估功能并形成分析报告定向发给企业，联盟定期开展政策宣讲和培育辅导，多举措推动企业“进阶式”发展。市科技局组织实施2024年中央引导地方科技发展资金，设立重点产业关键核心技术攻关、省实验室基础与应用基础研究等专题，支持“三新两特一大”重点产业发展和“双十”战略性产业的“卡脖子”技术或关键核心技术攻关，加快提升自主创新能力。市财政局开展提升广东区域性股权市场服务科技创新效能，发挥广东股权交易中心“华侨板”作用，增设“专精特新”专板，积极发挥广东股交汕头分公司在拓宽企业融资渠道、培育孵化企业转板等方面积极作用。市税务局举办“春风化雨润企心”中小企业座谈会。组织青年讲师团为“专精特新”“三新两特一大”和新办企业提供政策问需专项服务；汇编税收政策指引，组建税费辅导专业团队，为“专精特新”中小企业提供“点对点”精细服务，实行“一企一策”个性化服务模式以及线上全天候咨询服务模式。截止目前，我市共出台的支持专精特新中小企业高质量发展举措40多条，开展各类政策宣讲培训服务活动19次；上门指导服务企业15次。</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val="en-US" w:eastAsia="zh-CN"/>
        </w:rPr>
        <w:t>组建产业创新联合体，聚力攻坚共性关键技术。</w:t>
      </w:r>
      <w:r>
        <w:rPr>
          <w:rFonts w:hint="eastAsia" w:ascii="Times New Roman" w:hAnsi="Times New Roman" w:eastAsia="仿宋_GB2312" w:cs="Times New Roman"/>
          <w:sz w:val="32"/>
          <w:lang w:val="en-US" w:eastAsia="zh-CN"/>
        </w:rPr>
        <w:t>2025年12月，出台《汕头市创新联合体建设工作指引》，聚焦集中力量突破一批共性“卡脖子”技术，计划支持一批由龙头企业牵头、高校院所支撑、产业链各创新主体相互协同的创新联合体，促进产业链上下游科技企业协同创新。截至目前，由专精特新“小巨人”企业广东奥斯博膜技术有限公司牵头组建的汕头首家创新联合体—“汕头市高性能分离膜创新联合体”在汕头综合保税区成立，汇聚高校、科研院所及产业链上下游企业力量，瞄准行业共性关键技术难题，开展有组织的科研攻关，形成协同创新格局。</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引育科技创新人才，夯实产业创新智力支撑。</w:t>
      </w:r>
      <w:r>
        <w:rPr>
          <w:rFonts w:hint="eastAsia" w:ascii="Times New Roman" w:hAnsi="Times New Roman" w:eastAsia="仿宋_GB2312" w:cs="Times New Roman"/>
          <w:sz w:val="32"/>
          <w:lang w:val="en-US" w:eastAsia="zh-CN"/>
        </w:rPr>
        <w:t>以引进、培育高端人才为抓手，建设高素质科技人才队伍。围绕量子材料与调控、细胞谱系与精准医学、脑机接口等主题，高水平办好11场“南澳科学会议”等。实施市精细化工企业引进科技领军人才团队立项项目7项，助推全市精细化工产业创新发展。向上级推荐申报人才项目65项。聚焦外国人来华工作服务需求，推出《外国人来华工作许可业务办理便民服务手册》“一本通”、外国人工作许可证和社保卡融合集成“一卡通”、外籍人才工作许可与居留许可“一窗通”便利化措施，提升涉外人才服务效能。</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jc w:val="both"/>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开展专题招聘活动，打通企业用工供需渠道。</w:t>
      </w:r>
      <w:r>
        <w:rPr>
          <w:rFonts w:hint="eastAsia" w:ascii="Times New Roman" w:hAnsi="Times New Roman" w:eastAsia="仿宋_GB2312" w:cs="Times New Roman"/>
          <w:sz w:val="32"/>
          <w:lang w:val="en-US" w:eastAsia="zh-CN"/>
        </w:rPr>
        <w:t>以“专精特新”企业校园招聘活动、“百万英才汇南粤”招聘活动等大型招聘活动为抓手，推荐企业赴知名高校参加线下招聘会，扎实开展企业人才对接工作，鼓励和引导高校毕业生到中小企业就业，有效促进企业与高校毕业生快速对接匹配，缓解企业招人难、高校毕业生就业难问题，同时为我市企业高质量发展筑牢人才基座。</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下一步工作计划</w:t>
      </w:r>
    </w:p>
    <w:p>
      <w:pPr>
        <w:keepNext w:val="0"/>
        <w:keepLines w:val="0"/>
        <w:pageBreakBefore w:val="0"/>
        <w:widowControl w:val="0"/>
        <w:kinsoku/>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US" w:eastAsia="zh-CN"/>
        </w:rPr>
        <w:t>下一步，市工业和信息化局将会同市科技局、市人力资源社会保障局等有关单位，充分吸纳您提出的建议，从以下几个方面进一步加大专精特新企业培育力度。</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（一）完善全域分层培育机制，筑牢阶梯式企业培育体系。</w:t>
      </w:r>
    </w:p>
    <w:p>
      <w:pPr>
        <w:keepNext w:val="0"/>
        <w:keepLines w:val="0"/>
        <w:pageBreakBefore w:val="0"/>
        <w:widowControl w:val="0"/>
        <w:kinsoku/>
        <w:overflowPunct/>
        <w:topLinePunct w:val="0"/>
        <w:autoSpaceDE/>
        <w:autoSpaceDN/>
        <w:bidi w:val="0"/>
        <w:adjustRightInd/>
        <w:snapToGrid/>
        <w:spacing w:line="600" w:lineRule="exact"/>
        <w:ind w:firstLine="642"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b/>
          <w:bCs/>
          <w:sz w:val="32"/>
          <w:lang w:val="en-US" w:eastAsia="zh-CN"/>
        </w:rPr>
        <w:t>一是</w:t>
      </w:r>
      <w:r>
        <w:rPr>
          <w:rFonts w:hint="eastAsia" w:ascii="Times New Roman" w:hAnsi="Times New Roman" w:eastAsia="仿宋_GB2312" w:cs="Times New Roman"/>
          <w:sz w:val="32"/>
          <w:lang w:val="en-US" w:eastAsia="zh-CN"/>
        </w:rPr>
        <w:t>建立健全市区两级培育工作专班，实时负责企业培育的联络和沟通协调。对专精特新企业较少的区（功能区）、行业应主动走出去发现、对接，并加强指导，落实各区（功能区）、行业培育任务，并定期进行监督考核。形成省、市、区三级部门纵向，企业、联盟、专业机构横向联动机制。</w:t>
      </w:r>
    </w:p>
    <w:p>
      <w:pPr>
        <w:keepNext w:val="0"/>
        <w:keepLines w:val="0"/>
        <w:pageBreakBefore w:val="0"/>
        <w:widowControl w:val="0"/>
        <w:kinsoku/>
        <w:overflowPunct/>
        <w:topLinePunct w:val="0"/>
        <w:autoSpaceDE/>
        <w:autoSpaceDN/>
        <w:bidi w:val="0"/>
        <w:adjustRightInd/>
        <w:snapToGrid/>
        <w:spacing w:line="600" w:lineRule="exact"/>
        <w:ind w:firstLine="642"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b/>
          <w:bCs/>
          <w:sz w:val="32"/>
          <w:lang w:val="en-US" w:eastAsia="zh-CN"/>
        </w:rPr>
        <w:t>二是</w:t>
      </w:r>
      <w:r>
        <w:rPr>
          <w:rFonts w:hint="eastAsia" w:ascii="Times New Roman" w:hAnsi="Times New Roman" w:eastAsia="仿宋_GB2312" w:cs="Times New Roman"/>
          <w:sz w:val="32"/>
          <w:lang w:val="en-US" w:eastAsia="zh-CN"/>
        </w:rPr>
        <w:t>健全动态发现机制。利用优质中小企业梯度培育平台，搭建优质中小企业数据库，健全“种子企业—市级专精特新—省级专精特新—小巨人”四级企业培育库，推动形成“创新型中小企业、专精特新中小企业、专精特新“小巨人”企业三个层次的梯度培育体系，加强服务对接和监测分析，跟踪企业运行、发展态势、从“被动认定”到“主动培育”，发掘有潜力的企业，有针对性地开展精准服务，帮助其冲刺资格认定。</w:t>
      </w:r>
    </w:p>
    <w:p>
      <w:pPr>
        <w:keepNext w:val="0"/>
        <w:keepLines w:val="0"/>
        <w:pageBreakBefore w:val="0"/>
        <w:widowControl w:val="0"/>
        <w:kinsoku/>
        <w:overflowPunct/>
        <w:topLinePunct w:val="0"/>
        <w:autoSpaceDE/>
        <w:autoSpaceDN/>
        <w:bidi w:val="0"/>
        <w:adjustRightInd/>
        <w:snapToGrid/>
        <w:spacing w:line="600" w:lineRule="exact"/>
        <w:ind w:firstLine="642"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b/>
          <w:bCs/>
          <w:sz w:val="32"/>
          <w:lang w:val="en-US" w:eastAsia="zh-CN"/>
        </w:rPr>
        <w:t>三是</w:t>
      </w:r>
      <w:r>
        <w:rPr>
          <w:rFonts w:hint="eastAsia" w:ascii="Times New Roman" w:hAnsi="Times New Roman" w:eastAsia="仿宋_GB2312" w:cs="Times New Roman"/>
          <w:sz w:val="32"/>
          <w:lang w:val="en-US" w:eastAsia="zh-CN"/>
        </w:rPr>
        <w:t>依托大数据筛选研发强度高、专利储备足、市场潜力大的种子企业，建立动态管理库，实现精准画像与靶向服务。实施“一企一策”辅导机制，邀请专家团队开展申报辅导、对标诊断，对暂未达标但技术领先的企业设立“观察期”，提供定向培育方案，避免优质企业流失。</w:t>
      </w:r>
    </w:p>
    <w:p>
      <w:pPr>
        <w:keepNext w:val="0"/>
        <w:keepLines w:val="0"/>
        <w:pageBreakBefore w:val="0"/>
        <w:widowControl w:val="0"/>
        <w:kinsoku/>
        <w:overflowPunct/>
        <w:topLinePunct w:val="0"/>
        <w:autoSpaceDE/>
        <w:autoSpaceDN/>
        <w:bidi w:val="0"/>
        <w:adjustRightInd/>
        <w:snapToGrid/>
        <w:spacing w:line="600" w:lineRule="exact"/>
        <w:ind w:firstLine="642"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b/>
          <w:bCs/>
          <w:sz w:val="32"/>
          <w:lang w:val="en-US" w:eastAsia="zh-CN"/>
        </w:rPr>
        <w:t>四是</w:t>
      </w:r>
      <w:r>
        <w:rPr>
          <w:rFonts w:hint="eastAsia" w:ascii="Times New Roman" w:hAnsi="Times New Roman" w:eastAsia="仿宋_GB2312" w:cs="Times New Roman"/>
          <w:sz w:val="32"/>
          <w:lang w:val="en-US" w:eastAsia="zh-CN"/>
        </w:rPr>
        <w:t>完善小升规前置培育储备。联动税务、统计、供电部门建立数据共享机制，依托企业营收、用电、纳税数据筛选规下潜力企业，搭建小升规培育库，定期更新跟踪辅导，为专精特新梯度培育输送基层优质企业。</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（二）深化融链固链对接行动，打造产业链协同创新生态。</w:t>
      </w:r>
      <w:r>
        <w:rPr>
          <w:rFonts w:hint="eastAsia" w:ascii="Times New Roman" w:hAnsi="Times New Roman" w:eastAsia="仿宋_GB2312" w:cs="Times New Roman"/>
          <w:sz w:val="32"/>
          <w:lang w:val="en-US" w:eastAsia="zh-CN"/>
        </w:rPr>
        <w:t>深化“大企业发榜、中小企业揭榜”，政府搭台，企业面对面洽谈合作模式，鼓励国有、链主等大企业向专精特新企业扩大市场开放和技术合作机会，发布技术和采购需求，促进专精特新企业融入大企业产业链、供应链、创新链，护航专精特新企业走稳创业路。建立“创新联合体”“链主认证全链通行”等机制，鼓励推动产业集群企业共享专利，提升研发效率降低企业重复研发成本。推动链主企业的供应商认证结果跨企业通用，降低重复认证成本。常态化组织产业链对接活动，围绕新能源、新材料、新一代电子信息、人工智能等主导产业，定期举办“融链固链”专场对接会，推动上下游企业在技术、订单、标准等方面深度协作。举办以专精特新企业为参赛主体创客广东汕头赛事。在各部门的支持下，依托创客广东汕头地市赛，聚焦新质生产力和专精特新企业高质量发展，重点动员我市专精特新企业参赛或发布需求，鼓励专精特新企业参赛项目向高精尖领域延伸，推进全市专精特新企业创新创业提质升级，营造创业创新氛围。</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（三）创新柔性引才育才模式，持续强化人才支撑。</w:t>
      </w:r>
      <w:r>
        <w:rPr>
          <w:rFonts w:hint="eastAsia" w:ascii="Times New Roman" w:hAnsi="Times New Roman" w:eastAsia="仿宋_GB2312" w:cs="Times New Roman"/>
          <w:sz w:val="32"/>
          <w:lang w:val="en-US" w:eastAsia="zh-CN"/>
        </w:rPr>
        <w:t>打造专精特新人才“反向飞地”，争取省的支持，促进汕头专精特新企业在深圳、广州等大湾区建立研发中心、技术中心等，技术人才每年定期到汕为企业服务。建立“工程师共享”机制。借鉴深圳已有平台聚集数万名工程师提供兼职技术服务，推动工程师流动，缓解人才缺乏，助力企业发展。</w:t>
      </w:r>
    </w:p>
    <w:p>
      <w:pPr>
        <w:keepNext w:val="0"/>
        <w:keepLines w:val="0"/>
        <w:pageBreakBefore w:val="0"/>
        <w:widowControl w:val="0"/>
        <w:kinsoku/>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楷体_GB2312" w:hAnsi="楷体_GB2312" w:eastAsia="楷体_GB2312" w:cs="楷体_GB2312"/>
          <w:sz w:val="32"/>
          <w:szCs w:val="32"/>
          <w:lang w:val="en-US" w:eastAsia="zh-CN"/>
        </w:rPr>
        <w:t>（四）激活第三方服务力量，全方位赋能企业提质发展。</w:t>
      </w:r>
      <w:r>
        <w:rPr>
          <w:rFonts w:hint="eastAsia" w:ascii="Times New Roman" w:hAnsi="Times New Roman" w:eastAsia="仿宋_GB2312" w:cs="Times New Roman"/>
          <w:sz w:val="32"/>
          <w:lang w:val="en-US" w:eastAsia="zh-CN"/>
        </w:rPr>
        <w:t>发挥行业协会等社会组织服务中小企业的作用，完善配套政策，为专精特新企业提供政策咨询、创业创新、知识产权、投资融资、人才培训、市场开发、财务指导等各类服务，引导中小企业积极入库及资格认定。通过建设培育库，推动越来越多的中小企业入库培育，推动全市专精特新中小企业量增质稳，行稳致远。</w:t>
      </w:r>
    </w:p>
    <w:p>
      <w:pPr>
        <w:keepNext w:val="0"/>
        <w:keepLines w:val="0"/>
        <w:pageBreakBefore w:val="0"/>
        <w:widowControl w:val="0"/>
        <w:kinsoku/>
        <w:overflowPunct/>
        <w:topLinePunct w:val="0"/>
        <w:autoSpaceDE/>
        <w:autoSpaceDN/>
        <w:bidi w:val="0"/>
        <w:adjustRightInd/>
        <w:snapToGrid/>
        <w:spacing w:line="600" w:lineRule="exact"/>
        <w:ind w:firstLine="640" w:firstLineChars="200"/>
        <w:textAlignment w:val="auto"/>
        <w:rPr>
          <w:rFonts w:hint="eastAsia" w:ascii="Times New Roman" w:hAnsi="Times New Roman" w:eastAsia="仿宋_GB2312" w:cs="Times New Roman"/>
          <w:sz w:val="32"/>
          <w:lang w:val="en-US" w:eastAsia="zh-CN"/>
        </w:rPr>
      </w:pPr>
      <w:r>
        <w:rPr>
          <w:rFonts w:hint="eastAsia" w:ascii="Times New Roman" w:hAnsi="Times New Roman" w:eastAsia="仿宋_GB2312" w:cs="Times New Roman"/>
          <w:sz w:val="32"/>
          <w:lang w:val="en-US" w:eastAsia="zh-CN"/>
        </w:rPr>
        <w:t>专此答复，诚挚感谢您对我们工作的关心和支持，欢迎您继续对我们的工作提出宝贵意见和建议。</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eastAsia="仿宋_GB2312" w:cs="仿宋_GB2312"/>
          <w:sz w:val="32"/>
          <w:szCs w:val="32"/>
        </w:rPr>
      </w:pPr>
    </w:p>
    <w:p>
      <w:pPr>
        <w:keepNext w:val="0"/>
        <w:keepLines w:val="0"/>
        <w:pageBreakBefore w:val="0"/>
        <w:widowControl w:val="0"/>
        <w:kinsoku/>
        <w:overflowPunct/>
        <w:topLinePunct w:val="0"/>
        <w:autoSpaceDE/>
        <w:autoSpaceDN/>
        <w:bidi w:val="0"/>
        <w:adjustRightInd/>
        <w:snapToGrid/>
        <w:spacing w:afterLines="0" w:afterAutospacing="0" w:line="600" w:lineRule="exact"/>
        <w:ind w:left="0" w:leftChars="0" w:firstLine="0" w:firstLineChars="0"/>
        <w:jc w:val="both"/>
        <w:textAlignment w:val="auto"/>
        <w:rPr>
          <w:rFonts w:hint="eastAsia" w:ascii="Times New Roman" w:hAnsi="Times New Roman" w:eastAsia="仿宋" w:cs="Times New Roman"/>
          <w:kern w:val="2"/>
          <w:sz w:val="32"/>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line="600" w:lineRule="exact"/>
        <w:ind w:right="344" w:rightChars="164" w:firstLine="643" w:firstLineChars="0"/>
        <w:jc w:val="right"/>
        <w:textAlignment w:val="auto"/>
        <w:outlineLvl w:val="9"/>
        <w:rPr>
          <w:rFonts w:hint="eastAsia" w:ascii="Times New Roman" w:hAnsi="Times New Roman" w:eastAsia="仿宋_GB2312" w:cs="Times New Roman"/>
          <w:sz w:val="32"/>
          <w:szCs w:val="20"/>
          <w:lang w:val="en-US" w:eastAsia="zh-CN"/>
        </w:rPr>
      </w:pPr>
      <w:r>
        <w:rPr>
          <w:rFonts w:hint="eastAsia" w:ascii="Times New Roman" w:hAnsi="Times New Roman" w:eastAsia="仿宋_GB2312" w:cs="Times New Roman"/>
          <w:sz w:val="32"/>
          <w:szCs w:val="20"/>
          <w:lang w:val="en-US" w:eastAsia="zh-CN"/>
        </w:rPr>
        <w:t>汕头市工业和信息化局</w:t>
      </w:r>
    </w:p>
    <w:p>
      <w:pPr>
        <w:keepNext w:val="0"/>
        <w:keepLines w:val="0"/>
        <w:pageBreakBefore w:val="0"/>
        <w:widowControl w:val="0"/>
        <w:kinsoku/>
        <w:wordWrap w:val="0"/>
        <w:overflowPunct/>
        <w:topLinePunct w:val="0"/>
        <w:autoSpaceDE/>
        <w:autoSpaceDN/>
        <w:bidi w:val="0"/>
        <w:adjustRightInd/>
        <w:snapToGrid/>
        <w:spacing w:line="600" w:lineRule="exact"/>
        <w:jc w:val="right"/>
        <w:textAlignment w:val="auto"/>
        <w:outlineLvl w:val="9"/>
        <w:rPr>
          <w:rFonts w:hint="eastAsia" w:ascii="Times New Roman" w:hAnsi="Times New Roman" w:eastAsia="仿宋_GB2312" w:cs="Times New Roman"/>
          <w:sz w:val="32"/>
          <w:szCs w:val="20"/>
          <w:lang w:val="en-US" w:eastAsia="zh-CN"/>
        </w:rPr>
      </w:pPr>
      <w:r>
        <w:rPr>
          <w:rFonts w:hint="eastAsia" w:ascii="Times New Roman" w:hAnsi="Times New Roman" w:eastAsia="仿宋_GB2312" w:cs="Times New Roman"/>
          <w:sz w:val="32"/>
          <w:szCs w:val="20"/>
          <w:lang w:val="en-US" w:eastAsia="zh-CN"/>
        </w:rPr>
        <w:t xml:space="preserve">2026年7月3日     </w:t>
      </w:r>
    </w:p>
    <w:p>
      <w:pPr>
        <w:pStyle w:val="2"/>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default" w:ascii="Times New Roman" w:hAnsi="Times New Roman" w:eastAsia="仿宋" w:cs="Times New Roman"/>
          <w:sz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default" w:ascii="Times New Roman" w:hAnsi="Times New Roman" w:eastAsia="仿宋" w:cs="Times New Roman"/>
          <w:sz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default"/>
          <w:lang w:val="en-US" w:eastAsia="zh-CN"/>
        </w:rPr>
      </w:pPr>
    </w:p>
    <w:p>
      <w:pPr>
        <w:keepNext w:val="0"/>
        <w:keepLines w:val="0"/>
        <w:pageBreakBefore w:val="0"/>
        <w:widowControl w:val="0"/>
        <w:kinsoku/>
        <w:overflowPunct/>
        <w:topLinePunct w:val="0"/>
        <w:autoSpaceDE/>
        <w:autoSpaceDN/>
        <w:bidi w:val="0"/>
        <w:adjustRightInd/>
        <w:snapToGrid/>
        <w:spacing w:line="600" w:lineRule="exact"/>
        <w:textAlignment w:val="auto"/>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right="0" w:rightChars="0" w:firstLine="0" w:firstLineChars="0"/>
        <w:jc w:val="both"/>
        <w:textAlignment w:val="auto"/>
        <w:outlineLvl w:val="9"/>
        <w:rPr>
          <w:rFonts w:hint="default" w:ascii="Times New Roman" w:hAnsi="Times New Roman" w:eastAsia="仿宋_GB2312" w:cs="Times New Roman"/>
          <w:sz w:val="32"/>
          <w:szCs w:val="32"/>
          <w:u w:val="none"/>
          <w:lang w:val="en-US" w:eastAsia="zh-CN"/>
        </w:rPr>
      </w:pPr>
      <w:r>
        <w:rPr>
          <w:rFonts w:hint="default" w:ascii="Times New Roman" w:hAnsi="Times New Roman" w:eastAsia="仿宋_GB2312" w:cs="Times New Roman"/>
          <w:sz w:val="32"/>
          <w:szCs w:val="32"/>
          <w:u w:val="none"/>
          <w:lang w:val="en-US" w:eastAsia="zh-CN"/>
        </w:rPr>
        <w:t>联系</w:t>
      </w:r>
      <w:r>
        <w:rPr>
          <w:rFonts w:hint="eastAsia" w:ascii="Times New Roman" w:hAnsi="Times New Roman" w:eastAsia="仿宋_GB2312" w:cs="Times New Roman"/>
          <w:sz w:val="32"/>
          <w:szCs w:val="32"/>
          <w:u w:val="none"/>
          <w:lang w:val="en-US" w:eastAsia="zh-CN"/>
        </w:rPr>
        <w:t>科室</w:t>
      </w:r>
      <w:r>
        <w:rPr>
          <w:rFonts w:hint="default" w:ascii="Times New Roman" w:hAnsi="Times New Roman" w:eastAsia="仿宋_GB2312" w:cs="Times New Roman"/>
          <w:sz w:val="32"/>
          <w:szCs w:val="32"/>
          <w:u w:val="none"/>
          <w:lang w:val="en-US" w:eastAsia="zh-CN"/>
        </w:rPr>
        <w:t>：</w:t>
      </w:r>
      <w:r>
        <w:rPr>
          <w:rFonts w:hint="eastAsia" w:ascii="Times New Roman" w:hAnsi="Times New Roman" w:eastAsia="仿宋_GB2312" w:cs="Times New Roman"/>
          <w:sz w:val="32"/>
          <w:szCs w:val="32"/>
          <w:u w:val="none"/>
          <w:lang w:val="en-US" w:eastAsia="zh-CN"/>
        </w:rPr>
        <w:t xml:space="preserve">服务建设与融资促进科        </w:t>
      </w:r>
      <w:r>
        <w:rPr>
          <w:rFonts w:hint="default" w:ascii="Times New Roman" w:hAnsi="Times New Roman" w:eastAsia="仿宋_GB2312" w:cs="Times New Roman"/>
          <w:sz w:val="32"/>
          <w:szCs w:val="32"/>
          <w:u w:val="none"/>
          <w:lang w:val="en-US" w:eastAsia="zh-CN"/>
        </w:rPr>
        <w:t>电话</w:t>
      </w:r>
      <w:r>
        <w:rPr>
          <w:rFonts w:hint="eastAsia" w:ascii="Times New Roman" w:hAnsi="Times New Roman" w:eastAsia="仿宋_GB2312" w:cs="Times New Roman"/>
          <w:sz w:val="32"/>
          <w:szCs w:val="32"/>
          <w:u w:val="none"/>
          <w:lang w:val="en-US" w:eastAsia="zh-CN"/>
        </w:rPr>
        <w:t>：88992021</w:t>
      </w:r>
    </w:p>
    <w:p>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rPr>
      </w:pPr>
      <w:r>
        <w:rPr>
          <w:rFonts w:hint="eastAsia" w:ascii="Times New Roman" w:hAnsi="Times New Roman" w:eastAsia="仿宋_GB2312" w:cs="Times New Roman"/>
          <w:sz w:val="32"/>
          <w:szCs w:val="20"/>
          <w:lang w:val="en-US" w:eastAsia="zh-CN"/>
        </w:rPr>
        <w:t>抄送：市政府办公室、市政协办公室。</w:t>
      </w:r>
    </w:p>
    <w:sectPr>
      <w:footerReference r:id="rId3" w:type="default"/>
      <w:pgSz w:w="11906" w:h="16838"/>
      <w:pgMar w:top="2098" w:right="1474" w:bottom="1984" w:left="1587" w:header="851" w:footer="992" w:gutter="0"/>
      <w:pgNumType w:fmt="decimal"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微软雅黑">
    <w:panose1 w:val="020B0503020204020204"/>
    <w:charset w:val="86"/>
    <w:family w:val="auto"/>
    <w:pitch w:val="default"/>
    <w:sig w:usb0="80000287" w:usb1="2A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950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950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426690"/>
    <w:multiLevelType w:val="singleLevel"/>
    <w:tmpl w:val="9D426690"/>
    <w:lvl w:ilvl="0" w:tentative="0">
      <w:start w:val="1"/>
      <w:numFmt w:val="chineseCounting"/>
      <w:suff w:val="nothing"/>
      <w:lvlText w:val="（%1）"/>
      <w:lvlJc w:val="left"/>
      <w:rPr>
        <w:rFonts w:hint="eastAsia" w:ascii="楷体_GB2312" w:hAnsi="楷体_GB2312" w:eastAsia="楷体_GB2312" w:cs="楷体_GB2312"/>
        <w:sz w:val="32"/>
        <w:szCs w:val="32"/>
      </w:rPr>
    </w:lvl>
  </w:abstractNum>
  <w:abstractNum w:abstractNumId="1">
    <w:nsid w:val="E9513E97"/>
    <w:multiLevelType w:val="singleLevel"/>
    <w:tmpl w:val="E9513E97"/>
    <w:lvl w:ilvl="0" w:tentative="0">
      <w:start w:val="1"/>
      <w:numFmt w:val="chineseCounting"/>
      <w:suff w:val="nothing"/>
      <w:lvlText w:val="%1、"/>
      <w:lvlJc w:val="left"/>
      <w:rPr>
        <w:rFonts w:hint="eastAsia" w:ascii="黑体" w:hAnsi="黑体" w:eastAsia="黑体" w:cs="黑体"/>
        <w:sz w:val="32"/>
        <w:szCs w:val="32"/>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jYjE0YTc4ZjU1MmZmNDVjODIwMWQ4ZTIwNTRmMDYifQ=="/>
  </w:docVars>
  <w:rsids>
    <w:rsidRoot w:val="00000000"/>
    <w:rsid w:val="01297564"/>
    <w:rsid w:val="016F7099"/>
    <w:rsid w:val="043E4264"/>
    <w:rsid w:val="04992949"/>
    <w:rsid w:val="05C0515E"/>
    <w:rsid w:val="088C017B"/>
    <w:rsid w:val="08EA3C4D"/>
    <w:rsid w:val="08EB0353"/>
    <w:rsid w:val="095A6D85"/>
    <w:rsid w:val="096E2876"/>
    <w:rsid w:val="0973464C"/>
    <w:rsid w:val="097A01C6"/>
    <w:rsid w:val="0B8C2821"/>
    <w:rsid w:val="0BC30111"/>
    <w:rsid w:val="0BE360C6"/>
    <w:rsid w:val="0CA54015"/>
    <w:rsid w:val="0CAC2B9A"/>
    <w:rsid w:val="0DA864B6"/>
    <w:rsid w:val="0DBA3094"/>
    <w:rsid w:val="106C658C"/>
    <w:rsid w:val="12EA5F2E"/>
    <w:rsid w:val="13BB2491"/>
    <w:rsid w:val="14255766"/>
    <w:rsid w:val="16016957"/>
    <w:rsid w:val="17121C7C"/>
    <w:rsid w:val="19C257AA"/>
    <w:rsid w:val="19EE5025"/>
    <w:rsid w:val="1DDF7F48"/>
    <w:rsid w:val="1ED03DDD"/>
    <w:rsid w:val="1EDD45AF"/>
    <w:rsid w:val="1F2F948C"/>
    <w:rsid w:val="1F880146"/>
    <w:rsid w:val="20A501BD"/>
    <w:rsid w:val="22981523"/>
    <w:rsid w:val="23006CC6"/>
    <w:rsid w:val="25777D91"/>
    <w:rsid w:val="277A3B68"/>
    <w:rsid w:val="283E520D"/>
    <w:rsid w:val="283F26BC"/>
    <w:rsid w:val="2BFE644D"/>
    <w:rsid w:val="2D8B73E4"/>
    <w:rsid w:val="2FBE78D3"/>
    <w:rsid w:val="30367CA9"/>
    <w:rsid w:val="31480833"/>
    <w:rsid w:val="321356CB"/>
    <w:rsid w:val="32A372A9"/>
    <w:rsid w:val="33265EB1"/>
    <w:rsid w:val="35925B41"/>
    <w:rsid w:val="359427CF"/>
    <w:rsid w:val="35B069A7"/>
    <w:rsid w:val="35B53AC7"/>
    <w:rsid w:val="371A3C18"/>
    <w:rsid w:val="37816E26"/>
    <w:rsid w:val="382C2F15"/>
    <w:rsid w:val="38B630A8"/>
    <w:rsid w:val="39065214"/>
    <w:rsid w:val="39644874"/>
    <w:rsid w:val="396C9D84"/>
    <w:rsid w:val="3BED5822"/>
    <w:rsid w:val="3D3C3A57"/>
    <w:rsid w:val="3D841332"/>
    <w:rsid w:val="3D9B7F3D"/>
    <w:rsid w:val="3E7FB968"/>
    <w:rsid w:val="42181748"/>
    <w:rsid w:val="42C87E0B"/>
    <w:rsid w:val="42F45EE4"/>
    <w:rsid w:val="442C6FB0"/>
    <w:rsid w:val="4570065B"/>
    <w:rsid w:val="46876CBA"/>
    <w:rsid w:val="483C767F"/>
    <w:rsid w:val="491D6188"/>
    <w:rsid w:val="49231401"/>
    <w:rsid w:val="4E1575D4"/>
    <w:rsid w:val="4EE7123F"/>
    <w:rsid w:val="4EF8680A"/>
    <w:rsid w:val="4F2DD3E3"/>
    <w:rsid w:val="4F325912"/>
    <w:rsid w:val="4FD55E05"/>
    <w:rsid w:val="50FA5CA9"/>
    <w:rsid w:val="51B6571C"/>
    <w:rsid w:val="523302EC"/>
    <w:rsid w:val="52747EDD"/>
    <w:rsid w:val="53EF5893"/>
    <w:rsid w:val="54506176"/>
    <w:rsid w:val="55B32BE1"/>
    <w:rsid w:val="55B81234"/>
    <w:rsid w:val="58193B65"/>
    <w:rsid w:val="58F212EB"/>
    <w:rsid w:val="59AB505F"/>
    <w:rsid w:val="5A9E52D8"/>
    <w:rsid w:val="5AD65DED"/>
    <w:rsid w:val="5B8250A9"/>
    <w:rsid w:val="5BBABCD3"/>
    <w:rsid w:val="5DA56FD4"/>
    <w:rsid w:val="5DF30BC0"/>
    <w:rsid w:val="5E914CAB"/>
    <w:rsid w:val="5ED06E7C"/>
    <w:rsid w:val="5F2E3793"/>
    <w:rsid w:val="5FAB3CAB"/>
    <w:rsid w:val="61EF74F3"/>
    <w:rsid w:val="62010F1C"/>
    <w:rsid w:val="62AE51B8"/>
    <w:rsid w:val="62DF57A3"/>
    <w:rsid w:val="63FFE14F"/>
    <w:rsid w:val="658A0094"/>
    <w:rsid w:val="67E75E28"/>
    <w:rsid w:val="683A1F7D"/>
    <w:rsid w:val="69684B84"/>
    <w:rsid w:val="6AC94BD4"/>
    <w:rsid w:val="6AE33185"/>
    <w:rsid w:val="6AFFD25C"/>
    <w:rsid w:val="6C2162FF"/>
    <w:rsid w:val="6C397F1D"/>
    <w:rsid w:val="6C4F1B65"/>
    <w:rsid w:val="6C621AA2"/>
    <w:rsid w:val="6C857302"/>
    <w:rsid w:val="6DEC3D19"/>
    <w:rsid w:val="6DFFB00D"/>
    <w:rsid w:val="6F2F5615"/>
    <w:rsid w:val="71530B04"/>
    <w:rsid w:val="71692D83"/>
    <w:rsid w:val="72A37CB3"/>
    <w:rsid w:val="73690BFC"/>
    <w:rsid w:val="737A6CB7"/>
    <w:rsid w:val="739E5AB6"/>
    <w:rsid w:val="73F3C998"/>
    <w:rsid w:val="742D1BD6"/>
    <w:rsid w:val="763F731E"/>
    <w:rsid w:val="764C0E19"/>
    <w:rsid w:val="770E4080"/>
    <w:rsid w:val="77C11408"/>
    <w:rsid w:val="77E1A146"/>
    <w:rsid w:val="786D1E64"/>
    <w:rsid w:val="78B73EB0"/>
    <w:rsid w:val="78D710DF"/>
    <w:rsid w:val="78D85759"/>
    <w:rsid w:val="79310F86"/>
    <w:rsid w:val="79552D6D"/>
    <w:rsid w:val="79F94123"/>
    <w:rsid w:val="7A7FCBFA"/>
    <w:rsid w:val="7D166040"/>
    <w:rsid w:val="7DEB30E6"/>
    <w:rsid w:val="7DFEEF99"/>
    <w:rsid w:val="7DFF9C30"/>
    <w:rsid w:val="7E563D3E"/>
    <w:rsid w:val="7EB9A8BB"/>
    <w:rsid w:val="7EF6144E"/>
    <w:rsid w:val="7FBBD9A2"/>
    <w:rsid w:val="7FBF7CBE"/>
    <w:rsid w:val="7FFF5A81"/>
    <w:rsid w:val="AE97F8E2"/>
    <w:rsid w:val="AFEBCE71"/>
    <w:rsid w:val="AFEF0200"/>
    <w:rsid w:val="B5F6B824"/>
    <w:rsid w:val="B7DC9208"/>
    <w:rsid w:val="B7FF069C"/>
    <w:rsid w:val="DE7F5796"/>
    <w:rsid w:val="E7FA5878"/>
    <w:rsid w:val="ED3707A7"/>
    <w:rsid w:val="EFEADB3B"/>
    <w:rsid w:val="EFFB65E2"/>
    <w:rsid w:val="F4EDF402"/>
    <w:rsid w:val="F5EEE1AC"/>
    <w:rsid w:val="F67A6DCA"/>
    <w:rsid w:val="F7D4F1CA"/>
    <w:rsid w:val="F902EC2A"/>
    <w:rsid w:val="FBE7A1ED"/>
    <w:rsid w:val="FBED45E4"/>
    <w:rsid w:val="FBF6E8AA"/>
    <w:rsid w:val="FD7E1E56"/>
    <w:rsid w:val="FDF3BF33"/>
    <w:rsid w:val="FEBFFF04"/>
    <w:rsid w:val="FEEFBAF2"/>
    <w:rsid w:val="FEFF5CE9"/>
    <w:rsid w:val="FFF77AF9"/>
    <w:rsid w:val="FFFAEF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left="0" w:leftChars="0" w:firstLine="420" w:firstLineChars="200"/>
    </w:pPr>
  </w:style>
  <w:style w:type="paragraph" w:styleId="3">
    <w:name w:val="Body Text Indent"/>
    <w:basedOn w:val="1"/>
    <w:qFormat/>
    <w:uiPriority w:val="0"/>
    <w:pPr>
      <w:spacing w:afterLines="0" w:afterAutospacing="0"/>
      <w:ind w:left="420" w:leftChars="200"/>
    </w:pPr>
  </w:style>
  <w:style w:type="paragraph" w:styleId="4">
    <w:name w:val="table of authorities"/>
    <w:basedOn w:val="1"/>
    <w:next w:val="1"/>
    <w:qFormat/>
    <w:uiPriority w:val="0"/>
    <w:pPr>
      <w:ind w:left="20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Autospacing="1" w:afterAutospacing="1"/>
    </w:pPr>
  </w:style>
  <w:style w:type="paragraph" w:customStyle="1" w:styleId="10">
    <w:name w:val="目录 91"/>
    <w:next w:val="1"/>
    <w:qFormat/>
    <w:uiPriority w:val="99"/>
    <w:pPr>
      <w:wordWrap w:val="0"/>
      <w:ind w:left="2975"/>
      <w:jc w:val="both"/>
    </w:pPr>
    <w:rPr>
      <w:rFonts w:ascii="Calibri" w:hAnsi="Calibri" w:eastAsia="宋体" w:cs="Calibri"/>
      <w:kern w:val="0"/>
      <w:sz w:val="21"/>
      <w:szCs w:val="21"/>
      <w:lang w:val="en-US" w:eastAsia="zh-CN" w:bidi="ar-SA"/>
    </w:rPr>
  </w:style>
  <w:style w:type="paragraph" w:customStyle="1" w:styleId="11">
    <w:name w:val="912"/>
    <w:basedOn w:val="7"/>
    <w:hidden/>
    <w:qFormat/>
    <w:uiPriority w:val="0"/>
    <w:rPr>
      <w:rFonts w:hint="eastAsia" w:ascii="宋体" w:hAnsi="宋体" w:eastAsia="宋体" w:cs="宋体"/>
      <w:kern w:val="2"/>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4667</Words>
  <Characters>4796</Characters>
  <Lines>0</Lines>
  <Paragraphs>0</Paragraphs>
  <TotalTime>7</TotalTime>
  <ScaleCrop>false</ScaleCrop>
  <LinksUpToDate>false</LinksUpToDate>
  <CharactersWithSpaces>4800</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2024-07-13T18:41:00Z</dcterms:created>
  <dc:creator>Administrator</dc:creator>
  <cp:lastModifiedBy>office</cp:lastModifiedBy>
  <cp:lastPrinted>2024-07-17T00:42:00Z</cp:lastPrinted>
  <dcterms:modified xsi:type="dcterms:W3CDTF">2026-07-03T15:20:37Z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C01517923F524315AF43E92F6726112E_12</vt:lpwstr>
  </property>
</Properties>
</file>