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2026年外经贸发展专项资金进口贴息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事项申报指南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以一般贸易方式、边境贸易方式进口列入商务部、国家发展改革委、财政部发布的《鼓励进口技术和产品目录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以下简称《目录》,目录第二部分鼓励进口的重要装备以财办建〔2025〕9号文件附5为准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中的部分产品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不含旧品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,或自非关联企业引进列入《目录》中的技术。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上述两份文件及其整合后的完整版请见正文的附件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进口产品的申请企业应当是《进口货物报关单》上的消费使用单位；进口技术的申请企业应当是《技术进口合同登记证书》上的技术使用单位。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进口产品应当在2025年1月1日至2025年12月31日期间完成进口报关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以海关结关日期为准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;进口技术应当在2025年1月1日至2025年12月31日期间执行合同，并取得银行出具的付汇凭证。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技术进口合同中不含违反《中华人民共和国技术进出口管理条例》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国务院令第331号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规定的条款。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进口《目录》中“鼓励发展的重点行业”项下的设备，未列入《国内投资项目不予免税的进口商品目录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2012年调整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财政部、国家发展改革委、海关总署、税务总局公告2012年第83号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、工业和信息化部等部门发布的《进口不予免税的重大技术装备和产品目录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符合以上条件的进口产品及技术总额不低于50万美元。西部地区的企业，该标准可降至20万美元。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二、支持方式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对符合以上条件的进口产品及技术给予贴息方式支持。贴息标准如下：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贴息本金。以符合规定条件的产品或技术的进口金额乘以人民币汇率计算。申请项目汇率按中国人民银行公布的2025年12月31日人民币汇率中间价为计算依据。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贴息率。按照不超过中国人民银行公布的2025年12月31日前最近一期人民币一年期贷款市场报价利率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LPR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贴息金额。按照贴息本金乘以贴息率计算，每户企业不超过6000万元人民币，对贴息总额低于50万元人民币的地区和中央企业不予安排贴息资金。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三、填报材料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企业法定代表人签字的申请文件，包括：企业基本情况、进口用途、预计可产生的效益、项目绩效目标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工作和目标完成情况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《2026年进口贴息事项申报说明》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附1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及电子数据。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《2026年进口贴息事项申请表》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附2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及电子数据。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进口产品订货合同或技术进口合同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复印件，非中文版请提供中文翻译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进口产品的，需提供《中华人民共和国海关进口货物报关单》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企业留存联复印件或打印件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进口技术的，需提供《技术进口合同登记证书》、《技术进口合同数据表》及银行出具的注明技术进口合同号的付汇凭证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。技术使用单位与付汇单位不一致的，需提供双方的代理合同。技术进口额是指通过转让、许可、委托开发、合作开发、技术咨询等方式自非关联企业引进《目录》内技术所支付的技术费金额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不含设备、培训、调试、差旅等费用，不含以年度销售额、利润等为基数按比例支付的技术引进费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。付汇凭证上请注明技术引进合同号、技术名称和符合贴息条件的付汇金额。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进口“鼓励发展的重点行业”项下的设备，需提供《国家鼓励发展的内外资项目确认书》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或海关出具的《适用鼓励类产业政策条目确认通知单》,含确认书或通知单所附进口设备清单，复印件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、《进出口货物征免税证明》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及《进口货物报关单》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。依据《产业结构调整指导目录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》之前版本目录出具项目确认文件的，需在申请报告中说明该项目符合《鼓励进口技术和产品目录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条目的序号并作符合条目要求的说明。如因关税为零无法获得免税证明，可不提交免税证明，但应在申请报告中说明有关情况，并提交相关商品为零关税的证明材料；属于《目录》第三部分“鼓励发展的重点行业”中第C51条的，申报时不需提交《国家鼓励发展的内外资项目确认书》,但需提交科技部、国家发展改革委等部门的认定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或重要装备有参数要求的，应逐项对照目录所要求的参数，在申请表的“技术/商品参数”栏填写技术或重要装备的实际参数及参数所在申报材料中页码，提供列明参数的进口合同、技术文件或产品说明书等相关证明材料，并在材料中标示参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引进技术的应说明是否从关联企业引进；企业更名的应说明相关情况并附证明材料。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以上材料均需加盖企业公章。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四、申报材料上报与审核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有关中央企业将申报材料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一式二份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报送到所属中央部门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,有关地方企业将申报材料报送到所在省级商务主管部门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和省级财政部门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有关中央部门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,各省级商务主管部门和省级财政部门应按照《资金办法》和本通知的要求，认真审核所属企业申报材料。审核过程中应注意以下事项：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1.在审核企业提交的复印件材料时，需核对材料的原件，经核对无误后，原件退还企业。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“鼓励进口的重要装备”,应按照《目录》列明的商品名称、商品功能和参数进行判定；成套设备分散报关的，申报产品应为成套设备的组成部分；对“鼓励发展的重点行业”项下进口的设备和零部件，申报产品应列入《国家鼓励发展的内外资项目确认书》或海关出具的《适用鼓励类产业政策条目确认通知单》所附的进口设备清单，且属于《进出口货物征免税证明》认定的免税进口产品；因关税为零无法获得免税证明的，核实产品未列入《国内投资项目不予免税的进口商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2012年调整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》和《进口不予免税的重大技术装备和产品目录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有关中央部门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,各省级商务主管部门和省级财政部门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不含新疆维吾尔自治区及新疆生产建设兵团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应于2026年7月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日前将本部门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或本地区进口贴息申请报告、《2026年进口贴息事项汇总表》、《2026年进口贴息事项绩效目标申报表》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附3、附4,含电子版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报送至商务部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外贸司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、财政部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经济建设司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,将通过本单位审核的企业上报材料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汇总报送至商务部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外贸司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有关中央部门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各省级商务主管部门和省级财政部门未按规定时间送达的，不予受理。商务部委托第三方机构进行评审，将审核合格项目作为安排2027年度外经贸发展资金的依据，并将审核合格项目通知中央有关单位、相关省级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2026年新疆维吾尔自治区及新疆生产建设兵团将按照《商务部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发展改革委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财政部关于运用进口贴息政策支持新疆发展有关问题的通知》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商产函〔2011〕1135号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并结合本地区实际进口符合规定产品情况执行有关政策，按上述第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项要求报送《2026年进口贴息事项绩效目标申报表》。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附：1.2026年进口贴息事项申报说明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2.2026年进口贴息事项申请表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3.2026年进口贴息事项汇总表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17" w:right="1531" w:bottom="1304" w:left="153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4.2026年进口贴息事项绩效目标申报表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1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 w:bidi="zh-CN"/>
        </w:rPr>
        <w:t>-1</w:t>
      </w:r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bookmark2"/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年进口贴息事项申报说明</w:t>
      </w:r>
      <w:bookmarkEnd w:id="0"/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6"/>
        <w:gridCol w:w="2288"/>
        <w:gridCol w:w="2235"/>
        <w:gridCol w:w="211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申请企业名称</w:t>
            </w:r>
          </w:p>
        </w:tc>
        <w:tc>
          <w:tcPr>
            <w:tcW w:w="374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05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法定代表人姓名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企业注册地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省市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企业性质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05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通讯地址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邮政编码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1" w:hRule="exac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申请人郑重声明如下：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1、申请人共上报申报文件资料页；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2、申请人依法注册，具有独立法人资格，并合法经营；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3、申请人申报的所有文件、单证和资料是准确、真实、完整和有效的；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4、申请人申报的所有复印件均与原件核对，完全一致；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5、申请人承诺接受有关主管部门为审核本申请而进行的必要核查。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申请企业法定代表人或授权人：（签名）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申请企业盖章：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tabs>
                <w:tab w:val="left" w:pos="1152"/>
              </w:tabs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日期：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ab/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</w:tr>
      <w:tr>
        <w:trPr>
          <w:trHeight w:val="554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开户银行账户账号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开户银行账户名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开户银行名称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开户行地址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569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企业联系人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电子邮件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移动电话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590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联系传真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说明：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1、申请企业法定代表人或授权人签名栏必须手签，使用名章无效；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2、若由授权人签署，需提交由法定代表人手签并加盖公司印章的授权书原件;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3、银行账户信息必须为公司账户，用于拨付贴息资金，务必正确填写；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4、企业性质：国有、集体、民营、三资、研究院所、高校、其他。</w:t>
      </w:r>
    </w:p>
    <w:p>
      <w:pPr>
        <w:widowControl w:val="0"/>
        <w:spacing w:line="1" w:lineRule="exact"/>
        <w:sectPr>
          <w:footerReference r:id="rId4" w:type="default"/>
          <w:footnotePr>
            <w:numFmt w:val="decimal"/>
          </w:footnotePr>
          <w:pgSz w:w="11900" w:h="16840"/>
          <w:pgMar w:top="1417" w:right="1531" w:bottom="1304" w:left="1531" w:header="0" w:footer="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360" w:charSpace="0"/>
        </w:sectPr>
      </w:pPr>
    </w:p>
    <w:p>
      <w:pPr>
        <w:widowControl w:val="0"/>
        <w:spacing w:line="1" w:lineRule="exact"/>
        <w:rPr>
          <w:rFonts w:ascii="Calibri" w:hAnsi="Calibri" w:eastAsia="宋体" w:cs="黑体"/>
          <w:sz w:val="32"/>
          <w:szCs w:val="32"/>
        </w:rPr>
      </w:pP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1-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2</w:t>
      </w:r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  <w:bookmarkStart w:id="1" w:name="bookmark4"/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年进口贴息事项申请表</w:t>
      </w:r>
      <w:bookmarkEnd w:id="1"/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</w:p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申请企业: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2"/>
        <w:gridCol w:w="3404"/>
        <w:gridCol w:w="2786"/>
        <w:gridCol w:w="2184"/>
        <w:gridCol w:w="1234"/>
        <w:gridCol w:w="2437"/>
        <w:gridCol w:w="876"/>
        <w:gridCol w:w="242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海关报关单号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（技术进口填合同号）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商品税号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（技术进口不填）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参数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实际进口额（美元）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原产地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技术/商品在目录中的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5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8" w:hRule="exact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中央部门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eastAsia="zh-CN"/>
              </w:rPr>
              <w:t>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 w:bidi="en-US"/>
              </w:rPr>
              <w:t>机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构），省、自治区、直辖市、计划单列市商务厅（委、局）意见：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0" w:firstLineChars="1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（盖章）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exact"/>
              <w:ind w:left="3200" w:right="0"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left="0" w:right="0" w:firstLine="0"/>
              <w:jc w:val="both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省、自治区、直辖市、计划单列市财政厅（局）意见：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（盖章）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right="0" w:firstLine="2880" w:firstLineChars="1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1" w:hRule="exact"/>
        </w:trPr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填表要求：</w:t>
            </w:r>
          </w:p>
          <w:p>
            <w:pPr>
              <w:pStyle w:val="11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.本表应按海关报关单列明的项目逐项填报，不得将相同商品合计填报。申报进口产品的，应在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zh-CN" w:eastAsia="zh-CN" w:bidi="zh-CN"/>
              </w:rPr>
              <w:t>“海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关报关单号”栏中准确填写18位海关报关单号。</w:t>
            </w:r>
          </w:p>
          <w:p>
            <w:pPr>
              <w:pStyle w:val="11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对进口技术/产品有参数要求的，应在本表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zh-CN" w:eastAsia="zh-CN" w:bidi="zh-CN"/>
              </w:rPr>
              <w:t>“技术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/商品参数”栏内，填写对应的实际参数，并注明参数在所附材料中的页码。</w:t>
            </w:r>
          </w:p>
          <w:p>
            <w:pPr>
              <w:pStyle w:val="11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3.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《进口货物报关单》或《付汇凭证》以非美元作为计价币种的，应将进口额折算成美元。折算率按照国家外汇管理局202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年12月底公布的《各种货币对美元折算率表》（国家外汇管理局网址：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en-US" w:bidi="en-US"/>
              </w:rPr>
              <w:t>http://www.safe.gov.cn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）计算。</w:t>
            </w:r>
          </w:p>
        </w:tc>
      </w:tr>
    </w:tbl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企业联系人:</w:t>
      </w: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        </w:t>
      </w: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联系电话:</w:t>
      </w:r>
    </w:p>
    <w:p>
      <w:pPr>
        <w:widowControl w:val="0"/>
        <w:spacing w:line="1" w:lineRule="exact"/>
        <w:rPr>
          <w:rFonts w:hint="eastAsia" w:ascii="仿宋_GB2312" w:hAnsi="仿宋_GB2312" w:eastAsia="仿宋_GB2312" w:cs="仿宋_GB2312"/>
          <w:sz w:val="24"/>
          <w:szCs w:val="24"/>
        </w:rPr>
        <w:sectPr>
          <w:footnotePr>
            <w:numFmt w:val="decimal"/>
          </w:footnotePr>
          <w:pgSz w:w="16840" w:h="11900" w:orient="landscape"/>
          <w:pgMar w:top="360" w:right="360" w:bottom="360" w:left="360" w:header="0" w:footer="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360" w:charSpace="0"/>
        </w:sectPr>
      </w:pPr>
    </w:p>
    <w:p>
      <w:pPr>
        <w:widowControl w:val="0"/>
        <w:spacing w:line="1" w:lineRule="exact"/>
        <w:rPr>
          <w:rFonts w:ascii="Calibri" w:hAnsi="Calibri" w:eastAsia="宋体" w:cs="黑体"/>
          <w:sz w:val="32"/>
          <w:szCs w:val="32"/>
        </w:rPr>
      </w:pP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1-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3</w:t>
      </w:r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2" w:name="bookmark6"/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年进口贴息事项汇总表</w:t>
      </w:r>
      <w:bookmarkEnd w:id="2"/>
    </w:p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中央部门（机构）、地区:</w:t>
      </w: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0"/>
        <w:gridCol w:w="1376"/>
        <w:gridCol w:w="2645"/>
        <w:gridCol w:w="2058"/>
        <w:gridCol w:w="1818"/>
        <w:gridCol w:w="2119"/>
        <w:gridCol w:w="1670"/>
        <w:gridCol w:w="1370"/>
        <w:gridCol w:w="18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6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序号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企业名称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海关报关单号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（技术进口填合同号）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商品税号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（技术进口不填）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技术/商品名称</w:t>
            </w: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技术/商品参数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实际进口额（美元）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原产地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技术/商品在目录中的序号</w:t>
            </w:r>
          </w:p>
        </w:tc>
      </w:tr>
      <w:tr>
        <w:trPr>
          <w:trHeight w:val="547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540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12" w:hRule="exac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总计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</w:pPr>
    </w:p>
    <w:p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本表填报耍求同附2。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</w:pP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商务部门联系人: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联系电话: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8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财政部门联系人: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联系电话:</w:t>
      </w:r>
    </w:p>
    <w:p>
      <w:pPr>
        <w:widowControl w:val="0"/>
        <w:spacing w:line="1" w:lineRule="exact"/>
        <w:rPr>
          <w:rFonts w:hint="eastAsia" w:ascii="仿宋_GB2312" w:hAnsi="仿宋_GB2312" w:eastAsia="仿宋_GB2312" w:cs="仿宋_GB2312"/>
          <w:sz w:val="24"/>
          <w:szCs w:val="24"/>
        </w:rPr>
        <w:sectPr>
          <w:footnotePr>
            <w:numFmt w:val="decimal"/>
          </w:footnotePr>
          <w:pgSz w:w="16840" w:h="11900" w:orient="landscape"/>
          <w:pgMar w:top="360" w:right="360" w:bottom="360" w:left="360" w:header="0" w:footer="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360" w:charSpace="0"/>
        </w:sectPr>
      </w:pPr>
    </w:p>
    <w:p>
      <w:pPr>
        <w:widowControl w:val="0"/>
        <w:spacing w:line="1" w:lineRule="exact"/>
        <w:rPr>
          <w:rFonts w:ascii="Calibri" w:hAnsi="Calibri" w:eastAsia="宋体" w:cs="黑体"/>
          <w:sz w:val="32"/>
          <w:szCs w:val="32"/>
        </w:rPr>
      </w:pP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12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1-</w:t>
      </w:r>
      <w:r>
        <w:rPr>
          <w:rStyle w:val="12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4</w:t>
      </w: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Style w:val="18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8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8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</w:t>
      </w:r>
      <w:r>
        <w:rPr>
          <w:rStyle w:val="18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贴</w:t>
      </w:r>
      <w:r>
        <w:rPr>
          <w:rStyle w:val="18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息事项绩效目标申报表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8"/>
        <w:gridCol w:w="1131"/>
        <w:gridCol w:w="1945"/>
        <w:gridCol w:w="2910"/>
        <w:gridCol w:w="19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exact"/>
        </w:trPr>
        <w:tc>
          <w:tcPr>
            <w:tcW w:w="1184" w:type="pct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项目名称</w:t>
            </w:r>
          </w:p>
        </w:tc>
        <w:tc>
          <w:tcPr>
            <w:tcW w:w="381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外经贸发展专项资金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  <w:lang w:eastAsia="zh-CN"/>
              </w:rPr>
              <w:t>——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进口贴息事项</w:t>
            </w:r>
          </w:p>
        </w:tc>
      </w:tr>
      <w:tr>
        <w:trPr>
          <w:trHeight w:val="461" w:hRule="exact"/>
        </w:trPr>
        <w:tc>
          <w:tcPr>
            <w:tcW w:w="1184" w:type="pct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中央主管部门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商务部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省级财政部门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1184" w:type="pct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省级主管部门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具体实施单位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rPr>
          <w:trHeight w:val="468" w:hRule="exact"/>
        </w:trPr>
        <w:tc>
          <w:tcPr>
            <w:tcW w:w="118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exact"/>
              <w:ind w:left="0" w:right="0" w:firstLine="0"/>
              <w:jc w:val="center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资金情况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（万元）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年度资金总额：</w:t>
            </w:r>
          </w:p>
        </w:tc>
        <w:tc>
          <w:tcPr>
            <w:tcW w:w="271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exact"/>
        </w:trPr>
        <w:tc>
          <w:tcPr>
            <w:tcW w:w="1184" w:type="pct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其中：中央财政拨款</w:t>
            </w:r>
          </w:p>
        </w:tc>
        <w:tc>
          <w:tcPr>
            <w:tcW w:w="271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rPr>
          <w:trHeight w:val="454" w:hRule="exact"/>
        </w:trPr>
        <w:tc>
          <w:tcPr>
            <w:tcW w:w="1184" w:type="pct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其他资金</w:t>
            </w:r>
          </w:p>
        </w:tc>
        <w:tc>
          <w:tcPr>
            <w:tcW w:w="271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4" w:hRule="exact"/>
        </w:trPr>
        <w:tc>
          <w:tcPr>
            <w:tcW w:w="54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总体目标</w:t>
            </w:r>
          </w:p>
        </w:tc>
        <w:tc>
          <w:tcPr>
            <w:tcW w:w="445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目标1: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目标2：</w:t>
            </w:r>
          </w:p>
        </w:tc>
      </w:tr>
      <w:tr>
        <w:trPr>
          <w:trHeight w:val="698" w:hRule="exact"/>
        </w:trPr>
        <w:tc>
          <w:tcPr>
            <w:tcW w:w="546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绩效指标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一级指标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二级指标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三级指标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</w:trPr>
        <w:tc>
          <w:tcPr>
            <w:tcW w:w="546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37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产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  <w:lang w:eastAsia="zh-CN"/>
              </w:rPr>
              <w:t>出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指标</w:t>
            </w:r>
          </w:p>
        </w:tc>
        <w:tc>
          <w:tcPr>
            <w:tcW w:w="1097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数量指标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带动设备、技术、零部件进口金额（万美元）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546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3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9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进口设备、技术、零部件的条目数量（条）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</w:trPr>
        <w:tc>
          <w:tcPr>
            <w:tcW w:w="546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37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效益指标</w:t>
            </w:r>
          </w:p>
        </w:tc>
        <w:tc>
          <w:tcPr>
            <w:tcW w:w="1097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社会效益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进口设备、零部件后生产的最终产品质量提升*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546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3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9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进口技术后提升现有技术水平*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</w:trPr>
        <w:tc>
          <w:tcPr>
            <w:tcW w:w="546" w:type="pct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37" w:type="pct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可持续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  <w:lang w:eastAsia="zh-CN"/>
              </w:rPr>
              <w:t>影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响指标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1"/>
                <w:szCs w:val="21"/>
              </w:rPr>
              <w:t>对国内产业链供应链稳定性的影响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Style w:val="20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1"/>
          <w:szCs w:val="21"/>
        </w:rPr>
        <w:t>备注：1.加“*”三级指标指标为选填指标，各单位至少需选填1项指标。</w:t>
      </w:r>
    </w:p>
    <w:p>
      <w:pPr>
        <w:pStyle w:val="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  <w:rPr>
          <w:rStyle w:val="18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1"/>
          <w:szCs w:val="21"/>
          <w:lang w:eastAsia="zh-CN"/>
        </w:rPr>
      </w:pPr>
      <w:r>
        <w:rPr>
          <w:rStyle w:val="20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1"/>
          <w:szCs w:val="21"/>
        </w:rPr>
        <w:t>2.其他资金是指企业自身投入进口先进设备、技术、关键零部件的金额。</w:t>
      </w:r>
    </w:p>
    <w:sectPr>
      <w:pgSz w:w="11906" w:h="16838"/>
      <w:pgMar w:top="1417" w:right="1531" w:bottom="130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MingLiU">
    <w:altName w:val="Noto Sans CJK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MingLiU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77931D"/>
    <w:multiLevelType w:val="singleLevel"/>
    <w:tmpl w:val="ED77931D"/>
    <w:lvl w:ilvl="0" w:tentative="0">
      <w:start w:val="1"/>
      <w:numFmt w:val="decimal"/>
      <w:lvlText w:val="%1"/>
      <w:lvlJc w:val="left"/>
      <w:rPr>
        <w:rFonts w:ascii="PMingLiU" w:hAnsi="PMingLiU" w:eastAsia="PMingLiU" w:cs="PMingLiU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BFF4275"/>
    <w:rsid w:val="34F7EFB5"/>
    <w:rsid w:val="5D6CA00E"/>
    <w:rsid w:val="65A73E55"/>
    <w:rsid w:val="6763150A"/>
    <w:rsid w:val="6D776B5A"/>
    <w:rsid w:val="730F90FC"/>
    <w:rsid w:val="7AFB65AA"/>
    <w:rsid w:val="DFD8855F"/>
    <w:rsid w:val="EF7E9C20"/>
    <w:rsid w:val="EFCE54A3"/>
    <w:rsid w:val="F5EFBB03"/>
    <w:rsid w:val="F6E96628"/>
    <w:rsid w:val="FACB6E48"/>
    <w:rsid w:val="FCB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黑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Header or footer|1"/>
    <w:link w:val="8"/>
    <w:qFormat/>
    <w:uiPriority w:val="0"/>
    <w:pPr>
      <w:widowControl w:val="0"/>
      <w:shd w:val="clear" w:color="auto" w:fill="auto"/>
      <w:jc w:val="both"/>
    </w:pPr>
    <w:rPr>
      <w:rFonts w:ascii="PMingLiU" w:hAnsi="PMingLiU" w:eastAsia="PMingLiU" w:cs="PMingLiU"/>
      <w:kern w:val="2"/>
      <w:sz w:val="20"/>
      <w:szCs w:val="20"/>
      <w:u w:val="none"/>
      <w:lang w:val="zh-TW" w:eastAsia="zh-TW" w:bidi="zh-TW"/>
    </w:rPr>
  </w:style>
  <w:style w:type="character" w:customStyle="1" w:styleId="8">
    <w:name w:val="Header or footer|1_"/>
    <w:link w:val="7"/>
    <w:qFormat/>
    <w:uiPriority w:val="0"/>
    <w:rPr>
      <w:rFonts w:ascii="PMingLiU" w:hAnsi="PMingLiU" w:eastAsia="PMingLiU" w:cs="PMingLiU"/>
      <w:kern w:val="2"/>
      <w:sz w:val="20"/>
      <w:szCs w:val="20"/>
      <w:u w:val="none"/>
      <w:lang w:val="zh-TW" w:eastAsia="zh-TW" w:bidi="zh-TW"/>
    </w:rPr>
  </w:style>
  <w:style w:type="paragraph" w:customStyle="1" w:styleId="9">
    <w:name w:val="Heading #2|1"/>
    <w:link w:val="10"/>
    <w:qFormat/>
    <w:uiPriority w:val="0"/>
    <w:pPr>
      <w:widowControl w:val="0"/>
      <w:shd w:val="clear" w:color="auto" w:fill="auto"/>
      <w:spacing w:after="360"/>
      <w:jc w:val="center"/>
      <w:outlineLvl w:val="1"/>
    </w:pPr>
    <w:rPr>
      <w:rFonts w:ascii="MingLiU" w:hAnsi="MingLiU" w:eastAsia="MingLiU" w:cs="MingLiU"/>
      <w:kern w:val="2"/>
      <w:sz w:val="32"/>
      <w:szCs w:val="32"/>
      <w:u w:val="none"/>
      <w:lang w:val="zh-TW" w:eastAsia="zh-TW" w:bidi="zh-TW"/>
    </w:rPr>
  </w:style>
  <w:style w:type="character" w:customStyle="1" w:styleId="10">
    <w:name w:val="Heading #2|1_"/>
    <w:link w:val="9"/>
    <w:qFormat/>
    <w:uiPriority w:val="0"/>
    <w:rPr>
      <w:rFonts w:ascii="MingLiU" w:hAnsi="MingLiU" w:eastAsia="MingLiU" w:cs="MingLiU"/>
      <w:kern w:val="2"/>
      <w:sz w:val="32"/>
      <w:szCs w:val="32"/>
      <w:u w:val="none"/>
      <w:lang w:val="zh-TW" w:eastAsia="zh-TW" w:bidi="zh-TW"/>
    </w:rPr>
  </w:style>
  <w:style w:type="paragraph" w:customStyle="1" w:styleId="11">
    <w:name w:val="Other|1"/>
    <w:link w:val="12"/>
    <w:qFormat/>
    <w:uiPriority w:val="0"/>
    <w:pPr>
      <w:widowControl w:val="0"/>
      <w:shd w:val="clear" w:color="auto" w:fill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2">
    <w:name w:val="Other|1_"/>
    <w:link w:val="11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3">
    <w:name w:val="Body text|1"/>
    <w:link w:val="14"/>
    <w:qFormat/>
    <w:uiPriority w:val="0"/>
    <w:pPr>
      <w:widowControl w:val="0"/>
      <w:shd w:val="clear" w:color="auto" w:fill="auto"/>
      <w:spacing w:line="269" w:lineRule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4">
    <w:name w:val="Body text|1_"/>
    <w:link w:val="13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5">
    <w:name w:val="Table caption|1"/>
    <w:link w:val="16"/>
    <w:qFormat/>
    <w:uiPriority w:val="0"/>
    <w:pPr>
      <w:widowControl w:val="0"/>
      <w:shd w:val="clear" w:color="auto" w:fill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6">
    <w:name w:val="Table caption|1_"/>
    <w:link w:val="15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7">
    <w:name w:val="Body text|2"/>
    <w:link w:val="18"/>
    <w:qFormat/>
    <w:uiPriority w:val="0"/>
    <w:pPr>
      <w:widowControl w:val="0"/>
      <w:shd w:val="clear" w:color="auto" w:fill="auto"/>
      <w:spacing w:line="611" w:lineRule="exact"/>
      <w:ind w:firstLine="760"/>
      <w:jc w:val="both"/>
    </w:pPr>
    <w:rPr>
      <w:rFonts w:ascii="MingLiU" w:hAnsi="MingLiU" w:eastAsia="MingLiU" w:cs="MingLiU"/>
      <w:kern w:val="2"/>
      <w:sz w:val="26"/>
      <w:szCs w:val="26"/>
      <w:u w:val="none"/>
      <w:lang w:val="zh-TW" w:eastAsia="zh-TW" w:bidi="zh-TW"/>
    </w:rPr>
  </w:style>
  <w:style w:type="character" w:customStyle="1" w:styleId="18">
    <w:name w:val="Body text|2_"/>
    <w:link w:val="17"/>
    <w:qFormat/>
    <w:uiPriority w:val="0"/>
    <w:rPr>
      <w:rFonts w:ascii="MingLiU" w:hAnsi="MingLiU" w:eastAsia="MingLiU" w:cs="MingLiU"/>
      <w:kern w:val="2"/>
      <w:sz w:val="26"/>
      <w:szCs w:val="26"/>
      <w:u w:val="none"/>
      <w:lang w:val="zh-TW" w:eastAsia="zh-TW" w:bidi="zh-TW"/>
    </w:rPr>
  </w:style>
  <w:style w:type="paragraph" w:customStyle="1" w:styleId="19">
    <w:name w:val="Body text|4"/>
    <w:link w:val="20"/>
    <w:qFormat/>
    <w:uiPriority w:val="0"/>
    <w:pPr>
      <w:widowControl w:val="0"/>
      <w:shd w:val="clear" w:color="auto" w:fill="auto"/>
      <w:ind w:firstLine="260"/>
      <w:jc w:val="both"/>
    </w:pPr>
    <w:rPr>
      <w:rFonts w:ascii="MingLiU" w:hAnsi="MingLiU" w:eastAsia="MingLiU" w:cs="MingLiU"/>
      <w:kern w:val="2"/>
      <w:sz w:val="16"/>
      <w:szCs w:val="16"/>
      <w:u w:val="none"/>
      <w:lang w:val="zh-TW" w:eastAsia="zh-TW" w:bidi="zh-TW"/>
    </w:rPr>
  </w:style>
  <w:style w:type="character" w:customStyle="1" w:styleId="20">
    <w:name w:val="Body text|4_"/>
    <w:link w:val="19"/>
    <w:qFormat/>
    <w:uiPriority w:val="0"/>
    <w:rPr>
      <w:rFonts w:ascii="MingLiU" w:hAnsi="MingLiU" w:eastAsia="MingLiU" w:cs="MingLiU"/>
      <w:kern w:val="2"/>
      <w:sz w:val="16"/>
      <w:szCs w:val="16"/>
      <w:u w:val="none"/>
      <w:lang w:val="zh-TW" w:eastAsia="zh-TW" w:bidi="zh-TW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161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2026-07-14T22:01:00Z</dcterms:created>
  <dc:creator>windows6.6</dc:creator>
  <cp:lastModifiedBy>swt</cp:lastModifiedBy>
  <dcterms:modified xsi:type="dcterms:W3CDTF">2026-07-15T11:36:28Z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FBC32753EC4FC6E83C00576A536C4023</vt:lpwstr>
  </property>
  <property fmtid="{D5CDD505-2E9C-101B-9397-08002B2CF9AE}" pid="4" name="KSOTemplateDocerSaveRecord">
    <vt:lpwstr>eyJoZGlkIjoiMmM1NmEyMTkxMDUxMWM1M2RlMTU1NTg0MGIyMTBhNmIiLCJ1c2VySWQiOiI0MDkzNTE1MzkifQ==</vt:lpwstr>
  </property>
</Properties>
</file>