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default" w:ascii="黑体" w:hAnsi="黑体" w:eastAsia="黑体" w:cs="黑体"/>
          <w:sz w:val="30"/>
          <w:szCs w:val="30"/>
          <w:lang w:val="en-US" w:eastAsia="zh-CN"/>
        </w:rPr>
      </w:pPr>
      <w:r>
        <w:rPr>
          <w:rFonts w:hint="eastAsia" w:ascii="黑体" w:hAnsi="黑体" w:eastAsia="黑体" w:cs="黑体"/>
          <w:sz w:val="30"/>
          <w:szCs w:val="30"/>
          <w:lang w:val="en-US" w:eastAsia="zh-CN"/>
        </w:rPr>
        <w:t>附件1</w:t>
      </w:r>
    </w:p>
    <w:p>
      <w:pPr>
        <w:ind w:left="0" w:leftChars="0" w:firstLine="0" w:firstLineChars="0"/>
        <w:jc w:val="center"/>
        <w:rPr>
          <w:rFonts w:hint="default" w:ascii="Calibri" w:hAnsi="Calibri" w:eastAsia="宋体" w:cs="Times New Roman"/>
          <w:b/>
          <w:sz w:val="44"/>
          <w:lang w:val="en-US"/>
        </w:rPr>
      </w:pPr>
      <w:r>
        <w:rPr>
          <w:rFonts w:hint="eastAsia" w:ascii="方正小标宋简体" w:hAnsi="方正小标宋简体" w:eastAsia="方正小标宋简体" w:cs="方正小标宋简体"/>
          <w:sz w:val="44"/>
          <w:szCs w:val="44"/>
        </w:rPr>
        <w:t>采购</w:t>
      </w:r>
      <w:r>
        <w:rPr>
          <w:rFonts w:hint="eastAsia" w:ascii="Calibri" w:hAnsi="Calibri" w:eastAsia="宋体" w:cs="Times New Roman"/>
          <w:b/>
          <w:sz w:val="44"/>
          <w:lang w:val="en-US" w:eastAsia="zh-CN"/>
        </w:rPr>
        <w:t>需求表</w:t>
      </w:r>
    </w:p>
    <w:tbl>
      <w:tblPr>
        <w:tblStyle w:val="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7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0" w:hRule="atLeast"/>
        </w:trPr>
        <w:tc>
          <w:tcPr>
            <w:tcW w:w="1622" w:type="dxa"/>
            <w:noWrap w:val="0"/>
            <w:vAlign w:val="center"/>
          </w:tcPr>
          <w:p>
            <w:pPr>
              <w:keepNext w:val="0"/>
              <w:keepLines w:val="0"/>
              <w:pageBreakBefore w:val="0"/>
              <w:kinsoku/>
              <w:wordWrap/>
              <w:overflowPunct/>
              <w:topLinePunct w:val="0"/>
              <w:autoSpaceDE/>
              <w:autoSpaceDN/>
              <w:bidi w:val="0"/>
              <w:adjustRightInd/>
              <w:spacing w:line="500" w:lineRule="exact"/>
              <w:ind w:firstLine="0" w:firstLineChars="0"/>
              <w:jc w:val="center"/>
              <w:textAlignment w:val="auto"/>
              <w:rPr>
                <w:rFonts w:ascii="仿宋_GB2312" w:hAnsi="Calibri" w:eastAsia="仿宋_GB2312" w:cs="Times New Roman"/>
                <w:b/>
                <w:bCs/>
                <w:sz w:val="32"/>
                <w:szCs w:val="32"/>
              </w:rPr>
            </w:pPr>
            <w:r>
              <w:rPr>
                <w:rFonts w:hint="eastAsia" w:ascii="仿宋_GB2312" w:hAnsi="Calibri" w:eastAsia="仿宋_GB2312" w:cs="Times New Roman"/>
                <w:b/>
                <w:bCs/>
                <w:sz w:val="32"/>
                <w:szCs w:val="32"/>
              </w:rPr>
              <w:t>项目名称</w:t>
            </w:r>
          </w:p>
        </w:tc>
        <w:tc>
          <w:tcPr>
            <w:tcW w:w="766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汕头市市级饮用水源地生态安全遥感监测项目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0" w:hRule="atLeast"/>
        </w:trPr>
        <w:tc>
          <w:tcPr>
            <w:tcW w:w="1622" w:type="dxa"/>
            <w:noWrap w:val="0"/>
            <w:vAlign w:val="center"/>
          </w:tcPr>
          <w:p>
            <w:pPr>
              <w:keepNext w:val="0"/>
              <w:keepLines w:val="0"/>
              <w:pageBreakBefore w:val="0"/>
              <w:kinsoku/>
              <w:wordWrap/>
              <w:overflowPunct/>
              <w:topLinePunct w:val="0"/>
              <w:autoSpaceDE/>
              <w:autoSpaceDN/>
              <w:bidi w:val="0"/>
              <w:adjustRightInd/>
              <w:spacing w:line="500" w:lineRule="exact"/>
              <w:ind w:firstLine="0" w:firstLineChars="0"/>
              <w:jc w:val="center"/>
              <w:textAlignment w:val="auto"/>
              <w:rPr>
                <w:rFonts w:hint="default" w:ascii="仿宋_GB2312" w:hAnsi="Calibri" w:eastAsia="仿宋_GB2312" w:cs="Times New Roman"/>
                <w:b/>
                <w:bCs/>
                <w:sz w:val="32"/>
                <w:szCs w:val="32"/>
                <w:lang w:val="en-US" w:eastAsia="zh-CN"/>
              </w:rPr>
            </w:pPr>
            <w:r>
              <w:rPr>
                <w:rFonts w:hint="eastAsia" w:ascii="仿宋_GB2312" w:hAnsi="Calibri" w:eastAsia="仿宋_GB2312" w:cs="Times New Roman"/>
                <w:b/>
                <w:bCs/>
                <w:sz w:val="32"/>
                <w:szCs w:val="32"/>
                <w:lang w:val="en-US" w:eastAsia="zh-CN"/>
              </w:rPr>
              <w:t>采购单位</w:t>
            </w:r>
          </w:p>
        </w:tc>
        <w:tc>
          <w:tcPr>
            <w:tcW w:w="766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广东省汕头生态环境监测中心站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0" w:hRule="atLeast"/>
        </w:trPr>
        <w:tc>
          <w:tcPr>
            <w:tcW w:w="1622" w:type="dxa"/>
            <w:noWrap w:val="0"/>
            <w:vAlign w:val="center"/>
          </w:tcPr>
          <w:p>
            <w:pPr>
              <w:keepNext w:val="0"/>
              <w:keepLines w:val="0"/>
              <w:pageBreakBefore w:val="0"/>
              <w:kinsoku/>
              <w:wordWrap/>
              <w:overflowPunct/>
              <w:topLinePunct w:val="0"/>
              <w:autoSpaceDE/>
              <w:autoSpaceDN/>
              <w:bidi w:val="0"/>
              <w:adjustRightInd/>
              <w:spacing w:line="500" w:lineRule="exact"/>
              <w:ind w:firstLine="0" w:firstLineChars="0"/>
              <w:jc w:val="center"/>
              <w:textAlignment w:val="auto"/>
              <w:rPr>
                <w:rFonts w:ascii="仿宋_GB2312" w:hAnsi="Calibri" w:eastAsia="仿宋_GB2312" w:cs="Times New Roman"/>
                <w:b/>
                <w:bCs/>
                <w:sz w:val="32"/>
                <w:szCs w:val="32"/>
              </w:rPr>
            </w:pPr>
            <w:r>
              <w:rPr>
                <w:rFonts w:hint="eastAsia" w:ascii="仿宋_GB2312" w:hAnsi="Calibri" w:eastAsia="仿宋_GB2312" w:cs="Times New Roman"/>
                <w:b/>
                <w:bCs/>
                <w:sz w:val="32"/>
                <w:szCs w:val="32"/>
              </w:rPr>
              <w:t>预算金额</w:t>
            </w:r>
          </w:p>
        </w:tc>
        <w:tc>
          <w:tcPr>
            <w:tcW w:w="766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180000元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0" w:hRule="atLeast"/>
        </w:trPr>
        <w:tc>
          <w:tcPr>
            <w:tcW w:w="1622" w:type="dxa"/>
            <w:noWrap w:val="0"/>
            <w:vAlign w:val="center"/>
          </w:tcPr>
          <w:p>
            <w:pPr>
              <w:keepNext w:val="0"/>
              <w:keepLines w:val="0"/>
              <w:pageBreakBefore w:val="0"/>
              <w:kinsoku/>
              <w:wordWrap/>
              <w:overflowPunct/>
              <w:topLinePunct w:val="0"/>
              <w:autoSpaceDE/>
              <w:autoSpaceDN/>
              <w:bidi w:val="0"/>
              <w:adjustRightInd/>
              <w:spacing w:line="500" w:lineRule="exact"/>
              <w:ind w:firstLine="0" w:firstLineChars="0"/>
              <w:jc w:val="center"/>
              <w:textAlignment w:val="auto"/>
              <w:rPr>
                <w:rFonts w:ascii="仿宋_GB2312" w:hAnsi="Calibri" w:eastAsia="仿宋_GB2312" w:cs="Times New Roman"/>
                <w:b/>
                <w:bCs/>
                <w:sz w:val="32"/>
                <w:szCs w:val="32"/>
              </w:rPr>
            </w:pPr>
            <w:r>
              <w:rPr>
                <w:rFonts w:hint="eastAsia" w:ascii="仿宋_GB2312" w:hAnsi="Calibri" w:eastAsia="仿宋_GB2312" w:cs="Times New Roman"/>
                <w:b/>
                <w:bCs/>
                <w:sz w:val="32"/>
                <w:szCs w:val="32"/>
              </w:rPr>
              <w:t>采购方式</w:t>
            </w:r>
          </w:p>
        </w:tc>
        <w:tc>
          <w:tcPr>
            <w:tcW w:w="766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公开询价、择优选取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0" w:hRule="atLeast"/>
        </w:trPr>
        <w:tc>
          <w:tcPr>
            <w:tcW w:w="1622" w:type="dxa"/>
            <w:noWrap w:val="0"/>
            <w:vAlign w:val="center"/>
          </w:tcPr>
          <w:p>
            <w:pPr>
              <w:keepNext w:val="0"/>
              <w:keepLines w:val="0"/>
              <w:pageBreakBefore w:val="0"/>
              <w:kinsoku/>
              <w:wordWrap/>
              <w:overflowPunct/>
              <w:topLinePunct w:val="0"/>
              <w:autoSpaceDE/>
              <w:autoSpaceDN/>
              <w:bidi w:val="0"/>
              <w:adjustRightInd/>
              <w:spacing w:line="500" w:lineRule="exact"/>
              <w:ind w:firstLine="0" w:firstLineChars="0"/>
              <w:jc w:val="center"/>
              <w:textAlignment w:val="auto"/>
              <w:rPr>
                <w:rFonts w:hint="eastAsia" w:ascii="仿宋_GB2312" w:hAnsi="Times New Roman" w:eastAsia="仿宋_GB2312" w:cs="Times New Roman"/>
                <w:b/>
                <w:bCs/>
                <w:sz w:val="32"/>
                <w:szCs w:val="32"/>
                <w:lang w:val="en-US" w:eastAsia="zh-CN"/>
              </w:rPr>
            </w:pPr>
            <w:r>
              <w:rPr>
                <w:rFonts w:hint="eastAsia" w:ascii="仿宋_GB2312" w:hAnsi="Times New Roman" w:eastAsia="仿宋_GB2312" w:cs="Times New Roman"/>
                <w:b/>
                <w:bCs/>
                <w:sz w:val="32"/>
                <w:szCs w:val="32"/>
              </w:rPr>
              <w:t>采购类型</w:t>
            </w:r>
          </w:p>
        </w:tc>
        <w:tc>
          <w:tcPr>
            <w:tcW w:w="766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center"/>
              <w:textAlignment w:val="auto"/>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trPr>
        <w:tc>
          <w:tcPr>
            <w:tcW w:w="1622" w:type="dxa"/>
            <w:noWrap w:val="0"/>
            <w:vAlign w:val="center"/>
          </w:tcPr>
          <w:p>
            <w:pPr>
              <w:keepNext w:val="0"/>
              <w:keepLines w:val="0"/>
              <w:pageBreakBefore w:val="0"/>
              <w:kinsoku/>
              <w:wordWrap/>
              <w:overflowPunct/>
              <w:topLinePunct w:val="0"/>
              <w:autoSpaceDE/>
              <w:autoSpaceDN/>
              <w:bidi w:val="0"/>
              <w:adjustRightInd/>
              <w:spacing w:line="500" w:lineRule="exact"/>
              <w:ind w:firstLine="0" w:firstLineChars="0"/>
              <w:jc w:val="center"/>
              <w:textAlignment w:val="auto"/>
              <w:rPr>
                <w:rFonts w:hint="eastAsia" w:ascii="仿宋_GB2312" w:hAnsi="Times New Roman" w:eastAsia="仿宋_GB2312" w:cs="Times New Roman"/>
                <w:b/>
                <w:bCs/>
                <w:sz w:val="32"/>
                <w:szCs w:val="32"/>
                <w:lang w:eastAsia="zh-CN"/>
              </w:rPr>
            </w:pPr>
            <w:r>
              <w:rPr>
                <w:rFonts w:hint="eastAsia" w:ascii="仿宋_GB2312" w:hAnsi="Times New Roman" w:eastAsia="仿宋_GB2312" w:cs="Times New Roman"/>
                <w:b/>
                <w:bCs/>
                <w:sz w:val="32"/>
                <w:szCs w:val="32"/>
                <w:lang w:eastAsia="zh-CN"/>
              </w:rPr>
              <w:t>项目内容</w:t>
            </w:r>
          </w:p>
          <w:p>
            <w:pPr>
              <w:keepNext w:val="0"/>
              <w:keepLines w:val="0"/>
              <w:pageBreakBefore w:val="0"/>
              <w:kinsoku/>
              <w:wordWrap/>
              <w:overflowPunct/>
              <w:topLinePunct w:val="0"/>
              <w:autoSpaceDE/>
              <w:autoSpaceDN/>
              <w:bidi w:val="0"/>
              <w:adjustRightInd/>
              <w:spacing w:line="500" w:lineRule="exact"/>
              <w:ind w:firstLine="0" w:firstLineChars="0"/>
              <w:jc w:val="center"/>
              <w:textAlignment w:val="auto"/>
              <w:rPr>
                <w:rFonts w:hint="eastAsia" w:ascii="Calibri" w:hAnsi="Calibri" w:eastAsia="宋体" w:cs="Times New Roman"/>
                <w:b/>
                <w:bCs/>
              </w:rPr>
            </w:pPr>
          </w:p>
          <w:p>
            <w:pPr>
              <w:keepNext w:val="0"/>
              <w:keepLines w:val="0"/>
              <w:pageBreakBefore w:val="0"/>
              <w:widowControl w:val="0"/>
              <w:kinsoku/>
              <w:wordWrap/>
              <w:overflowPunct/>
              <w:topLinePunct w:val="0"/>
              <w:autoSpaceDE/>
              <w:autoSpaceDN/>
              <w:bidi w:val="0"/>
              <w:adjustRightInd/>
              <w:spacing w:before="240" w:after="60" w:line="500" w:lineRule="exact"/>
              <w:jc w:val="center"/>
              <w:textAlignment w:val="auto"/>
              <w:outlineLvl w:val="0"/>
              <w:rPr>
                <w:rFonts w:hint="eastAsia" w:ascii="Cambria" w:hAnsi="Cambria" w:eastAsia="宋体" w:cs="Times New Roman"/>
                <w:b/>
                <w:bCs/>
                <w:kern w:val="2"/>
                <w:sz w:val="32"/>
                <w:szCs w:val="32"/>
                <w:lang w:val="en-US" w:eastAsia="zh-CN" w:bidi="ar-SA"/>
              </w:rPr>
            </w:pPr>
          </w:p>
          <w:p>
            <w:pPr>
              <w:keepNext w:val="0"/>
              <w:keepLines w:val="0"/>
              <w:pageBreakBefore w:val="0"/>
              <w:kinsoku/>
              <w:wordWrap/>
              <w:overflowPunct/>
              <w:topLinePunct w:val="0"/>
              <w:autoSpaceDE/>
              <w:autoSpaceDN/>
              <w:bidi w:val="0"/>
              <w:adjustRightInd/>
              <w:spacing w:line="500" w:lineRule="exact"/>
              <w:jc w:val="center"/>
              <w:textAlignment w:val="auto"/>
              <w:rPr>
                <w:rFonts w:hint="eastAsia" w:ascii="Calibri" w:hAnsi="Calibri" w:eastAsia="宋体" w:cs="Times New Roman"/>
                <w:b/>
                <w:bCs/>
              </w:rPr>
            </w:pPr>
          </w:p>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文鼎CS大宋" w:hAnsi="Calibri" w:eastAsia="文鼎CS大宋" w:cs="Times New Roman"/>
                <w:b/>
                <w:bCs/>
                <w:color w:val="FF0000"/>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pacing w:before="240" w:after="60" w:line="500" w:lineRule="exact"/>
              <w:jc w:val="center"/>
              <w:textAlignment w:val="auto"/>
              <w:outlineLvl w:val="0"/>
              <w:rPr>
                <w:rFonts w:hint="eastAsia" w:ascii="Cambria" w:hAnsi="Cambria" w:eastAsia="宋体" w:cs="Times New Roman"/>
                <w:b/>
                <w:bCs/>
                <w:kern w:val="2"/>
                <w:sz w:val="32"/>
                <w:szCs w:val="32"/>
                <w:lang w:val="en-US" w:eastAsia="zh-CN" w:bidi="ar-SA"/>
              </w:rPr>
            </w:pPr>
          </w:p>
          <w:p>
            <w:pPr>
              <w:keepNext w:val="0"/>
              <w:keepLines w:val="0"/>
              <w:pageBreakBefore w:val="0"/>
              <w:kinsoku/>
              <w:wordWrap/>
              <w:overflowPunct/>
              <w:topLinePunct w:val="0"/>
              <w:autoSpaceDE/>
              <w:autoSpaceDN/>
              <w:bidi w:val="0"/>
              <w:adjustRightInd/>
              <w:spacing w:line="500" w:lineRule="exact"/>
              <w:jc w:val="center"/>
              <w:textAlignment w:val="auto"/>
              <w:rPr>
                <w:rFonts w:hint="eastAsia" w:ascii="Calibri" w:hAnsi="Calibri" w:eastAsia="宋体" w:cs="Times New Roman"/>
                <w:b/>
                <w:bCs/>
              </w:rPr>
            </w:pPr>
          </w:p>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文鼎CS大宋" w:hAnsi="Calibri" w:eastAsia="文鼎CS大宋" w:cs="Times New Roman"/>
                <w:b/>
                <w:bCs/>
                <w:color w:val="FF0000"/>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pacing w:before="240" w:after="60" w:line="500" w:lineRule="exact"/>
              <w:jc w:val="center"/>
              <w:textAlignment w:val="auto"/>
              <w:outlineLvl w:val="0"/>
              <w:rPr>
                <w:rFonts w:hint="eastAsia" w:ascii="Cambria" w:hAnsi="Cambria" w:eastAsia="宋体" w:cs="Times New Roman"/>
                <w:b/>
                <w:bCs/>
                <w:kern w:val="2"/>
                <w:sz w:val="32"/>
                <w:szCs w:val="32"/>
                <w:lang w:val="en-US" w:eastAsia="zh-CN" w:bidi="ar-SA"/>
              </w:rPr>
            </w:pPr>
          </w:p>
          <w:p>
            <w:pPr>
              <w:keepNext w:val="0"/>
              <w:keepLines w:val="0"/>
              <w:pageBreakBefore w:val="0"/>
              <w:kinsoku/>
              <w:wordWrap/>
              <w:overflowPunct/>
              <w:topLinePunct w:val="0"/>
              <w:autoSpaceDE/>
              <w:autoSpaceDN/>
              <w:bidi w:val="0"/>
              <w:adjustRightInd/>
              <w:spacing w:line="500" w:lineRule="exact"/>
              <w:jc w:val="center"/>
              <w:textAlignment w:val="auto"/>
              <w:rPr>
                <w:rFonts w:hint="eastAsia" w:ascii="Calibri" w:hAnsi="Calibri" w:eastAsia="宋体" w:cs="Times New Roman"/>
                <w:b/>
                <w:bCs/>
              </w:rPr>
            </w:pPr>
          </w:p>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文鼎CS大宋" w:hAnsi="Calibri" w:eastAsia="文鼎CS大宋" w:cs="Times New Roman"/>
                <w:b/>
                <w:bCs/>
                <w:color w:val="FF0000"/>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pacing w:before="240" w:after="60" w:line="500" w:lineRule="exact"/>
              <w:jc w:val="center"/>
              <w:textAlignment w:val="auto"/>
              <w:outlineLvl w:val="0"/>
              <w:rPr>
                <w:rFonts w:hint="eastAsia" w:ascii="Cambria" w:hAnsi="Cambria" w:eastAsia="宋体" w:cs="Times New Roman"/>
                <w:b/>
                <w:bCs/>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pacing w:line="500" w:lineRule="exact"/>
              <w:ind w:left="0" w:leftChars="0" w:firstLine="0" w:firstLineChars="0"/>
              <w:jc w:val="center"/>
              <w:textAlignment w:val="auto"/>
              <w:rPr>
                <w:rFonts w:hint="eastAsia" w:ascii="文鼎CS大宋" w:hAnsi="Calibri" w:eastAsia="文鼎CS大宋" w:cs="Times New Roman"/>
                <w:b/>
                <w:bCs/>
                <w:color w:val="FF0000"/>
                <w:kern w:val="2"/>
                <w:sz w:val="24"/>
                <w:szCs w:val="24"/>
                <w:lang w:val="en-US" w:eastAsia="zh-CN" w:bidi="ar-SA"/>
              </w:rPr>
            </w:pPr>
          </w:p>
        </w:tc>
        <w:tc>
          <w:tcPr>
            <w:tcW w:w="7664" w:type="dxa"/>
            <w:noWrap w:val="0"/>
            <w:vAlign w:val="top"/>
          </w:tcPr>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567" w:leftChars="0" w:firstLine="0" w:firstLineChars="0"/>
              <w:textAlignment w:val="auto"/>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监测区域</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567" w:leftChars="0"/>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6个市级饮用水源地及9个饮用水源地重要断面。</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567" w:leftChars="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服务期限</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567" w:leftChars="0"/>
              <w:textAlignment w:val="auto"/>
              <w:rPr>
                <w:rFonts w:hint="default"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lang w:val="en-US" w:eastAsia="zh-CN"/>
              </w:rPr>
              <w:t>合同签订之日起至2026年11月30日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567" w:leftChars="0"/>
              <w:textAlignment w:val="auto"/>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kern w:val="2"/>
                <w:sz w:val="28"/>
                <w:szCs w:val="28"/>
                <w:highlight w:val="none"/>
                <w:lang w:val="en-US" w:eastAsia="zh-CN" w:bidi="ar-SA"/>
              </w:rPr>
              <w:t>3、</w:t>
            </w:r>
            <w:r>
              <w:rPr>
                <w:rFonts w:hint="default" w:ascii="Times New Roman" w:hAnsi="Times New Roman" w:eastAsia="宋体" w:cs="Times New Roman"/>
                <w:b/>
                <w:bCs/>
                <w:color w:val="auto"/>
                <w:sz w:val="28"/>
                <w:szCs w:val="28"/>
                <w:highlight w:val="none"/>
              </w:rPr>
              <w:t>监测任务要求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lang w:val="en-US" w:eastAsia="zh-CN"/>
              </w:rPr>
              <w:t>①</w:t>
            </w:r>
            <w:r>
              <w:rPr>
                <w:rFonts w:hint="default" w:ascii="Times New Roman" w:hAnsi="Times New Roman" w:eastAsia="宋体" w:cs="Times New Roman"/>
                <w:color w:val="auto"/>
                <w:sz w:val="28"/>
                <w:szCs w:val="28"/>
                <w:highlight w:val="none"/>
              </w:rPr>
              <w:t>开展6个饮用水源地2026年丰、枯两期卫星遥感监测、水华水质遥感解译及评价。</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lang w:val="en-US" w:eastAsia="zh-CN"/>
              </w:rPr>
              <w:t>②</w:t>
            </w:r>
            <w:r>
              <w:rPr>
                <w:rFonts w:hint="default" w:ascii="Times New Roman" w:hAnsi="Times New Roman" w:eastAsia="宋体" w:cs="Times New Roman"/>
                <w:color w:val="auto"/>
                <w:sz w:val="28"/>
                <w:szCs w:val="28"/>
                <w:highlight w:val="none"/>
              </w:rPr>
              <w:t>收集整理“十四五”期间（5年）6个饮用水源地丰、枯两个水期的卫星遥感数据，开展长时序的水华水质时空变化分析。</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lang w:val="en-US" w:eastAsia="zh-CN"/>
              </w:rPr>
              <w:t>③</w:t>
            </w:r>
            <w:r>
              <w:rPr>
                <w:rFonts w:hint="default" w:ascii="Times New Roman" w:hAnsi="Times New Roman" w:eastAsia="宋体" w:cs="Times New Roman"/>
                <w:color w:val="auto"/>
                <w:sz w:val="28"/>
                <w:szCs w:val="28"/>
                <w:highlight w:val="none"/>
              </w:rPr>
              <w:t>开展6个饮用水源地的重要断面一次无人机局部精细化遥感加密监测，分析重要断面上游沿程水质变化情况，溯源水华水质风险来源，</w:t>
            </w:r>
            <w:r>
              <w:rPr>
                <w:rFonts w:hint="default" w:ascii="Times New Roman" w:hAnsi="Times New Roman" w:eastAsia="宋体" w:cs="Times New Roman"/>
                <w:color w:val="auto"/>
                <w:sz w:val="28"/>
                <w:szCs w:val="28"/>
                <w:highlight w:val="none"/>
                <w:lang w:val="en-US" w:eastAsia="zh-CN"/>
              </w:rPr>
              <w:t>同时开展重要断面生境调查及eDNA采样和分析，</w:t>
            </w:r>
            <w:r>
              <w:rPr>
                <w:rFonts w:hint="default" w:ascii="Times New Roman" w:hAnsi="Times New Roman" w:eastAsia="宋体" w:cs="Times New Roman"/>
                <w:color w:val="auto"/>
                <w:sz w:val="28"/>
                <w:szCs w:val="28"/>
                <w:highlight w:val="none"/>
              </w:rPr>
              <w:t>深化</w:t>
            </w:r>
            <w:r>
              <w:rPr>
                <w:rFonts w:hint="default" w:ascii="Times New Roman" w:hAnsi="Times New Roman" w:eastAsia="宋体" w:cs="Times New Roman"/>
                <w:color w:val="auto"/>
                <w:sz w:val="28"/>
                <w:szCs w:val="28"/>
                <w:highlight w:val="none"/>
                <w:lang w:val="en-US" w:eastAsia="zh-CN"/>
              </w:rPr>
              <w:t>水质</w:t>
            </w:r>
            <w:r>
              <w:rPr>
                <w:rFonts w:hint="default" w:ascii="Times New Roman" w:hAnsi="Times New Roman" w:eastAsia="宋体" w:cs="Times New Roman"/>
                <w:color w:val="auto"/>
                <w:sz w:val="28"/>
                <w:szCs w:val="28"/>
                <w:highlight w:val="none"/>
                <w:lang w:eastAsia="zh-CN"/>
              </w:rPr>
              <w:t>、</w:t>
            </w:r>
            <w:r>
              <w:rPr>
                <w:rFonts w:hint="default" w:ascii="Times New Roman" w:hAnsi="Times New Roman" w:eastAsia="宋体" w:cs="Times New Roman"/>
                <w:color w:val="auto"/>
                <w:sz w:val="28"/>
                <w:szCs w:val="28"/>
                <w:highlight w:val="none"/>
                <w:lang w:val="en-US" w:eastAsia="zh-CN"/>
              </w:rPr>
              <w:t>水生生物与</w:t>
            </w:r>
            <w:r>
              <w:rPr>
                <w:rFonts w:hint="default" w:ascii="Times New Roman" w:hAnsi="Times New Roman" w:eastAsia="宋体" w:cs="Times New Roman"/>
                <w:color w:val="auto"/>
                <w:sz w:val="28"/>
                <w:szCs w:val="28"/>
                <w:highlight w:val="none"/>
              </w:rPr>
              <w:t>生态环境关联解析。开展监测后10天内提交现场照片、巡测视频、正射影像、无人机监测数据集，编写技术分析报告，分析断面污染来源、水质空间分布等。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lang w:val="en-US" w:eastAsia="zh-CN"/>
              </w:rPr>
              <w:t>④</w:t>
            </w:r>
            <w:r>
              <w:rPr>
                <w:rFonts w:hint="default" w:ascii="Times New Roman" w:hAnsi="Times New Roman" w:eastAsia="宋体" w:cs="Times New Roman"/>
                <w:color w:val="auto"/>
                <w:sz w:val="28"/>
                <w:szCs w:val="28"/>
                <w:highlight w:val="none"/>
              </w:rPr>
              <w:t>在服务期内，若汕头市饮用水源地发生水华或污染应急事故，需到现场开展加密监测服务（无人机多光谱水质监测）。无人机快速确定污染源头，跟踪污染羽流的扩散方向和速度，分析污染变化趋势，结合水流方向和风向，提供污染范围和影响程度。每次开展监测后2天内提交现场照片、局部污染严重区域正射影像及水华水质指标反演结果，编制水质快报。突发水环境污染结束10天内，提交突发水环境污染无人机遥感监测工作专报，内容包括不限于监测方案、监测结果、质量控制、水环境污染过程分析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lang w:val="en-US" w:eastAsia="zh-CN"/>
              </w:rPr>
              <w:t>⑤</w:t>
            </w:r>
            <w:r>
              <w:rPr>
                <w:rFonts w:hint="default" w:ascii="Times New Roman" w:hAnsi="Times New Roman" w:eastAsia="宋体" w:cs="Times New Roman"/>
                <w:color w:val="auto"/>
                <w:sz w:val="28"/>
                <w:szCs w:val="28"/>
                <w:highlight w:val="none"/>
              </w:rPr>
              <w:t>卫星遥感影像的空间分辨率应优于或等于50m，重点水库水域遥感影像的空间分辨率应优于或等于8m。若受无人机空域申请等不可抗拒因素影响，无人机监测区域和时间另外协商确定。若应急时期无人机空域审批受影响，可以采用时差不大于2天、地面分辨率不低于10米的卫星遥感影像代替。</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567" w:leftChars="0"/>
              <w:textAlignment w:val="auto"/>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kern w:val="2"/>
                <w:sz w:val="28"/>
                <w:szCs w:val="28"/>
                <w:highlight w:val="none"/>
                <w:lang w:val="en-US" w:eastAsia="zh-CN" w:bidi="ar-SA"/>
              </w:rPr>
              <w:t>4、</w:t>
            </w:r>
            <w:r>
              <w:rPr>
                <w:rFonts w:hint="default" w:ascii="Times New Roman" w:hAnsi="Times New Roman" w:eastAsia="宋体" w:cs="Times New Roman"/>
                <w:b/>
                <w:bCs/>
                <w:color w:val="auto"/>
                <w:sz w:val="28"/>
                <w:szCs w:val="28"/>
                <w:highlight w:val="none"/>
              </w:rPr>
              <w:t>监测指标</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lang w:val="en-US" w:eastAsia="zh-CN"/>
              </w:rPr>
              <w:t>①</w:t>
            </w:r>
            <w:r>
              <w:rPr>
                <w:rFonts w:hint="default" w:ascii="Times New Roman" w:hAnsi="Times New Roman" w:eastAsia="宋体" w:cs="Times New Roman"/>
                <w:color w:val="auto"/>
                <w:sz w:val="28"/>
                <w:szCs w:val="28"/>
                <w:highlight w:val="none"/>
              </w:rPr>
              <w:t>无人机多光谱和卫星遥感反演的指标包括但不限于：水温、pH、溶解氧、浊度、总氮、总磷、氨氮、高锰酸盐指数、叶绿素a、NDVI（归一化植被指数）等；水库增加FAI（浮游藻类指数）、FUI（水色指数）指标解译；</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lang w:val="en-US" w:eastAsia="zh-CN"/>
              </w:rPr>
              <w:t>②</w:t>
            </w:r>
            <w:r>
              <w:rPr>
                <w:rFonts w:hint="default" w:ascii="Times New Roman" w:hAnsi="Times New Roman" w:eastAsia="宋体" w:cs="Times New Roman"/>
                <w:color w:val="auto"/>
                <w:sz w:val="28"/>
                <w:szCs w:val="28"/>
                <w:highlight w:val="none"/>
              </w:rPr>
              <w:t>生境调查内容：支流（河沟）排口、河岸带形态结构、水闸水坝建设位置分布、大范围植被变化和土地利用/覆被变化。</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CESI宋体-GB2312" w:hAnsi="CESI宋体-GB2312" w:eastAsia="CESI宋体-GB2312" w:cs="Times New Roman"/>
                <w:sz w:val="28"/>
                <w:szCs w:val="28"/>
                <w:highlight w:val="none"/>
                <w:lang w:val="en-US" w:eastAsia="zh-CN"/>
              </w:rPr>
            </w:pPr>
            <w:r>
              <w:rPr>
                <w:rFonts w:hint="default" w:ascii="Times New Roman" w:hAnsi="Times New Roman" w:eastAsia="宋体" w:cs="Times New Roman"/>
                <w:color w:val="auto"/>
                <w:sz w:val="28"/>
                <w:szCs w:val="28"/>
                <w:highlight w:val="none"/>
              </w:rPr>
              <w:t>③</w:t>
            </w:r>
            <w:r>
              <w:rPr>
                <w:rFonts w:hint="default" w:ascii="Times New Roman" w:hAnsi="Times New Roman" w:eastAsia="宋体" w:cs="Times New Roman"/>
                <w:color w:val="auto"/>
                <w:sz w:val="28"/>
                <w:szCs w:val="28"/>
                <w:highlight w:val="none"/>
                <w:lang w:val="en-US" w:eastAsia="zh-CN"/>
              </w:rPr>
              <w:t>重要断面eDNA分析：依托专业机构检测</w:t>
            </w:r>
            <w:r>
              <w:rPr>
                <w:rFonts w:hint="eastAsia" w:ascii="Times New Roman" w:hAnsi="Times New Roman" w:eastAsia="宋体" w:cs="Times New Roman"/>
                <w:color w:val="auto"/>
                <w:sz w:val="28"/>
                <w:szCs w:val="28"/>
                <w:highlight w:val="none"/>
                <w:lang w:val="en-US" w:eastAsia="zh-CN"/>
              </w:rPr>
              <w:t>13个eDNA样品中</w:t>
            </w:r>
            <w:r>
              <w:rPr>
                <w:rFonts w:hint="default" w:ascii="Times New Roman" w:hAnsi="Times New Roman" w:eastAsia="宋体" w:cs="Times New Roman"/>
                <w:color w:val="auto"/>
                <w:sz w:val="28"/>
                <w:szCs w:val="28"/>
                <w:highlight w:val="none"/>
                <w:lang w:val="en-US" w:eastAsia="zh-CN"/>
              </w:rPr>
              <w:t>CO1和18S两个基因片段，产出着生藻类、浮游植物/动物、底栖动物、鱼类的多样性、物种种类、优势种、特有种、群落结构等指标。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0" w:hRule="atLeast"/>
        </w:trPr>
        <w:tc>
          <w:tcPr>
            <w:tcW w:w="1622" w:type="dxa"/>
            <w:noWrap w:val="0"/>
            <w:vAlign w:val="center"/>
          </w:tcPr>
          <w:p>
            <w:pPr>
              <w:keepNext w:val="0"/>
              <w:keepLines w:val="0"/>
              <w:pageBreakBefore w:val="0"/>
              <w:kinsoku/>
              <w:wordWrap/>
              <w:overflowPunct/>
              <w:topLinePunct w:val="0"/>
              <w:autoSpaceDE/>
              <w:autoSpaceDN/>
              <w:bidi w:val="0"/>
              <w:adjustRightInd/>
              <w:spacing w:line="500" w:lineRule="exact"/>
              <w:ind w:firstLine="0" w:firstLineChars="0"/>
              <w:jc w:val="center"/>
              <w:textAlignment w:val="auto"/>
              <w:rPr>
                <w:rFonts w:hint="eastAsia" w:ascii="仿宋_GB2312" w:hAnsi="Calibri" w:eastAsia="仿宋_GB2312" w:cs="Times New Roman"/>
                <w:b/>
                <w:bCs/>
                <w:sz w:val="32"/>
                <w:szCs w:val="32"/>
              </w:rPr>
            </w:pPr>
            <w:r>
              <w:rPr>
                <w:rFonts w:hint="eastAsia" w:ascii="仿宋_GB2312" w:hAnsi="Calibri" w:eastAsia="仿宋_GB2312" w:cs="Times New Roman"/>
                <w:b/>
                <w:bCs/>
                <w:sz w:val="32"/>
                <w:szCs w:val="32"/>
                <w:lang w:val="en-US" w:eastAsia="zh-CN"/>
              </w:rPr>
              <w:t>人员要求</w:t>
            </w:r>
          </w:p>
        </w:tc>
        <w:tc>
          <w:tcPr>
            <w:tcW w:w="7664"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default" w:ascii="CESI宋体-GB2312" w:hAnsi="CESI宋体-GB2312" w:eastAsia="CESI宋体-GB2312" w:cs="Times New Roman"/>
                <w:sz w:val="28"/>
                <w:szCs w:val="28"/>
                <w:lang w:val="en-US" w:eastAsia="zh-CN"/>
              </w:rPr>
            </w:pPr>
            <w:r>
              <w:rPr>
                <w:rFonts w:hint="eastAsia" w:ascii="Times New Roman" w:hAnsi="Times New Roman" w:eastAsia="宋体" w:cs="Times New Roman"/>
                <w:color w:val="auto"/>
                <w:sz w:val="28"/>
                <w:szCs w:val="28"/>
                <w:highlight w:val="none"/>
                <w:lang w:val="en-US" w:eastAsia="zh-CN"/>
              </w:rPr>
              <w:t>本项目团队人员不少于4名。项目负责人须具有生态环境或遥感相关的高级以上职称；团队其他成员须具有本科或以上学历。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0" w:hRule="atLeast"/>
        </w:trPr>
        <w:tc>
          <w:tcPr>
            <w:tcW w:w="1622" w:type="dxa"/>
            <w:noWrap w:val="0"/>
            <w:vAlign w:val="center"/>
          </w:tcPr>
          <w:p>
            <w:pPr>
              <w:keepNext w:val="0"/>
              <w:keepLines w:val="0"/>
              <w:pageBreakBefore w:val="0"/>
              <w:kinsoku/>
              <w:wordWrap/>
              <w:overflowPunct/>
              <w:topLinePunct w:val="0"/>
              <w:autoSpaceDE/>
              <w:autoSpaceDN/>
              <w:bidi w:val="0"/>
              <w:adjustRightInd/>
              <w:spacing w:line="500" w:lineRule="exact"/>
              <w:ind w:firstLine="0" w:firstLineChars="0"/>
              <w:jc w:val="center"/>
              <w:textAlignment w:val="auto"/>
              <w:rPr>
                <w:rFonts w:ascii="仿宋_GB2312" w:hAnsi="Calibri" w:eastAsia="仿宋_GB2312" w:cs="Times New Roman"/>
                <w:b/>
                <w:bCs/>
                <w:sz w:val="32"/>
                <w:szCs w:val="32"/>
              </w:rPr>
            </w:pPr>
            <w:r>
              <w:rPr>
                <w:rFonts w:hint="eastAsia" w:ascii="仿宋_GB2312" w:hAnsi="Calibri" w:eastAsia="仿宋_GB2312" w:cs="Times New Roman"/>
                <w:b/>
                <w:bCs/>
                <w:sz w:val="32"/>
                <w:szCs w:val="32"/>
                <w:lang w:val="en-US" w:eastAsia="zh-CN"/>
              </w:rPr>
              <w:t>服务成果</w:t>
            </w:r>
          </w:p>
        </w:tc>
        <w:tc>
          <w:tcPr>
            <w:tcW w:w="7664"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lang w:val="en-US" w:eastAsia="zh-CN"/>
              </w:rPr>
              <w:t>1、</w:t>
            </w:r>
            <w:r>
              <w:rPr>
                <w:rFonts w:hint="default" w:ascii="Times New Roman" w:hAnsi="Times New Roman" w:eastAsia="宋体" w:cs="Times New Roman"/>
                <w:color w:val="auto"/>
                <w:sz w:val="28"/>
                <w:szCs w:val="28"/>
                <w:highlight w:val="none"/>
              </w:rPr>
              <w:t>2026年市级饮用水源地水生态环境状况评价报告（含重要断面水生态环境状况评价）。内容包括但不限于：监测概况，水质及水华分级评价、时空变化特征及分布特征，主要影响因素如气象条件（气温、降水、风速等）、水文条件（水位、流量等）等，主要水华水质指标按面积占比进行分级评价，统计水华程度面积占比、各类水质面积占比、面积达标率等，评估水华水质风险，主要结论与建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lang w:val="en-US" w:eastAsia="zh-CN"/>
              </w:rPr>
              <w:t>2、</w:t>
            </w:r>
            <w:r>
              <w:rPr>
                <w:rFonts w:hint="default" w:ascii="Times New Roman" w:hAnsi="Times New Roman" w:eastAsia="宋体" w:cs="Times New Roman"/>
                <w:color w:val="auto"/>
                <w:sz w:val="28"/>
                <w:szCs w:val="28"/>
                <w:highlight w:val="none"/>
              </w:rPr>
              <w:t>2020-2025年市级饮用水源地水生态环境状况趋势发展报告。内容包括但不限于：监测概况，水质分级评价、水华分级评价、时空变化特征，分布特征，并通过相关性分析、回归分析、主成分分析、冗余分析等方法分析土地利用的变化与水质的响应关系，基于溶解氧、氨氮、总氮、总磷等相关水质指标</w:t>
            </w:r>
            <w:r>
              <w:rPr>
                <w:rFonts w:hint="default" w:ascii="Times New Roman" w:hAnsi="Times New Roman" w:eastAsia="宋体" w:cs="Times New Roman"/>
                <w:color w:val="auto"/>
                <w:sz w:val="28"/>
                <w:szCs w:val="28"/>
                <w:highlight w:val="none"/>
                <w:lang w:val="en-US" w:eastAsia="zh-CN"/>
              </w:rPr>
              <w:t>及水生生物指标</w:t>
            </w:r>
            <w:r>
              <w:rPr>
                <w:rFonts w:hint="default" w:ascii="Times New Roman" w:hAnsi="Times New Roman" w:eastAsia="宋体" w:cs="Times New Roman"/>
                <w:color w:val="auto"/>
                <w:sz w:val="28"/>
                <w:szCs w:val="28"/>
                <w:highlight w:val="none"/>
              </w:rPr>
              <w:t>和气温、风速、降雨等环境因子，分析水华的主要环境驱动因子，主要结论与建议。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宋体" w:cs="Times New Roman"/>
                <w:color w:val="auto"/>
                <w:sz w:val="28"/>
                <w:szCs w:val="28"/>
                <w:highlight w:val="none"/>
              </w:rPr>
            </w:pPr>
            <w:r>
              <w:rPr>
                <w:rFonts w:hint="eastAsia" w:ascii="Times New Roman" w:hAnsi="Times New Roman" w:eastAsia="宋体" w:cs="Times New Roman"/>
                <w:color w:val="auto"/>
                <w:kern w:val="2"/>
                <w:sz w:val="28"/>
                <w:szCs w:val="28"/>
                <w:highlight w:val="none"/>
                <w:lang w:val="en-US" w:eastAsia="zh-CN" w:bidi="ar-SA"/>
              </w:rPr>
              <w:t>3、</w:t>
            </w:r>
            <w:r>
              <w:rPr>
                <w:rFonts w:hint="default" w:ascii="Times New Roman" w:hAnsi="Times New Roman" w:eastAsia="宋体" w:cs="Times New Roman"/>
                <w:color w:val="auto"/>
                <w:sz w:val="28"/>
                <w:szCs w:val="28"/>
                <w:highlight w:val="none"/>
              </w:rPr>
              <w:t>卫星遥感、无人机多光谱影像数据、水质参数反演数据、水生植物（浮水植被）、植被变化和土地利用变化的遥感解译空间分布图。</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default" w:ascii="CESI宋体-GB2312" w:hAnsi="CESI宋体-GB2312" w:eastAsia="CESI宋体-GB2312" w:cs="Times New Roman"/>
                <w:sz w:val="28"/>
                <w:szCs w:val="28"/>
                <w:lang w:val="en-US" w:eastAsia="zh-CN"/>
              </w:rPr>
            </w:pPr>
            <w:r>
              <w:rPr>
                <w:rFonts w:hint="eastAsia" w:ascii="Times New Roman" w:hAnsi="Times New Roman" w:eastAsia="宋体" w:cs="Times New Roman"/>
                <w:color w:val="auto"/>
                <w:kern w:val="2"/>
                <w:sz w:val="28"/>
                <w:szCs w:val="28"/>
                <w:highlight w:val="none"/>
                <w:lang w:val="en-US" w:eastAsia="zh-CN" w:bidi="ar-SA"/>
              </w:rPr>
              <w:t>4、</w:t>
            </w:r>
            <w:r>
              <w:rPr>
                <w:rFonts w:hint="default" w:ascii="Times New Roman" w:hAnsi="Times New Roman" w:eastAsia="宋体" w:cs="Times New Roman"/>
                <w:color w:val="auto"/>
                <w:kern w:val="2"/>
                <w:sz w:val="28"/>
                <w:szCs w:val="28"/>
                <w:highlight w:val="none"/>
                <w:lang w:val="en-US" w:eastAsia="zh-CN" w:bidi="ar-SA"/>
              </w:rPr>
              <w:t>重要断面e</w:t>
            </w:r>
            <w:r>
              <w:rPr>
                <w:rFonts w:hint="default" w:ascii="Times New Roman" w:hAnsi="Times New Roman" w:eastAsia="宋体" w:cs="Times New Roman"/>
                <w:color w:val="auto"/>
                <w:sz w:val="28"/>
                <w:szCs w:val="28"/>
                <w:highlight w:val="none"/>
                <w:lang w:val="en-US" w:eastAsia="zh-CN"/>
              </w:rPr>
              <w:t>DNA综合分析报告，包括原始数据、对应基因全库注释结果、候选物种表、汉化结果包以及多个物种名录检索。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8" w:hRule="atLeast"/>
        </w:trPr>
        <w:tc>
          <w:tcPr>
            <w:tcW w:w="1622" w:type="dxa"/>
            <w:noWrap w:val="0"/>
            <w:vAlign w:val="center"/>
          </w:tcPr>
          <w:p>
            <w:pPr>
              <w:keepNext w:val="0"/>
              <w:keepLines w:val="0"/>
              <w:pageBreakBefore w:val="0"/>
              <w:kinsoku/>
              <w:wordWrap/>
              <w:overflowPunct/>
              <w:topLinePunct w:val="0"/>
              <w:autoSpaceDE/>
              <w:autoSpaceDN/>
              <w:bidi w:val="0"/>
              <w:adjustRightInd/>
              <w:spacing w:line="500" w:lineRule="exact"/>
              <w:ind w:firstLine="0" w:firstLineChars="0"/>
              <w:jc w:val="center"/>
              <w:textAlignment w:val="auto"/>
              <w:rPr>
                <w:rFonts w:hint="default" w:ascii="仿宋_GB2312" w:hAnsi="Calibri" w:eastAsia="仿宋_GB2312" w:cs="Times New Roman"/>
                <w:b/>
                <w:bCs/>
                <w:sz w:val="32"/>
                <w:szCs w:val="32"/>
              </w:rPr>
            </w:pPr>
            <w:r>
              <w:rPr>
                <w:rFonts w:hint="eastAsia" w:ascii="仿宋_GB2312" w:hAnsi="Calibri" w:eastAsia="仿宋_GB2312" w:cs="Times New Roman"/>
                <w:b/>
                <w:bCs/>
                <w:sz w:val="32"/>
                <w:szCs w:val="32"/>
                <w:lang w:eastAsia="zh-CN"/>
              </w:rPr>
              <w:t>验收要求</w:t>
            </w:r>
          </w:p>
        </w:tc>
        <w:tc>
          <w:tcPr>
            <w:tcW w:w="7664"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完成服务内容，采购人自行组织验收小组对服务成果开展验收。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22" w:type="dxa"/>
            <w:noWrap w:val="0"/>
            <w:vAlign w:val="center"/>
          </w:tcPr>
          <w:p>
            <w:pPr>
              <w:keepNext w:val="0"/>
              <w:keepLines w:val="0"/>
              <w:pageBreakBefore w:val="0"/>
              <w:kinsoku/>
              <w:wordWrap/>
              <w:overflowPunct/>
              <w:topLinePunct w:val="0"/>
              <w:autoSpaceDE/>
              <w:autoSpaceDN/>
              <w:bidi w:val="0"/>
              <w:adjustRightInd/>
              <w:spacing w:line="500" w:lineRule="exact"/>
              <w:ind w:firstLine="0" w:firstLineChars="0"/>
              <w:jc w:val="center"/>
              <w:textAlignment w:val="auto"/>
              <w:rPr>
                <w:rFonts w:hint="default" w:ascii="仿宋_GB2312" w:hAnsi="Calibri" w:eastAsia="仿宋_GB2312" w:cs="Times New Roman"/>
                <w:b/>
                <w:bCs/>
                <w:sz w:val="32"/>
                <w:szCs w:val="32"/>
              </w:rPr>
            </w:pPr>
            <w:r>
              <w:rPr>
                <w:rFonts w:ascii="仿宋_GB2312" w:hAnsi="Calibri" w:eastAsia="仿宋_GB2312" w:cs="Times New Roman"/>
                <w:b/>
                <w:bCs/>
                <w:sz w:val="32"/>
                <w:szCs w:val="32"/>
              </w:rPr>
              <w:t>服务期限</w:t>
            </w:r>
            <w:r>
              <w:rPr>
                <w:rFonts w:hint="default" w:ascii="仿宋_GB2312" w:hAnsi="Calibri" w:eastAsia="仿宋_GB2312" w:cs="Times New Roman"/>
                <w:b/>
                <w:bCs/>
                <w:sz w:val="32"/>
                <w:szCs w:val="32"/>
              </w:rPr>
              <w:t xml:space="preserve"> </w:t>
            </w:r>
          </w:p>
        </w:tc>
        <w:tc>
          <w:tcPr>
            <w:tcW w:w="7664"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自合同签订之日起至2026年11月30日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8" w:hRule="atLeast"/>
        </w:trPr>
        <w:tc>
          <w:tcPr>
            <w:tcW w:w="1622" w:type="dxa"/>
            <w:noWrap w:val="0"/>
            <w:vAlign w:val="center"/>
          </w:tcPr>
          <w:p>
            <w:pPr>
              <w:keepNext w:val="0"/>
              <w:keepLines w:val="0"/>
              <w:pageBreakBefore w:val="0"/>
              <w:kinsoku/>
              <w:wordWrap/>
              <w:overflowPunct/>
              <w:topLinePunct w:val="0"/>
              <w:autoSpaceDE/>
              <w:autoSpaceDN/>
              <w:bidi w:val="0"/>
              <w:adjustRightInd/>
              <w:spacing w:line="500" w:lineRule="exact"/>
              <w:ind w:firstLine="0" w:firstLineChars="0"/>
              <w:jc w:val="center"/>
              <w:textAlignment w:val="auto"/>
              <w:rPr>
                <w:rFonts w:hint="default" w:ascii="仿宋_GB2312" w:hAnsi="Calibri" w:eastAsia="仿宋_GB2312" w:cs="Times New Roman"/>
                <w:b/>
                <w:bCs/>
                <w:sz w:val="32"/>
                <w:szCs w:val="32"/>
                <w:lang w:val="en-US" w:eastAsia="zh-CN"/>
              </w:rPr>
            </w:pPr>
            <w:r>
              <w:rPr>
                <w:rFonts w:hint="eastAsia" w:ascii="仿宋_GB2312" w:hAnsi="Calibri" w:eastAsia="仿宋_GB2312" w:cs="Times New Roman"/>
                <w:b/>
                <w:bCs/>
                <w:sz w:val="32"/>
                <w:szCs w:val="32"/>
                <w:lang w:eastAsia="zh-CN"/>
              </w:rPr>
              <w:t>售后服务</w:t>
            </w:r>
          </w:p>
        </w:tc>
        <w:tc>
          <w:tcPr>
            <w:tcW w:w="7664"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项目完成由采购人验收通过后进入售后服务期。售后服务期1年，提供本项目相关咨询等技术支持。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2" w:type="dxa"/>
            <w:noWrap w:val="0"/>
            <w:vAlign w:val="center"/>
          </w:tcPr>
          <w:p>
            <w:pPr>
              <w:keepNext w:val="0"/>
              <w:keepLines w:val="0"/>
              <w:pageBreakBefore w:val="0"/>
              <w:kinsoku/>
              <w:wordWrap/>
              <w:overflowPunct/>
              <w:topLinePunct w:val="0"/>
              <w:autoSpaceDE/>
              <w:autoSpaceDN/>
              <w:bidi w:val="0"/>
              <w:adjustRightInd/>
              <w:spacing w:after="0" w:line="500" w:lineRule="exact"/>
              <w:ind w:firstLine="0" w:firstLineChars="0"/>
              <w:jc w:val="center"/>
              <w:textAlignment w:val="auto"/>
              <w:rPr>
                <w:rFonts w:hint="eastAsia" w:ascii="仿宋_GB2312" w:hAnsi="Times New Roman" w:eastAsia="仿宋_GB2312" w:cs="Times New Roman"/>
                <w:b/>
                <w:bCs/>
                <w:kern w:val="2"/>
                <w:sz w:val="32"/>
                <w:szCs w:val="32"/>
                <w:lang w:val="en-US" w:eastAsia="zh-CN" w:bidi="ar-SA"/>
              </w:rPr>
            </w:pPr>
            <w:r>
              <w:rPr>
                <w:rFonts w:hint="eastAsia" w:ascii="仿宋_GB2312" w:hAnsi="Calibri" w:eastAsia="仿宋_GB2312" w:cs="Times New Roman"/>
                <w:b/>
                <w:bCs/>
                <w:sz w:val="32"/>
                <w:szCs w:val="32"/>
                <w:lang w:eastAsia="zh-CN"/>
              </w:rPr>
              <w:t>知识产权</w:t>
            </w:r>
          </w:p>
        </w:tc>
        <w:tc>
          <w:tcPr>
            <w:tcW w:w="7664"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1、所有成交供应商提交给采购人的成果，包括为履行技术服务所编制的方案、数据和报告等，上述所有文件以及资料的知识产权归采购人所有。成交供应商在提交给采购人之前应按照采购人要求将上述资料进行整理归类和编制索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2、成交供应商应保证，采购人在中华人民共和国使用该项目成果的任何一部分时，免受第三方提出的侵犯其专利权和著作权等的起诉。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2" w:type="dxa"/>
            <w:noWrap w:val="0"/>
            <w:vAlign w:val="center"/>
          </w:tcPr>
          <w:p>
            <w:pPr>
              <w:keepNext w:val="0"/>
              <w:keepLines w:val="0"/>
              <w:pageBreakBefore w:val="0"/>
              <w:kinsoku/>
              <w:wordWrap/>
              <w:overflowPunct/>
              <w:topLinePunct w:val="0"/>
              <w:autoSpaceDE/>
              <w:autoSpaceDN/>
              <w:bidi w:val="0"/>
              <w:adjustRightInd/>
              <w:spacing w:after="0" w:line="500" w:lineRule="exact"/>
              <w:ind w:firstLine="0" w:firstLineChars="0"/>
              <w:jc w:val="center"/>
              <w:textAlignment w:val="auto"/>
              <w:rPr>
                <w:rFonts w:hint="eastAsia" w:ascii="仿宋_GB2312" w:hAnsi="Times New Roman" w:eastAsia="仿宋_GB2312" w:cs="Times New Roman"/>
                <w:b/>
                <w:bCs/>
                <w:kern w:val="2"/>
                <w:sz w:val="32"/>
                <w:szCs w:val="32"/>
                <w:lang w:val="en-US" w:eastAsia="zh-CN" w:bidi="ar-SA"/>
              </w:rPr>
            </w:pPr>
            <w:r>
              <w:rPr>
                <w:rFonts w:hint="eastAsia" w:ascii="仿宋_GB2312" w:hAnsi="Calibri" w:eastAsia="仿宋_GB2312" w:cs="Times New Roman"/>
                <w:b/>
                <w:bCs/>
                <w:sz w:val="32"/>
                <w:szCs w:val="32"/>
              </w:rPr>
              <w:t>保密要求</w:t>
            </w:r>
          </w:p>
        </w:tc>
        <w:tc>
          <w:tcPr>
            <w:tcW w:w="7664"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1、由采购人收集、开发、整理、复制和准备与本项目工作有关的所有资料在提供给成交供应商时，均被视为保密的，成交供应商不得泄露给除采购人或其指定的代表之外的任何自然人、法人或团体组织，不管本合同因何种原因终止，本条款一直约束成交供应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2、成交供应商在履行合同过程中所获得或接触到的任何内部数据资料，未经采购人书面同意，不得向第三方透露；</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3、成交供应商实施项目的一切程序都应符合国家安全、保密的有关规定和标准。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2" w:type="dxa"/>
            <w:noWrap w:val="0"/>
            <w:vAlign w:val="center"/>
          </w:tcPr>
          <w:p>
            <w:pPr>
              <w:keepNext w:val="0"/>
              <w:keepLines w:val="0"/>
              <w:pageBreakBefore w:val="0"/>
              <w:kinsoku/>
              <w:wordWrap/>
              <w:overflowPunct/>
              <w:topLinePunct w:val="0"/>
              <w:autoSpaceDE/>
              <w:autoSpaceDN/>
              <w:bidi w:val="0"/>
              <w:adjustRightInd/>
              <w:spacing w:line="500" w:lineRule="exact"/>
              <w:ind w:firstLine="0" w:firstLineChars="0"/>
              <w:jc w:val="center"/>
              <w:textAlignment w:val="auto"/>
              <w:rPr>
                <w:rFonts w:ascii="仿宋_GB2312" w:hAnsi="Calibri" w:eastAsia="仿宋_GB2312" w:cs="Times New Roman"/>
                <w:b/>
                <w:bCs/>
                <w:sz w:val="32"/>
                <w:szCs w:val="32"/>
              </w:rPr>
            </w:pPr>
            <w:r>
              <w:rPr>
                <w:rFonts w:hint="eastAsia" w:ascii="仿宋_GB2312" w:hAnsi="Calibri" w:eastAsia="仿宋_GB2312" w:cs="Times New Roman"/>
                <w:b/>
                <w:bCs/>
                <w:sz w:val="32"/>
                <w:szCs w:val="32"/>
              </w:rPr>
              <w:t>付款方式</w:t>
            </w:r>
          </w:p>
        </w:tc>
        <w:tc>
          <w:tcPr>
            <w:tcW w:w="7664"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根据工作进度分期支付合同款：</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宋体" w:cs="Times New Roman"/>
                <w:color w:val="auto"/>
                <w:sz w:val="28"/>
                <w:szCs w:val="28"/>
                <w:highlight w:val="none"/>
                <w:lang w:val="en-US" w:eastAsia="zh-CN"/>
              </w:rPr>
            </w:pPr>
            <w:bookmarkStart w:id="0" w:name="_Hlk86228544"/>
            <w:r>
              <w:rPr>
                <w:rFonts w:hint="default" w:ascii="Times New Roman" w:hAnsi="Times New Roman" w:eastAsia="宋体" w:cs="Times New Roman"/>
                <w:color w:val="auto"/>
                <w:sz w:val="28"/>
                <w:szCs w:val="28"/>
                <w:highlight w:val="none"/>
                <w:lang w:val="en-US" w:eastAsia="zh-CN"/>
              </w:rPr>
              <w:t>1、首付款：签订合同后30个工作日内，采购人收到成交供应商开具的发票之日起</w:t>
            </w:r>
            <w:r>
              <w:rPr>
                <w:rFonts w:hint="eastAsia" w:ascii="Times New Roman" w:hAnsi="Times New Roman" w:eastAsia="宋体" w:cs="Times New Roman"/>
                <w:color w:val="auto"/>
                <w:sz w:val="28"/>
                <w:szCs w:val="28"/>
                <w:highlight w:val="none"/>
                <w:lang w:val="en-US" w:eastAsia="zh-CN"/>
              </w:rPr>
              <w:t>1</w:t>
            </w:r>
            <w:r>
              <w:rPr>
                <w:rFonts w:hint="default" w:ascii="Times New Roman" w:hAnsi="Times New Roman" w:eastAsia="宋体" w:cs="Times New Roman"/>
                <w:color w:val="auto"/>
                <w:sz w:val="28"/>
                <w:szCs w:val="28"/>
                <w:highlight w:val="none"/>
                <w:lang w:val="en-US" w:eastAsia="zh-CN"/>
              </w:rPr>
              <w:t>0个工作日内，按广东省财政资金管理规定的程序申请向成交供应商支付合同总价的60%。成交供应商凭项目合同和按税法规定开具相应的发票向采购人提出支付申请：</w:t>
            </w:r>
          </w:p>
          <w:bookmarkEnd w:id="0"/>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2、成交供应商完成服务后，采购人收到成交供应商开具的发票之日起</w:t>
            </w:r>
            <w:r>
              <w:rPr>
                <w:rFonts w:hint="eastAsia" w:ascii="Times New Roman" w:hAnsi="Times New Roman" w:eastAsia="宋体" w:cs="Times New Roman"/>
                <w:color w:val="auto"/>
                <w:sz w:val="28"/>
                <w:szCs w:val="28"/>
                <w:highlight w:val="none"/>
                <w:lang w:val="en-US" w:eastAsia="zh-CN"/>
              </w:rPr>
              <w:t>1</w:t>
            </w:r>
            <w:r>
              <w:rPr>
                <w:rFonts w:hint="default" w:ascii="Times New Roman" w:hAnsi="Times New Roman" w:eastAsia="宋体" w:cs="Times New Roman"/>
                <w:color w:val="auto"/>
                <w:sz w:val="28"/>
                <w:szCs w:val="28"/>
                <w:highlight w:val="none"/>
                <w:lang w:val="en-US" w:eastAsia="zh-CN"/>
              </w:rPr>
              <w:t>0个工作日内，按广东省财政资金管理规定的程序申请向成交供应商支付合同总价的40%。成交供应商凭项目合同、按税法规定开具相应的发票和《广东省汕头生态环境监测中心站购买服务项目验收单》。向采购人提出支付申请。</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3、成交供应商有义务向采购人提供申请财政付款所需文件材料。除了证明当期约定项目服务内容已完成的材料之外，成交供应商还必须向采购人提供税务局制定的相应的款项发票作为请款凭据。如财政部门对申请材料有其他要求的，成交供应商也应配合及时提供。如成交供应商未按本合同约定及时提供请款所需材料和发票的，采购人有权延缓申请支付，直至收到成交供应商提供的材料和发票时止，而不视为采购人违约。由于采购人使用的是财政性资金，采购人向财政部门申请支付即视为履行了合同义务，成交供应商不得因财政部门审核需要时间、拨款迟延等原因要求采购人承担迟延付款的责任，更不得因此怠于履行合同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2" w:type="dxa"/>
            <w:noWrap w:val="0"/>
            <w:vAlign w:val="center"/>
          </w:tcPr>
          <w:p>
            <w:pPr>
              <w:keepNext w:val="0"/>
              <w:keepLines w:val="0"/>
              <w:pageBreakBefore w:val="0"/>
              <w:kinsoku/>
              <w:wordWrap/>
              <w:overflowPunct/>
              <w:topLinePunct w:val="0"/>
              <w:autoSpaceDE/>
              <w:autoSpaceDN/>
              <w:bidi w:val="0"/>
              <w:adjustRightInd/>
              <w:spacing w:line="500" w:lineRule="exact"/>
              <w:ind w:firstLine="0" w:firstLineChars="0"/>
              <w:jc w:val="center"/>
              <w:textAlignment w:val="auto"/>
              <w:rPr>
                <w:rFonts w:hint="default" w:ascii="仿宋_GB2312" w:hAnsi="Calibri" w:eastAsia="仿宋_GB2312" w:cs="Times New Roman"/>
                <w:b/>
                <w:bCs/>
                <w:sz w:val="32"/>
                <w:szCs w:val="32"/>
                <w:lang w:val="en-US" w:eastAsia="zh-CN"/>
              </w:rPr>
            </w:pPr>
            <w:r>
              <w:rPr>
                <w:rFonts w:hint="eastAsia" w:ascii="仿宋_GB2312" w:hAnsi="Calibri" w:eastAsia="仿宋_GB2312" w:cs="Times New Roman"/>
                <w:b/>
                <w:bCs/>
                <w:sz w:val="32"/>
                <w:szCs w:val="32"/>
                <w:lang w:val="en-US" w:eastAsia="zh-CN"/>
              </w:rPr>
              <w:t>违约责任</w:t>
            </w:r>
          </w:p>
        </w:tc>
        <w:tc>
          <w:tcPr>
            <w:tcW w:w="7664"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1、因成交供应商原因，未能按规定时间完成有关工作的，每延误一天，采购人可在应支付合同余款中扣除合同价款千分之一；逾期超过7天的，采购人有权单方解除合同，成交供应商应退还未履约款项，并承担采购人全部维权费用（包括但不限于律师费、诉讼费、保全费、保全担保费、交通费、差旅费、鉴定费及采购人为维权产生的其他全部合理费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2、由于成交供应商原因，提供的服务不能满足采购人要求时，成交供应商应继续完善工作，其费用由成交供应商承担；</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3、若采购人发现成交供应商提供的服务人员不符合合同要求，成交供应商应在3天之内按要求更换派出人员，否则采购人有权单方解除合同，并保留追究成交供应商责任及要求赔偿损失的权利；</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4、如成交供应商违反保密义务或提供的项目服务或项目成果侵犯第三方知识产权的，采购人有权单方解除合同，成交供应商应当返还采购人已支付款项并向采购人支付采购合同总价款20%的违约金。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2" w:type="dxa"/>
            <w:noWrap w:val="0"/>
            <w:vAlign w:val="center"/>
          </w:tcPr>
          <w:p>
            <w:pPr>
              <w:keepNext w:val="0"/>
              <w:keepLines w:val="0"/>
              <w:pageBreakBefore w:val="0"/>
              <w:kinsoku/>
              <w:wordWrap/>
              <w:overflowPunct/>
              <w:topLinePunct w:val="0"/>
              <w:autoSpaceDE/>
              <w:autoSpaceDN/>
              <w:bidi w:val="0"/>
              <w:adjustRightInd/>
              <w:spacing w:line="500" w:lineRule="exact"/>
              <w:ind w:firstLine="0" w:firstLineChars="0"/>
              <w:jc w:val="center"/>
              <w:textAlignment w:val="auto"/>
              <w:rPr>
                <w:rFonts w:hint="eastAsia" w:ascii="仿宋_GB2312" w:hAnsi="Times New Roman" w:eastAsia="仿宋_GB2312" w:cs="Times New Roman"/>
                <w:b/>
                <w:bCs/>
                <w:color w:val="FF0000"/>
                <w:kern w:val="2"/>
                <w:sz w:val="32"/>
                <w:szCs w:val="32"/>
                <w:lang w:val="en-US" w:eastAsia="zh-CN" w:bidi="ar-SA"/>
              </w:rPr>
            </w:pPr>
            <w:r>
              <w:rPr>
                <w:rFonts w:hint="eastAsia" w:ascii="仿宋_GB2312" w:hAnsi="Calibri" w:eastAsia="仿宋_GB2312" w:cs="Times New Roman"/>
                <w:b/>
                <w:bCs/>
                <w:color w:val="auto"/>
                <w:sz w:val="32"/>
                <w:szCs w:val="32"/>
                <w:lang w:eastAsia="zh-CN"/>
              </w:rPr>
              <w:t>资质要求</w:t>
            </w:r>
          </w:p>
        </w:tc>
        <w:tc>
          <w:tcPr>
            <w:tcW w:w="7664"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rPr>
              <w:t>符合《</w:t>
            </w:r>
            <w:r>
              <w:rPr>
                <w:rFonts w:hint="eastAsia" w:ascii="Times New Roman" w:hAnsi="Times New Roman" w:eastAsia="宋体" w:cs="Times New Roman"/>
                <w:color w:val="auto"/>
                <w:sz w:val="28"/>
                <w:szCs w:val="28"/>
                <w:highlight w:val="none"/>
                <w:lang w:val="en-US" w:eastAsia="zh-CN"/>
              </w:rPr>
              <w:t>中华人民共和国</w:t>
            </w:r>
            <w:r>
              <w:rPr>
                <w:rFonts w:hint="default" w:ascii="Times New Roman" w:hAnsi="Times New Roman" w:eastAsia="宋体" w:cs="Times New Roman"/>
                <w:color w:val="auto"/>
                <w:sz w:val="28"/>
                <w:szCs w:val="28"/>
                <w:highlight w:val="none"/>
              </w:rPr>
              <w:t>政府采购法》的要求，国内经工商、税务部门正式登记注册的，具有独立法人资格，独立承担民事责任和履行合同能力，具有良好的经济信誉的单位。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4" w:hRule="atLeast"/>
        </w:trPr>
        <w:tc>
          <w:tcPr>
            <w:tcW w:w="1622" w:type="dxa"/>
            <w:noWrap w:val="0"/>
            <w:vAlign w:val="center"/>
          </w:tcPr>
          <w:p>
            <w:pPr>
              <w:keepNext w:val="0"/>
              <w:keepLines w:val="0"/>
              <w:pageBreakBefore w:val="0"/>
              <w:kinsoku/>
              <w:wordWrap/>
              <w:overflowPunct/>
              <w:topLinePunct w:val="0"/>
              <w:autoSpaceDE/>
              <w:autoSpaceDN/>
              <w:bidi w:val="0"/>
              <w:adjustRightInd/>
              <w:spacing w:line="500" w:lineRule="exact"/>
              <w:ind w:firstLine="0" w:firstLineChars="0"/>
              <w:jc w:val="center"/>
              <w:textAlignment w:val="auto"/>
              <w:rPr>
                <w:rFonts w:hint="eastAsia" w:ascii="仿宋_GB2312" w:hAnsi="Calibri" w:eastAsia="仿宋_GB2312" w:cs="Times New Roman"/>
                <w:b/>
                <w:bCs/>
                <w:color w:val="auto"/>
                <w:sz w:val="32"/>
                <w:szCs w:val="32"/>
                <w:lang w:eastAsia="zh-CN"/>
              </w:rPr>
            </w:pPr>
            <w:r>
              <w:rPr>
                <w:rFonts w:hint="eastAsia" w:ascii="仿宋_GB2312" w:hAnsi="Calibri" w:eastAsia="仿宋_GB2312" w:cs="Times New Roman"/>
                <w:b/>
                <w:bCs/>
                <w:color w:val="auto"/>
                <w:sz w:val="32"/>
                <w:szCs w:val="32"/>
                <w:lang w:eastAsia="zh-CN"/>
              </w:rPr>
              <w:t>报价文件</w:t>
            </w:r>
          </w:p>
          <w:p>
            <w:pPr>
              <w:keepNext w:val="0"/>
              <w:keepLines w:val="0"/>
              <w:pageBreakBefore w:val="0"/>
              <w:kinsoku/>
              <w:wordWrap/>
              <w:overflowPunct/>
              <w:topLinePunct w:val="0"/>
              <w:autoSpaceDE/>
              <w:autoSpaceDN/>
              <w:bidi w:val="0"/>
              <w:adjustRightInd/>
              <w:spacing w:line="500" w:lineRule="exact"/>
              <w:ind w:firstLine="0" w:firstLineChars="0"/>
              <w:jc w:val="center"/>
              <w:textAlignment w:val="auto"/>
              <w:rPr>
                <w:rFonts w:hint="eastAsia" w:ascii="仿宋_GB2312" w:hAnsi="Calibri" w:eastAsia="仿宋_GB2312" w:cs="Times New Roman"/>
                <w:b/>
                <w:bCs/>
                <w:color w:val="FF0000"/>
                <w:sz w:val="32"/>
                <w:szCs w:val="32"/>
                <w:lang w:eastAsia="zh-CN"/>
              </w:rPr>
            </w:pPr>
            <w:r>
              <w:rPr>
                <w:rFonts w:hint="eastAsia" w:ascii="仿宋_GB2312" w:hAnsi="Calibri" w:eastAsia="仿宋_GB2312" w:cs="Times New Roman"/>
                <w:b/>
                <w:bCs/>
                <w:color w:val="auto"/>
                <w:sz w:val="32"/>
                <w:szCs w:val="32"/>
                <w:lang w:eastAsia="zh-CN"/>
              </w:rPr>
              <w:t>要求</w:t>
            </w:r>
          </w:p>
        </w:tc>
        <w:tc>
          <w:tcPr>
            <w:tcW w:w="7664"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1、</w:t>
            </w:r>
            <w:r>
              <w:rPr>
                <w:rFonts w:hint="default" w:ascii="Times New Roman" w:hAnsi="Times New Roman" w:eastAsia="宋体" w:cs="Times New Roman"/>
                <w:color w:val="auto"/>
                <w:sz w:val="28"/>
                <w:szCs w:val="28"/>
                <w:highlight w:val="none"/>
                <w:lang w:val="en-US" w:eastAsia="zh-CN"/>
              </w:rPr>
              <w:t>服务报价单；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2、</w:t>
            </w:r>
            <w:r>
              <w:rPr>
                <w:rFonts w:hint="default" w:ascii="Times New Roman" w:hAnsi="Times New Roman" w:eastAsia="宋体" w:cs="Times New Roman"/>
                <w:color w:val="auto"/>
                <w:sz w:val="28"/>
                <w:szCs w:val="28"/>
                <w:highlight w:val="none"/>
                <w:lang w:val="en-US" w:eastAsia="zh-CN"/>
              </w:rPr>
              <w:t>营业执照、税务登记证、组织机构代码证或者“三证合一”后的证件</w:t>
            </w:r>
            <w:r>
              <w:rPr>
                <w:rFonts w:hint="eastAsia" w:ascii="Times New Roman" w:hAnsi="Times New Roman" w:eastAsia="宋体" w:cs="Times New Roman"/>
                <w:color w:val="auto"/>
                <w:sz w:val="28"/>
                <w:szCs w:val="28"/>
                <w:highlight w:val="none"/>
                <w:lang w:val="en-US" w:eastAsia="zh-CN"/>
              </w:rPr>
              <w:t>或</w:t>
            </w:r>
            <w:r>
              <w:rPr>
                <w:rFonts w:hint="default" w:ascii="Times New Roman" w:hAnsi="Times New Roman" w:eastAsia="宋体" w:cs="Times New Roman"/>
                <w:color w:val="auto"/>
                <w:sz w:val="28"/>
                <w:szCs w:val="28"/>
                <w:highlight w:val="none"/>
                <w:lang w:val="en-US" w:eastAsia="zh-CN"/>
              </w:rPr>
              <w:t>具有独立法人资格或具有独立承担民事责任能力的证明文件（加盖公章）；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3、</w:t>
            </w:r>
            <w:r>
              <w:rPr>
                <w:rFonts w:hint="default" w:ascii="Times New Roman" w:hAnsi="Times New Roman" w:eastAsia="宋体" w:cs="Times New Roman"/>
                <w:color w:val="auto"/>
                <w:sz w:val="28"/>
                <w:szCs w:val="28"/>
                <w:highlight w:val="none"/>
                <w:lang w:val="en-US" w:eastAsia="zh-CN"/>
              </w:rPr>
              <w:t>近3年参与水环境遥感监测、土地利用遥感解译服务、海洋类遥感调查项目等同类服务项目经历或业绩清单；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4、</w:t>
            </w:r>
            <w:r>
              <w:rPr>
                <w:rFonts w:hint="default" w:ascii="Times New Roman" w:hAnsi="Times New Roman" w:eastAsia="宋体" w:cs="Times New Roman"/>
                <w:color w:val="auto"/>
                <w:sz w:val="28"/>
                <w:szCs w:val="28"/>
                <w:highlight w:val="none"/>
                <w:lang w:val="en-US" w:eastAsia="zh-CN"/>
              </w:rPr>
              <w:t>本单位员工的证明文件，以项目组人员通过供应商缴纳的近三个月中任意一个月的社保证明作为证明材料（加盖公章）；若供应商成立不足三个月的，需提供成立情况说明函（格式自拟），无需提供相关人员社保；</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5、拟投入的</w:t>
            </w:r>
            <w:r>
              <w:rPr>
                <w:rFonts w:hint="default" w:ascii="Times New Roman" w:hAnsi="Times New Roman" w:eastAsia="宋体" w:cs="Times New Roman"/>
                <w:color w:val="auto"/>
                <w:sz w:val="28"/>
                <w:szCs w:val="28"/>
                <w:highlight w:val="none"/>
                <w:lang w:val="en-US" w:eastAsia="zh-CN"/>
              </w:rPr>
              <w:t>人员学历</w:t>
            </w:r>
            <w:r>
              <w:rPr>
                <w:rFonts w:hint="eastAsia" w:ascii="Times New Roman" w:hAnsi="Times New Roman" w:eastAsia="宋体" w:cs="Times New Roman"/>
                <w:color w:val="auto"/>
                <w:sz w:val="28"/>
                <w:szCs w:val="28"/>
                <w:highlight w:val="none"/>
                <w:lang w:val="en-US" w:eastAsia="zh-CN"/>
              </w:rPr>
              <w:t>及职称</w:t>
            </w:r>
            <w:r>
              <w:rPr>
                <w:rFonts w:hint="default" w:ascii="Times New Roman" w:hAnsi="Times New Roman" w:eastAsia="宋体" w:cs="Times New Roman"/>
                <w:color w:val="auto"/>
                <w:sz w:val="28"/>
                <w:szCs w:val="28"/>
                <w:highlight w:val="none"/>
                <w:lang w:val="en-US" w:eastAsia="zh-CN"/>
              </w:rPr>
              <w:t>证明文件（复印件加盖公章）；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Calibri" w:hAnsi="Calibri" w:eastAsia="宋体" w:cs="Times New Roman"/>
                <w:color w:val="FF0000"/>
              </w:rPr>
            </w:pPr>
            <w:r>
              <w:rPr>
                <w:rFonts w:hint="eastAsia" w:ascii="Times New Roman" w:hAnsi="Times New Roman" w:eastAsia="宋体" w:cs="Times New Roman"/>
                <w:color w:val="auto"/>
                <w:sz w:val="28"/>
                <w:szCs w:val="28"/>
                <w:highlight w:val="none"/>
                <w:lang w:val="en-US" w:eastAsia="zh-CN"/>
              </w:rPr>
              <w:t>6、</w:t>
            </w:r>
            <w:r>
              <w:rPr>
                <w:rFonts w:hint="default" w:ascii="Times New Roman" w:hAnsi="Times New Roman" w:eastAsia="宋体" w:cs="Times New Roman"/>
                <w:color w:val="auto"/>
                <w:sz w:val="28"/>
                <w:szCs w:val="28"/>
                <w:highlight w:val="none"/>
                <w:lang w:val="en-US" w:eastAsia="zh-CN"/>
              </w:rPr>
              <w:t>服务方案，应包括整体思路、工作计划、投入的技术力量、产出的技术成果等。</w:t>
            </w:r>
          </w:p>
        </w:tc>
      </w:tr>
    </w:tbl>
    <w:p>
      <w:pPr>
        <w:keepNext w:val="0"/>
        <w:keepLines w:val="0"/>
        <w:pageBreakBefore w:val="0"/>
        <w:kinsoku/>
        <w:wordWrap/>
        <w:overflowPunct/>
        <w:topLinePunct w:val="0"/>
        <w:autoSpaceDE/>
        <w:autoSpaceDN/>
        <w:bidi w:val="0"/>
        <w:adjustRightInd/>
        <w:spacing w:line="500" w:lineRule="exact"/>
        <w:textAlignment w:val="auto"/>
        <w:rPr>
          <w:rFonts w:ascii="Calibri" w:hAnsi="Calibri" w:eastAsia="宋体" w:cs="Times New Roman"/>
        </w:rPr>
      </w:pP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3" w:firstLineChars="200"/>
        <w:jc w:val="both"/>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ascii="黑体" w:hAnsi="黑体" w:eastAsia="黑体" w:cs="黑体"/>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ascii="黑体" w:hAnsi="黑体" w:eastAsia="黑体" w:cs="黑体"/>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ascii="黑体" w:hAnsi="黑体" w:eastAsia="黑体" w:cs="黑体"/>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ascii="黑体" w:hAnsi="黑体" w:eastAsia="黑体" w:cs="黑体"/>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ascii="黑体" w:hAnsi="黑体" w:eastAsia="黑体" w:cs="黑体"/>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ascii="黑体" w:hAnsi="黑体" w:eastAsia="黑体" w:cs="黑体"/>
          <w:sz w:val="30"/>
          <w:szCs w:val="30"/>
          <w:lang w:val="en-US" w:eastAsia="zh-CN"/>
        </w:rPr>
      </w:pP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文鼎CS大宋">
    <w:panose1 w:val="02010609010101010101"/>
    <w:charset w:val="86"/>
    <w:family w:val="moder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ESI宋体-GB2312">
    <w:altName w:val="宋体"/>
    <w:panose1 w:val="02000500000000000000"/>
    <w:charset w:val="86"/>
    <w:family w:val="auto"/>
    <w:pitch w:val="default"/>
    <w:sig w:usb0="00000000" w:usb1="00000000" w:usb2="00000010"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524E2B"/>
    <w:multiLevelType w:val="singleLevel"/>
    <w:tmpl w:val="B4524E2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635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2026-07-21T08:52:49Z</dcterms:created>
  <dc:creator>701-JKB</dc:creator>
  <cp:lastModifiedBy>701-JKB</cp:lastModifiedBy>
  <dcterms:modified xsi:type="dcterms:W3CDTF">2026-07-21T08:53:04Z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