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汕头市联盛塑胶玩具实业有限公司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存钱罐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DS5019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2025年9月1日-2025年9月2日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20250901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存钱罐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431800</wp:posOffset>
                  </wp:positionV>
                  <wp:extent cx="1157605" cy="1377950"/>
                  <wp:effectExtent l="0" t="0" r="4445" b="1270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 w:bidi="ar"/>
              </w:rPr>
              <w:t>玩具外包装使用说明中玩具使用电池类型标识不正确，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不符合GB19865-2005标准要求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无法给消费者提供正确的指引，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会令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消费者使用不当造成伤害事故。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通知销售商立即停止销售缺陷产品，并在公司及销售商实体店铺发布召回公告，告知消费者具体召回事宜，为购买到缺陷产品的消费者免费更换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全新的符合安全要求的玩具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汕头市联盛塑胶玩具实业有限公司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13809674520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召回时间计划在202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202DA0"/>
    <w:rsid w:val="002875A6"/>
    <w:rsid w:val="002C61DB"/>
    <w:rsid w:val="00381FCB"/>
    <w:rsid w:val="003C2736"/>
    <w:rsid w:val="003E389C"/>
    <w:rsid w:val="003F117F"/>
    <w:rsid w:val="00514E65"/>
    <w:rsid w:val="00647866"/>
    <w:rsid w:val="006E1CCE"/>
    <w:rsid w:val="00754746"/>
    <w:rsid w:val="007E05D8"/>
    <w:rsid w:val="00837B53"/>
    <w:rsid w:val="00A52C30"/>
    <w:rsid w:val="00AB4F33"/>
    <w:rsid w:val="00B47652"/>
    <w:rsid w:val="00D03EE7"/>
    <w:rsid w:val="00E16854"/>
    <w:rsid w:val="00EF6ADE"/>
    <w:rsid w:val="00FE7AD3"/>
    <w:rsid w:val="00FF2D56"/>
    <w:rsid w:val="06BD5DFB"/>
    <w:rsid w:val="10A03235"/>
    <w:rsid w:val="1C2C5C99"/>
    <w:rsid w:val="3A670C5D"/>
    <w:rsid w:val="3B166B01"/>
    <w:rsid w:val="47DC42DE"/>
    <w:rsid w:val="49F97B6D"/>
    <w:rsid w:val="4C8C2048"/>
    <w:rsid w:val="4F164FFE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74</Words>
  <Characters>422</Characters>
  <Lines>3</Lines>
  <Paragraphs>1</Paragraphs>
  <TotalTime>6</TotalTime>
  <ScaleCrop>false</ScaleCrop>
  <LinksUpToDate>false</LinksUpToDate>
  <CharactersWithSpaces>495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Administrator</cp:lastModifiedBy>
  <cp:lastPrinted>2026-07-01T01:44:00Z</cp:lastPrinted>
  <dcterms:modified xsi:type="dcterms:W3CDTF">2026-07-07T10:13:46Z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92153379D9AF4E0E83F45DB94D590615_12</vt:lpwstr>
  </property>
</Properties>
</file>