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附件2</w:t>
      </w: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汕头市中心城区非居民管道</w:t>
      </w:r>
      <w:r>
        <w:rPr>
          <w:rFonts w:hint="default" w:ascii="Times New Roman" w:hAnsi="Times New Roman" w:eastAsia="方正小标宋简体" w:cs="Times New Roman"/>
          <w:sz w:val="44"/>
          <w:szCs w:val="44"/>
          <w:lang w:eastAsia="zh-CN"/>
        </w:rPr>
        <w:t>燃气</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价格联动机制起草说明</w:t>
      </w:r>
    </w:p>
    <w:p>
      <w:pPr>
        <w:pStyle w:val="9"/>
        <w:widowControl/>
        <w:spacing w:before="0" w:beforeAutospacing="0" w:after="0" w:afterAutospacing="0" w:line="600" w:lineRule="exact"/>
        <w:jc w:val="both"/>
        <w:rPr>
          <w:rFonts w:hint="default" w:ascii="Times New Roman" w:hAnsi="Times New Roman" w:eastAsia="仿宋" w:cs="Times New Roman"/>
          <w:kern w:val="2"/>
          <w:sz w:val="30"/>
          <w:szCs w:val="30"/>
        </w:rPr>
      </w:pPr>
    </w:p>
    <w:p>
      <w:pPr>
        <w:pStyle w:val="9"/>
        <w:widowControl/>
        <w:spacing w:before="0" w:beforeAutospacing="0" w:after="0" w:afterAutospacing="0" w:line="600" w:lineRule="exact"/>
        <w:ind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一、起草背景及过程</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kern w:val="2"/>
          <w:sz w:val="32"/>
          <w:szCs w:val="32"/>
        </w:rPr>
        <w:t>（一）联动机制起草背景。</w:t>
      </w:r>
      <w:r>
        <w:rPr>
          <w:rFonts w:hint="default" w:ascii="Times New Roman" w:hAnsi="Times New Roman" w:eastAsia="仿宋_GB2312" w:cs="Times New Roman"/>
          <w:kern w:val="2"/>
          <w:sz w:val="32"/>
          <w:szCs w:val="32"/>
        </w:rPr>
        <w:t>为贯彻落实国家和省关于推进</w:t>
      </w:r>
      <w:r>
        <w:rPr>
          <w:rFonts w:hint="default" w:ascii="Times New Roman" w:hAnsi="Times New Roman" w:eastAsia="仿宋_GB2312" w:cs="Times New Roman"/>
          <w:kern w:val="2"/>
          <w:sz w:val="32"/>
          <w:szCs w:val="32"/>
          <w:lang w:eastAsia="zh-CN"/>
        </w:rPr>
        <w:t>燃气</w:t>
      </w:r>
      <w:r>
        <w:rPr>
          <w:rFonts w:hint="default" w:ascii="Times New Roman" w:hAnsi="Times New Roman" w:eastAsia="仿宋_GB2312" w:cs="Times New Roman"/>
          <w:kern w:val="2"/>
          <w:sz w:val="32"/>
          <w:szCs w:val="32"/>
        </w:rPr>
        <w:t>价格市场化改革的有关要求，进一步完善</w:t>
      </w:r>
      <w:r>
        <w:rPr>
          <w:rFonts w:hint="default" w:ascii="Times New Roman" w:hAnsi="Times New Roman" w:eastAsia="仿宋_GB2312" w:cs="Times New Roman"/>
          <w:kern w:val="2"/>
          <w:sz w:val="32"/>
          <w:szCs w:val="32"/>
          <w:lang w:eastAsia="zh-CN"/>
        </w:rPr>
        <w:t>燃气</w:t>
      </w:r>
      <w:r>
        <w:rPr>
          <w:rFonts w:hint="default" w:ascii="Times New Roman" w:hAnsi="Times New Roman" w:eastAsia="仿宋_GB2312" w:cs="Times New Roman"/>
          <w:kern w:val="2"/>
          <w:sz w:val="32"/>
          <w:szCs w:val="32"/>
        </w:rPr>
        <w:t>价格形成机制，促进终端销售价格灵敏反映市场供需变化，维护企业和消费者合法权益，根据《广东省发展改革委关于印发&lt;广东省</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十四五</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时期深化价格机制改革实施方案&gt;的通知》</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粤发改价格〔2021〕470号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、《广东省人民政府办公厅关于印发&lt;广东省定价目录（2022年版）&gt;的通知》（粤府办〔2022〕5号）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《广东省发展改革委关于建立健全城镇管道天然气上下游价格联动机制的指导意见》（粤发改价格〔2023〕258号）</w:t>
      </w:r>
      <w:r>
        <w:rPr>
          <w:rFonts w:hint="default" w:ascii="Times New Roman" w:hAnsi="Times New Roman" w:eastAsia="仿宋_GB2312" w:cs="Times New Roman"/>
          <w:color w:val="auto"/>
          <w:kern w:val="2"/>
          <w:sz w:val="32"/>
          <w:szCs w:val="32"/>
          <w:lang w:val="en" w:eastAsia="zh-CN"/>
        </w:rPr>
        <w:t>（以下简称《指导意见》）</w:t>
      </w:r>
      <w:r>
        <w:rPr>
          <w:rFonts w:hint="default" w:ascii="Times New Roman" w:hAnsi="Times New Roman" w:eastAsia="仿宋_GB2312" w:cs="Times New Roman"/>
          <w:kern w:val="2"/>
          <w:sz w:val="32"/>
          <w:szCs w:val="32"/>
        </w:rPr>
        <w:t>等有关规定，尚未建立气价联动机制的市县，应按要求完成联动机制建立工作。全省21个地市中，有1</w:t>
      </w:r>
      <w:r>
        <w:rPr>
          <w:rFonts w:hint="default" w:ascii="Times New Roman" w:hAnsi="Times New Roman" w:eastAsia="仿宋_GB2312" w:cs="Times New Roman"/>
          <w:kern w:val="2"/>
          <w:sz w:val="32"/>
          <w:szCs w:val="32"/>
          <w:lang w:val="en-US" w:eastAsia="zh-CN"/>
        </w:rPr>
        <w:t>9</w:t>
      </w:r>
      <w:r>
        <w:rPr>
          <w:rFonts w:hint="default" w:ascii="Times New Roman" w:hAnsi="Times New Roman" w:eastAsia="仿宋_GB2312" w:cs="Times New Roman"/>
          <w:kern w:val="2"/>
          <w:sz w:val="32"/>
          <w:szCs w:val="32"/>
        </w:rPr>
        <w:t>个地市已建立联动机制</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个地市尚未建立联动机制（湛江市、汕头市）。另外，根据</w:t>
      </w:r>
      <w:r>
        <w:rPr>
          <w:rFonts w:hint="default" w:ascii="Times New Roman" w:hAnsi="Times New Roman" w:eastAsia="仿宋_GB2312" w:cs="Times New Roman"/>
          <w:kern w:val="2"/>
          <w:sz w:val="32"/>
          <w:szCs w:val="32"/>
          <w:highlight w:val="none"/>
        </w:rPr>
        <w:t>最新政策要求，已建立联动机制的地市大部分需重新修订联动机制。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highlight w:val="none"/>
          <w:lang w:eastAsia="zh-CN"/>
        </w:rPr>
        <w:t>（二）价格测算过程。</w:t>
      </w:r>
      <w:r>
        <w:rPr>
          <w:rFonts w:hint="default" w:ascii="Times New Roman" w:hAnsi="Times New Roman" w:eastAsia="仿宋_GB2312" w:cs="Times New Roman"/>
          <w:b w:val="0"/>
          <w:bCs w:val="0"/>
          <w:sz w:val="32"/>
          <w:szCs w:val="32"/>
          <w:highlight w:val="none"/>
          <w:lang w:eastAsia="zh-CN"/>
        </w:rPr>
        <w:t>根据</w:t>
      </w:r>
      <w:r>
        <w:rPr>
          <w:rFonts w:hint="default" w:ascii="Times New Roman" w:hAnsi="Times New Roman" w:eastAsia="仿宋_GB2312" w:cs="Times New Roman"/>
          <w:sz w:val="32"/>
          <w:szCs w:val="32"/>
          <w:highlight w:val="none"/>
          <w:lang w:val="en-US" w:eastAsia="zh-CN"/>
        </w:rPr>
        <w:t>《广东省发展改革委城镇管道燃气价格管理办法》（</w:t>
      </w:r>
      <w:r>
        <w:rPr>
          <w:rFonts w:hint="default" w:ascii="Times New Roman" w:hAnsi="Times New Roman" w:eastAsia="仿宋_GB2312" w:cs="Times New Roman"/>
          <w:kern w:val="2"/>
          <w:sz w:val="32"/>
          <w:szCs w:val="32"/>
          <w:lang w:eastAsia="zh-CN"/>
        </w:rPr>
        <w:t>粤发改规</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〕5号</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kern w:val="2"/>
          <w:sz w:val="32"/>
          <w:szCs w:val="32"/>
          <w:lang w:val="en" w:eastAsia="zh-CN"/>
        </w:rPr>
        <w:t>（以下简称《管理办法》），</w:t>
      </w:r>
      <w:r>
        <w:rPr>
          <w:rFonts w:hint="default" w:ascii="Times New Roman" w:hAnsi="Times New Roman" w:eastAsia="仿宋_GB2312" w:cs="Times New Roman"/>
          <w:sz w:val="32"/>
          <w:szCs w:val="32"/>
          <w:highlight w:val="none"/>
        </w:rPr>
        <w:t>我市中心城区</w:t>
      </w:r>
      <w:r>
        <w:rPr>
          <w:rFonts w:hint="default" w:ascii="Times New Roman" w:hAnsi="Times New Roman" w:eastAsia="仿宋_GB2312" w:cs="Times New Roman"/>
          <w:sz w:val="32"/>
          <w:szCs w:val="32"/>
          <w:highlight w:val="none"/>
          <w:lang w:eastAsia="zh-CN"/>
        </w:rPr>
        <w:t>现行</w:t>
      </w:r>
      <w:r>
        <w:rPr>
          <w:rFonts w:hint="default" w:ascii="Times New Roman" w:hAnsi="Times New Roman" w:eastAsia="仿宋_GB2312" w:cs="Times New Roman"/>
          <w:sz w:val="32"/>
          <w:szCs w:val="32"/>
          <w:highlight w:val="none"/>
        </w:rPr>
        <w:t>非居民管道</w:t>
      </w:r>
      <w:r>
        <w:rPr>
          <w:rFonts w:hint="default" w:ascii="Times New Roman" w:hAnsi="Times New Roman" w:eastAsia="仿宋_GB2312" w:cs="Times New Roman"/>
          <w:sz w:val="32"/>
          <w:szCs w:val="32"/>
        </w:rPr>
        <w:t>天然气销售价格实行</w:t>
      </w:r>
      <w:r>
        <w:rPr>
          <w:rFonts w:hint="eastAsia" w:ascii="Times New Roman" w:hAnsi="Times New Roman" w:eastAsia="仿宋_GB2312" w:cs="Times New Roman"/>
          <w:sz w:val="32"/>
          <w:szCs w:val="32"/>
          <w:lang w:eastAsia="zh-CN"/>
        </w:rPr>
        <w:t>基准价管理，</w:t>
      </w:r>
      <w:r>
        <w:rPr>
          <w:rFonts w:hint="default" w:ascii="Times New Roman" w:hAnsi="Times New Roman" w:eastAsia="仿宋_GB2312" w:cs="Times New Roman"/>
          <w:sz w:val="32"/>
          <w:szCs w:val="32"/>
        </w:rPr>
        <w:t>销售价格由气源价格和配气价格构成，计价方式为：销售价格=气源价格+配气价格。</w:t>
      </w:r>
    </w:p>
    <w:p>
      <w:pPr>
        <w:keepNext w:val="0"/>
        <w:keepLines w:val="0"/>
        <w:pageBreakBefore w:val="0"/>
        <w:widowControl/>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气源价格</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气源价格按实核算确定，</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val="en-US" w:eastAsia="zh-CN"/>
        </w:rPr>
        <w:t>2022-2024年供气企业提供的天然气气源采购总量为20699.85万</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，气源采购总金额为91808.42万元，气源采购平均价格为4.44元/</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；石油气气源采购总量为1100.02万</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，气源采购总金额为15391.09万元，气源采购平均价格为14.00元/</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w:t>
      </w:r>
    </w:p>
    <w:p>
      <w:pPr>
        <w:keepNext w:val="0"/>
        <w:keepLines w:val="0"/>
        <w:pageBreakBefore w:val="0"/>
        <w:widowControl/>
        <w:suppressAutoHyphen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i w:val="0"/>
          <w:sz w:val="32"/>
          <w:szCs w:val="32"/>
          <w:lang w:eastAsia="zh-CN"/>
        </w:rPr>
        <w:t>配气价格。</w:t>
      </w:r>
      <w:r>
        <w:rPr>
          <w:rFonts w:hint="eastAsia" w:ascii="Times New Roman" w:hAnsi="Times New Roman" w:eastAsia="仿宋_GB2312" w:cs="Times New Roman"/>
          <w:color w:val="auto"/>
          <w:kern w:val="2"/>
          <w:sz w:val="32"/>
          <w:szCs w:val="32"/>
          <w:lang w:val="en" w:eastAsia="zh-CN"/>
        </w:rPr>
        <w:t>根</w:t>
      </w:r>
      <w:r>
        <w:rPr>
          <w:rFonts w:hint="eastAsia" w:ascii="Times New Roman" w:hAnsi="Times New Roman" w:eastAsia="仿宋_GB2312" w:cs="Times New Roman"/>
          <w:color w:val="auto"/>
          <w:kern w:val="2"/>
          <w:sz w:val="32"/>
          <w:szCs w:val="32"/>
          <w:lang w:val="en" w:eastAsia="zh-CN"/>
        </w:rPr>
        <w:t>据</w:t>
      </w:r>
      <w:r>
        <w:rPr>
          <w:rFonts w:hint="default" w:ascii="Times New Roman" w:hAnsi="Times New Roman" w:eastAsia="仿宋_GB2312" w:cs="Times New Roman"/>
          <w:color w:val="auto"/>
          <w:kern w:val="2"/>
          <w:sz w:val="32"/>
          <w:szCs w:val="32"/>
          <w:lang w:val="en" w:eastAsia="zh-CN"/>
        </w:rPr>
        <w:t>《管理办法》</w:t>
      </w:r>
      <w:r>
        <w:rPr>
          <w:rFonts w:hint="eastAsia" w:ascii="Times New Roman" w:hAnsi="Times New Roman" w:eastAsia="仿宋_GB2312" w:cs="Times New Roman"/>
          <w:color w:val="auto"/>
          <w:kern w:val="2"/>
          <w:sz w:val="32"/>
          <w:szCs w:val="32"/>
          <w:lang w:val="en" w:eastAsia="zh-CN"/>
        </w:rPr>
        <w:t>规定，</w:t>
      </w:r>
      <w:r>
        <w:rPr>
          <w:rFonts w:hint="default" w:ascii="Times New Roman" w:hAnsi="Times New Roman" w:eastAsia="仿宋_GB2312" w:cs="Times New Roman"/>
          <w:b w:val="0"/>
          <w:bCs w:val="0"/>
          <w:i w:val="0"/>
          <w:sz w:val="32"/>
          <w:szCs w:val="32"/>
          <w:lang w:eastAsia="zh-CN"/>
        </w:rPr>
        <w:t>配气价格</w:t>
      </w:r>
      <w:r>
        <w:rPr>
          <w:rFonts w:hint="eastAsia" w:ascii="Times New Roman" w:hAnsi="Times New Roman" w:eastAsia="仿宋_GB2312" w:cs="Times New Roman"/>
          <w:b w:val="0"/>
          <w:bCs w:val="0"/>
          <w:i w:val="0"/>
          <w:sz w:val="32"/>
          <w:szCs w:val="32"/>
          <w:lang w:eastAsia="zh-CN"/>
        </w:rPr>
        <w:t>按照“准许成本加合理收益”的原则制定，通过核定燃气企业的准许成本，监管准许收益，考虑税收等因素确定年度准许总收入，制定配气价格。</w:t>
      </w:r>
      <w:r>
        <w:rPr>
          <w:rFonts w:hint="eastAsia" w:ascii="Times New Roman" w:hAnsi="Times New Roman" w:eastAsia="仿宋_GB2312" w:cs="Times New Roman"/>
          <w:b/>
          <w:bCs/>
          <w:i w:val="0"/>
          <w:sz w:val="32"/>
          <w:szCs w:val="32"/>
          <w:lang w:eastAsia="zh-CN"/>
        </w:rPr>
        <w:t>配气价格=年度准许总收入÷年度配送气量，年度准许收入=准许成本+准许收益+税费-其他业务收支净额，准许收益=有效资产*准许收益率，其中营运资本按运行维护费的20%确定。</w:t>
      </w:r>
      <w:r>
        <w:rPr>
          <w:rFonts w:hint="default" w:ascii="Times New Roman" w:hAnsi="Times New Roman" w:eastAsia="仿宋_GB2312" w:cs="Times New Roman"/>
          <w:sz w:val="32"/>
          <w:szCs w:val="32"/>
          <w:lang w:eastAsia="zh-CN"/>
        </w:rPr>
        <w:t>为确保所有测算数据准确且核算周期的一致性，本次配气价格依据</w:t>
      </w:r>
      <w:r>
        <w:rPr>
          <w:rFonts w:hint="default" w:ascii="Times New Roman" w:hAnsi="Times New Roman" w:eastAsia="仿宋_GB2312" w:cs="Times New Roman"/>
          <w:sz w:val="32"/>
          <w:szCs w:val="32"/>
          <w:lang w:val="en-US" w:eastAsia="zh-CN"/>
        </w:rPr>
        <w:t>2025年12月29日出具的</w:t>
      </w:r>
      <w:r>
        <w:rPr>
          <w:rFonts w:hint="default" w:ascii="Times New Roman" w:hAnsi="Times New Roman" w:eastAsia="仿宋_GB2312" w:cs="Times New Roman"/>
          <w:sz w:val="32"/>
          <w:szCs w:val="32"/>
          <w:lang w:eastAsia="zh-CN"/>
        </w:rPr>
        <w:t>《汕头市中心城区</w:t>
      </w:r>
      <w:r>
        <w:rPr>
          <w:rFonts w:hint="default" w:ascii="Times New Roman" w:hAnsi="Times New Roman" w:eastAsia="仿宋_GB2312" w:cs="Times New Roman"/>
          <w:sz w:val="32"/>
          <w:szCs w:val="32"/>
          <w:lang w:val="en-US" w:eastAsia="zh-CN"/>
        </w:rPr>
        <w:t>2022-2024年度城镇管道燃气配气成本监审报告</w:t>
      </w:r>
      <w:r>
        <w:rPr>
          <w:rFonts w:hint="default" w:ascii="Times New Roman" w:hAnsi="Times New Roman" w:eastAsia="仿宋_GB2312" w:cs="Times New Roman"/>
          <w:sz w:val="32"/>
          <w:szCs w:val="32"/>
          <w:lang w:eastAsia="zh-CN"/>
        </w:rPr>
        <w:t>》中气源采购、税费等数据统一以此周期进行测算，</w:t>
      </w:r>
      <w:r>
        <w:rPr>
          <w:rFonts w:hint="default" w:ascii="Times New Roman" w:hAnsi="Times New Roman" w:eastAsia="仿宋_GB2312" w:cs="Times New Roman"/>
          <w:sz w:val="32"/>
          <w:szCs w:val="32"/>
          <w:lang w:val="en-US" w:eastAsia="zh-CN"/>
        </w:rPr>
        <w:t>2022-2024年</w:t>
      </w:r>
      <w:r>
        <w:rPr>
          <w:rFonts w:hint="default" w:ascii="Times New Roman" w:hAnsi="Times New Roman" w:eastAsia="仿宋_GB2312" w:cs="Times New Roman"/>
          <w:sz w:val="32"/>
          <w:szCs w:val="32"/>
          <w:lang w:eastAsia="zh-CN"/>
        </w:rPr>
        <w:t>天然气准许成本为56628564.48元，有效资产373173313.46元，年度配送气量73261759.78</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eastAsia="zh-CN"/>
        </w:rPr>
        <w:t>，单位配气成本为</w:t>
      </w:r>
      <w:r>
        <w:rPr>
          <w:rFonts w:hint="default" w:ascii="Times New Roman" w:hAnsi="Times New Roman" w:eastAsia="仿宋_GB2312" w:cs="Times New Roman"/>
          <w:sz w:val="32"/>
          <w:szCs w:val="32"/>
          <w:lang w:val="en-US" w:eastAsia="zh-CN"/>
        </w:rPr>
        <w:t>0.77元/</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2022-2024年</w:t>
      </w:r>
      <w:r>
        <w:rPr>
          <w:rFonts w:hint="default" w:ascii="Times New Roman" w:hAnsi="Times New Roman" w:eastAsia="仿宋_GB2312" w:cs="Times New Roman"/>
          <w:sz w:val="32"/>
          <w:szCs w:val="32"/>
          <w:lang w:eastAsia="zh-CN"/>
        </w:rPr>
        <w:t>石油气准许成本为8837765.03元，有效资产24439826.61元，年度配送气量3944027.38</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eastAsia="zh-CN"/>
        </w:rPr>
        <w:t>，单位配气成本为</w:t>
      </w:r>
      <w:r>
        <w:rPr>
          <w:rFonts w:hint="default" w:ascii="Times New Roman" w:hAnsi="Times New Roman" w:eastAsia="仿宋_GB2312" w:cs="Times New Roman"/>
          <w:sz w:val="32"/>
          <w:szCs w:val="32"/>
          <w:lang w:val="en-US" w:eastAsia="zh-CN"/>
        </w:rPr>
        <w:t>2.24元/</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 w:eastAsia="zh-CN"/>
        </w:rPr>
        <w:t>根据《管理办法》：“准许收益率为税后全投资收益率，按不超过</w:t>
      </w:r>
      <w:r>
        <w:rPr>
          <w:rFonts w:hint="default" w:ascii="Times New Roman" w:hAnsi="Times New Roman" w:eastAsia="仿宋_GB2312" w:cs="Times New Roman"/>
          <w:color w:val="auto"/>
          <w:kern w:val="2"/>
          <w:sz w:val="32"/>
          <w:szCs w:val="32"/>
          <w:lang w:val="en-US" w:eastAsia="zh-CN"/>
        </w:rPr>
        <w:t>7%确定</w:t>
      </w:r>
      <w:r>
        <w:rPr>
          <w:rFonts w:hint="default" w:ascii="Times New Roman" w:hAnsi="Times New Roman" w:eastAsia="仿宋_GB2312" w:cs="Times New Roman"/>
          <w:color w:val="auto"/>
          <w:kern w:val="2"/>
          <w:sz w:val="32"/>
          <w:szCs w:val="32"/>
          <w:lang w:val="en" w:eastAsia="zh-CN"/>
        </w:rPr>
        <w:t>”的规定，</w:t>
      </w:r>
      <w:r>
        <w:rPr>
          <w:rFonts w:hint="default" w:ascii="Times New Roman" w:hAnsi="Times New Roman" w:eastAsia="仿宋_GB2312" w:cs="Times New Roman"/>
          <w:sz w:val="32"/>
          <w:szCs w:val="32"/>
          <w:lang w:eastAsia="zh-CN"/>
        </w:rPr>
        <w:t>我局以</w:t>
      </w:r>
      <w:r>
        <w:rPr>
          <w:rFonts w:hint="default" w:ascii="Times New Roman" w:hAnsi="Times New Roman" w:eastAsia="仿宋_GB2312" w:cs="Times New Roman"/>
          <w:sz w:val="32"/>
          <w:szCs w:val="32"/>
          <w:lang w:val="en-US" w:eastAsia="zh-CN"/>
        </w:rPr>
        <w:t>1%-7%的准许收益率进行</w:t>
      </w:r>
      <w:r>
        <w:rPr>
          <w:rFonts w:hint="eastAsia" w:ascii="Times New Roman" w:hAnsi="Times New Roman" w:eastAsia="仿宋_GB2312" w:cs="Times New Roman"/>
          <w:sz w:val="32"/>
          <w:szCs w:val="32"/>
          <w:lang w:val="en-US" w:eastAsia="zh-CN"/>
        </w:rPr>
        <w:t>测</w:t>
      </w:r>
      <w:r>
        <w:rPr>
          <w:rFonts w:hint="default" w:ascii="Times New Roman" w:hAnsi="Times New Roman" w:eastAsia="仿宋_GB2312" w:cs="Times New Roman"/>
          <w:sz w:val="32"/>
          <w:szCs w:val="32"/>
          <w:lang w:val="en-US" w:eastAsia="zh-CN"/>
        </w:rPr>
        <w:t>算</w:t>
      </w:r>
      <w:r>
        <w:rPr>
          <w:rFonts w:hint="default" w:ascii="Times New Roman" w:hAnsi="Times New Roman" w:eastAsia="仿宋_GB2312" w:cs="Times New Roman"/>
          <w:sz w:val="32"/>
          <w:szCs w:val="32"/>
          <w:lang w:eastAsia="zh-CN"/>
        </w:rPr>
        <w:t>配气价格（详见下表）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为降低用气企业的经营成本，同时减轻供气企业的经营压力，</w:t>
      </w:r>
      <w:r>
        <w:rPr>
          <w:rFonts w:hint="eastAsia" w:ascii="Times New Roman" w:hAnsi="Times New Roman" w:eastAsia="仿宋_GB2312" w:cs="Times New Roman"/>
          <w:sz w:val="32"/>
          <w:szCs w:val="32"/>
          <w:lang w:val="en-US" w:eastAsia="zh-CN"/>
        </w:rPr>
        <w:t>以3%的准许收益率确定配气价格，经计算管道天然气配气价格为1.19</w:t>
      </w:r>
      <w:r>
        <w:rPr>
          <w:rFonts w:hint="default" w:ascii="Times New Roman" w:hAnsi="Times New Roman" w:eastAsia="仿宋_GB2312" w:cs="Times New Roman"/>
          <w:sz w:val="32"/>
          <w:szCs w:val="32"/>
        </w:rPr>
        <w:t>元/m</w:t>
      </w:r>
      <w:r>
        <w:rPr>
          <w:rFonts w:hint="default" w:ascii="Times New Roman" w:hAnsi="Times New Roman" w:eastAsia="仿宋_GB2312" w:cs="Times New Roman"/>
          <w:sz w:val="32"/>
          <w:szCs w:val="32"/>
          <w:vertAlign w:val="superscript"/>
        </w:rPr>
        <w:t>3</w:t>
      </w:r>
      <w:r>
        <w:rPr>
          <w:rFonts w:hint="eastAsia" w:ascii="Times New Roman" w:hAnsi="Times New Roman" w:eastAsia="仿宋_GB2312" w:cs="Times New Roman"/>
          <w:sz w:val="32"/>
          <w:szCs w:val="32"/>
          <w:lang w:val="en-US" w:eastAsia="zh-CN"/>
        </w:rPr>
        <w:t>，管道石油气配气价格为3.21</w:t>
      </w:r>
      <w:r>
        <w:rPr>
          <w:rFonts w:hint="default" w:ascii="Times New Roman" w:hAnsi="Times New Roman" w:eastAsia="仿宋_GB2312" w:cs="Times New Roman"/>
          <w:sz w:val="32"/>
          <w:szCs w:val="32"/>
        </w:rPr>
        <w:t>元/m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eastAsia="zh-CN"/>
        </w:rPr>
        <w:t>。根据《广东省人民政府关于印发广东省促进天然气利用实施方案的通知》（粤府〔2018〕119号）规定，原则上地级以上市市辖区内的城镇管道天然气综合购销总差价（配气价格）最高不得超过</w:t>
      </w:r>
      <w:r>
        <w:rPr>
          <w:rFonts w:hint="default" w:ascii="Times New Roman" w:hAnsi="Times New Roman" w:eastAsia="仿宋_GB2312" w:cs="Times New Roman"/>
          <w:sz w:val="32"/>
          <w:szCs w:val="32"/>
          <w:lang w:val="en-US" w:eastAsia="zh-CN"/>
        </w:rPr>
        <w:t>1元/立方米。</w:t>
      </w:r>
      <w:r>
        <w:rPr>
          <w:rFonts w:hint="eastAsia" w:ascii="Times New Roman" w:hAnsi="Times New Roman" w:eastAsia="仿宋_GB2312" w:cs="Times New Roman"/>
          <w:sz w:val="32"/>
          <w:szCs w:val="32"/>
          <w:lang w:val="en-US" w:eastAsia="zh-CN"/>
        </w:rPr>
        <w:t>因此核定管道天然气配气价格为1元</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管道石油气配气价格为</w:t>
      </w:r>
      <w:r>
        <w:rPr>
          <w:rFonts w:hint="default" w:ascii="Times New Roman" w:hAnsi="Times New Roman" w:eastAsia="仿宋_GB2312" w:cs="Times New Roman"/>
          <w:sz w:val="32"/>
          <w:szCs w:val="32"/>
          <w:vertAlign w:val="baseline"/>
          <w:lang w:val="en-US" w:eastAsia="zh-CN"/>
        </w:rPr>
        <w:t>3.</w:t>
      </w:r>
      <w:r>
        <w:rPr>
          <w:rFonts w:hint="eastAsia" w:ascii="Times New Roman" w:hAnsi="Times New Roman" w:eastAsia="仿宋_GB2312" w:cs="Times New Roman"/>
          <w:sz w:val="32"/>
          <w:szCs w:val="32"/>
          <w:vertAlign w:val="baseline"/>
          <w:lang w:val="en-US" w:eastAsia="zh-CN"/>
        </w:rPr>
        <w:t>21</w:t>
      </w:r>
      <w:r>
        <w:rPr>
          <w:rFonts w:hint="default" w:ascii="Times New Roman" w:hAnsi="Times New Roman" w:eastAsia="仿宋_GB2312" w:cs="Times New Roman"/>
          <w:sz w:val="32"/>
          <w:szCs w:val="32"/>
        </w:rPr>
        <w:t>元/m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val="0"/>
        <w:overflowPunct/>
        <w:topLinePunct w:val="0"/>
        <w:autoSpaceDE/>
        <w:autoSpaceDN/>
        <w:bidi w:val="0"/>
        <w:adjustRightInd/>
        <w:snapToGrid/>
        <w:spacing w:before="157" w:beforeLines="50" w:after="0" w:line="520" w:lineRule="exact"/>
        <w:ind w:left="862" w:right="862"/>
        <w:textAlignment w:val="auto"/>
        <w:rPr>
          <w:rFonts w:hint="default" w:ascii="Times New Roman" w:hAnsi="Times New Roman" w:eastAsia="仿宋_GB2312" w:cs="Times New Roman"/>
          <w:b/>
          <w:bCs/>
          <w:i w:val="0"/>
          <w:sz w:val="32"/>
          <w:szCs w:val="32"/>
          <w:lang w:eastAsia="zh-CN"/>
        </w:rPr>
      </w:pPr>
      <w:r>
        <w:rPr>
          <w:rFonts w:hint="default" w:ascii="Times New Roman" w:hAnsi="Times New Roman" w:eastAsia="仿宋_GB2312" w:cs="Times New Roman"/>
          <w:b/>
          <w:bCs/>
          <w:i w:val="0"/>
          <w:sz w:val="32"/>
          <w:szCs w:val="32"/>
          <w:lang w:eastAsia="zh-CN"/>
        </w:rPr>
        <w:t>管道燃气配气价格测算表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单位：</w:t>
      </w:r>
      <w:r>
        <w:rPr>
          <w:rFonts w:hint="default" w:ascii="Times New Roman" w:hAnsi="Times New Roman" w:eastAsia="仿宋_GB2312" w:cs="Times New Roman"/>
          <w:sz w:val="28"/>
          <w:szCs w:val="28"/>
        </w:rPr>
        <w:t>元/m</w:t>
      </w:r>
      <w:r>
        <w:rPr>
          <w:rFonts w:hint="default" w:ascii="Times New Roman" w:hAnsi="Times New Roman" w:eastAsia="仿宋_GB2312" w:cs="Times New Roman"/>
          <w:sz w:val="28"/>
          <w:szCs w:val="28"/>
          <w:vertAlign w:val="superscript"/>
        </w:rPr>
        <w:t>3</w:t>
      </w:r>
    </w:p>
    <w:tbl>
      <w:tblPr>
        <w:tblStyle w:val="11"/>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828"/>
        <w:gridCol w:w="222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收益率</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燃气类型</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配气价格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2"/>
                <w:szCs w:val="22"/>
                <w:vertAlign w:val="baseline"/>
                <w:lang w:val="en-US" w:eastAsia="zh-CN"/>
              </w:rPr>
              <w:t>（税前）</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配气价格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（税后）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0.99</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2.82</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1.04</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2.89</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color w:val="FF0000"/>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color w:val="FF0000"/>
                <w:sz w:val="28"/>
                <w:szCs w:val="28"/>
                <w:vertAlign w:val="baseline"/>
                <w:lang w:val="en-US" w:eastAsia="zh-CN"/>
              </w:rPr>
              <w:t>1.09</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color w:val="FF0000"/>
                <w:sz w:val="28"/>
                <w:szCs w:val="28"/>
                <w:vertAlign w:val="baseli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color w:val="FF0000"/>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color w:val="FF0000"/>
                <w:sz w:val="28"/>
                <w:szCs w:val="28"/>
                <w:vertAlign w:val="baseline"/>
                <w:lang w:val="en-US" w:eastAsia="zh-CN"/>
              </w:rPr>
              <w:t>2.95</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color w:val="FF0000"/>
                <w:sz w:val="28"/>
                <w:szCs w:val="28"/>
                <w:vertAlign w:val="baseline"/>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1.14</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3.01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1.19</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3.07</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1.24</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3.13</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天然气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1.30</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石油气</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3.20</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3.48</w:t>
            </w: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b/>
          <w:bCs/>
          <w:sz w:val="32"/>
          <w:szCs w:val="32"/>
        </w:rPr>
        <w:t>销售价格</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color w:val="auto"/>
          <w:kern w:val="2"/>
          <w:sz w:val="32"/>
          <w:szCs w:val="32"/>
          <w:lang w:val="en" w:eastAsia="zh-CN"/>
        </w:rPr>
        <w:t>根据《管理办法》《指导</w:t>
      </w:r>
      <w:r>
        <w:rPr>
          <w:rFonts w:hint="default" w:ascii="Times New Roman" w:hAnsi="Times New Roman" w:eastAsia="仿宋_GB2312" w:cs="Times New Roman"/>
          <w:color w:val="auto"/>
          <w:kern w:val="2"/>
          <w:sz w:val="32"/>
          <w:szCs w:val="32"/>
          <w:lang w:val="en" w:eastAsia="zh-CN"/>
        </w:rPr>
        <w:t>意见》的相关规定，非居民配气价格和销售价格实行政府指导价，各地可结合实际确定基准价及其浮动幅度，</w:t>
      </w:r>
      <w:r>
        <w:rPr>
          <w:rFonts w:hint="default" w:ascii="Times New Roman" w:hAnsi="Times New Roman" w:eastAsia="仿宋_GB2312" w:cs="Times New Roman"/>
          <w:color w:val="auto"/>
          <w:sz w:val="32"/>
          <w:szCs w:val="32"/>
        </w:rPr>
        <w:t>上浮</w:t>
      </w:r>
      <w:r>
        <w:rPr>
          <w:rFonts w:hint="default" w:ascii="Times New Roman" w:hAnsi="Times New Roman" w:eastAsia="仿宋_GB2312" w:cs="Times New Roman"/>
          <w:color w:val="auto"/>
          <w:sz w:val="32"/>
          <w:szCs w:val="32"/>
          <w:lang w:eastAsia="zh-CN"/>
        </w:rPr>
        <w:t>最高不得超过</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下浮不限</w:t>
      </w:r>
      <w:r>
        <w:rPr>
          <w:rFonts w:hint="default" w:ascii="Times New Roman" w:hAnsi="Times New Roman" w:eastAsia="仿宋_GB2312" w:cs="Times New Roman"/>
          <w:color w:val="auto"/>
          <w:sz w:val="32"/>
          <w:szCs w:val="32"/>
          <w:lang w:eastAsia="zh-CN"/>
        </w:rPr>
        <w:t>的范围内确定销售价格。</w:t>
      </w:r>
      <w:r>
        <w:rPr>
          <w:rFonts w:hint="default" w:ascii="Times New Roman" w:hAnsi="Times New Roman" w:eastAsia="仿宋_GB2312" w:cs="Times New Roman"/>
          <w:sz w:val="32"/>
          <w:szCs w:val="32"/>
          <w:lang w:eastAsia="zh-CN"/>
        </w:rPr>
        <w:t>此次核算的气源采购价格作为本次中心城区管道燃气销售价格调整确认的气源价格，以及启动价格联动机制的基期采购价格。</w:t>
      </w:r>
      <w:r>
        <w:rPr>
          <w:rFonts w:hint="default" w:ascii="Times New Roman" w:hAnsi="Times New Roman" w:eastAsia="仿宋_GB2312" w:cs="Times New Roman"/>
          <w:sz w:val="32"/>
          <w:szCs w:val="32"/>
        </w:rPr>
        <w:t>基准销售价格=气源价格+配气价格</w:t>
      </w:r>
      <w:r>
        <w:rPr>
          <w:rFonts w:hint="default" w:ascii="Times New Roman" w:hAnsi="Times New Roman" w:eastAsia="仿宋_GB2312" w:cs="Times New Roman"/>
          <w:sz w:val="32"/>
          <w:szCs w:val="32"/>
          <w:lang w:val="en-US" w:eastAsia="zh-CN"/>
        </w:rPr>
        <w:t>，即天然气</w:t>
      </w:r>
      <w:r>
        <w:rPr>
          <w:rFonts w:hint="default" w:ascii="Times New Roman" w:hAnsi="Times New Roman" w:eastAsia="仿宋_GB2312" w:cs="Times New Roman"/>
          <w:sz w:val="32"/>
          <w:szCs w:val="32"/>
        </w:rPr>
        <w:t>基准销售价格</w:t>
      </w:r>
      <w:r>
        <w:rPr>
          <w:rFonts w:hint="default" w:ascii="Times New Roman" w:hAnsi="Times New Roman" w:eastAsia="仿宋_GB2312" w:cs="Times New Roman"/>
          <w:sz w:val="32"/>
          <w:szCs w:val="32"/>
          <w:lang w:val="en-US" w:eastAsia="zh-CN"/>
        </w:rPr>
        <w:t>为5.44</w:t>
      </w:r>
      <w:r>
        <w:rPr>
          <w:rFonts w:hint="default" w:ascii="Times New Roman" w:hAnsi="Times New Roman" w:eastAsia="仿宋_GB2312" w:cs="Times New Roman"/>
          <w:sz w:val="32"/>
          <w:szCs w:val="32"/>
        </w:rPr>
        <w:t>元/m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，石油气</w:t>
      </w:r>
      <w:r>
        <w:rPr>
          <w:rFonts w:hint="default" w:ascii="Times New Roman" w:hAnsi="Times New Roman" w:eastAsia="仿宋_GB2312" w:cs="Times New Roman"/>
          <w:sz w:val="32"/>
          <w:szCs w:val="32"/>
        </w:rPr>
        <w:t>基准销售价格</w:t>
      </w:r>
      <w:r>
        <w:rPr>
          <w:rFonts w:hint="default" w:ascii="Times New Roman" w:hAnsi="Times New Roman" w:eastAsia="仿宋_GB2312" w:cs="Times New Roman"/>
          <w:sz w:val="32"/>
          <w:szCs w:val="32"/>
          <w:lang w:val="en-US" w:eastAsia="zh-CN"/>
        </w:rPr>
        <w:t>为17.</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元/m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供需双方可以</w:t>
      </w:r>
      <w:r>
        <w:rPr>
          <w:rFonts w:hint="default" w:ascii="Times New Roman" w:hAnsi="Times New Roman" w:eastAsia="仿宋_GB2312" w:cs="Times New Roman"/>
          <w:sz w:val="32"/>
          <w:szCs w:val="32"/>
          <w:lang w:val="en-US" w:eastAsia="zh-CN"/>
        </w:rPr>
        <w:t>基准</w:t>
      </w:r>
      <w:r>
        <w:rPr>
          <w:rFonts w:hint="default" w:ascii="Times New Roman" w:hAnsi="Times New Roman" w:eastAsia="仿宋_GB2312" w:cs="Times New Roman"/>
          <w:sz w:val="32"/>
          <w:szCs w:val="32"/>
        </w:rPr>
        <w:t>销售价格</w:t>
      </w:r>
      <w:r>
        <w:rPr>
          <w:rFonts w:hint="default" w:ascii="Times New Roman" w:hAnsi="Times New Roman" w:eastAsia="仿宋_GB2312" w:cs="Times New Roman"/>
          <w:sz w:val="32"/>
          <w:szCs w:val="32"/>
          <w:lang w:val="en-US" w:eastAsia="zh-CN"/>
        </w:rPr>
        <w:t>为基础，在上浮不得超过20%，下浮不限的范围内协商确定具体价格。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仿宋_GB2312" w:cs="Times New Roman"/>
          <w:sz w:val="32"/>
          <w:szCs w:val="32"/>
        </w:rPr>
        <w:t>目前，我市非居</w:t>
      </w:r>
      <w:r>
        <w:rPr>
          <w:rFonts w:hint="default" w:ascii="Times New Roman" w:hAnsi="Times New Roman" w:eastAsia="仿宋_GB2312" w:cs="Times New Roman"/>
          <w:sz w:val="32"/>
          <w:szCs w:val="32"/>
          <w:lang w:eastAsia="zh-CN"/>
        </w:rPr>
        <w:t>民</w:t>
      </w:r>
      <w:r>
        <w:rPr>
          <w:rFonts w:hint="default" w:ascii="Times New Roman" w:hAnsi="Times New Roman" w:eastAsia="仿宋_GB2312" w:cs="Times New Roman"/>
          <w:sz w:val="32"/>
          <w:szCs w:val="32"/>
        </w:rPr>
        <w:t>用户实行基准价格管理，实行动态联动调整，在气源价格发生一定幅度的变化时适时调整非居</w:t>
      </w:r>
      <w:r>
        <w:rPr>
          <w:rFonts w:hint="default" w:ascii="Times New Roman" w:hAnsi="Times New Roman" w:eastAsia="仿宋_GB2312" w:cs="Times New Roman"/>
          <w:sz w:val="32"/>
          <w:szCs w:val="32"/>
          <w:lang w:eastAsia="zh-CN"/>
        </w:rPr>
        <w:t>民管道燃气</w:t>
      </w:r>
      <w:r>
        <w:rPr>
          <w:rFonts w:hint="default" w:ascii="Times New Roman" w:hAnsi="Times New Roman" w:eastAsia="仿宋_GB2312" w:cs="Times New Roman"/>
          <w:sz w:val="32"/>
          <w:szCs w:val="32"/>
        </w:rPr>
        <w:t>价格。经与省发展改革委多次沟通对接我市中心城区实际联动情况，省发展改革委认为，虽然我市在实际的操作中根据</w:t>
      </w:r>
      <w:r>
        <w:rPr>
          <w:rFonts w:hint="default" w:ascii="Times New Roman" w:hAnsi="Times New Roman" w:eastAsia="仿宋_GB2312" w:cs="Times New Roman"/>
          <w:sz w:val="32"/>
          <w:szCs w:val="32"/>
          <w:lang w:eastAsia="zh-CN"/>
        </w:rPr>
        <w:t>燃气</w:t>
      </w:r>
      <w:r>
        <w:rPr>
          <w:rFonts w:hint="default" w:ascii="Times New Roman" w:hAnsi="Times New Roman" w:eastAsia="仿宋_GB2312" w:cs="Times New Roman"/>
          <w:sz w:val="32"/>
          <w:szCs w:val="32"/>
        </w:rPr>
        <w:t>采购价格变化情况实行动态联动调整，但没有出台相关机制，且我市长输气管道接通的时间未能确定，所以还是要建立非居民管道</w:t>
      </w:r>
      <w:r>
        <w:rPr>
          <w:rFonts w:hint="default" w:ascii="Times New Roman" w:hAnsi="Times New Roman" w:eastAsia="仿宋_GB2312" w:cs="Times New Roman"/>
          <w:sz w:val="32"/>
          <w:szCs w:val="32"/>
          <w:lang w:eastAsia="zh-CN"/>
        </w:rPr>
        <w:t>燃气</w:t>
      </w:r>
      <w:r>
        <w:rPr>
          <w:rFonts w:hint="default" w:ascii="Times New Roman" w:hAnsi="Times New Roman" w:eastAsia="仿宋_GB2312" w:cs="Times New Roman"/>
          <w:sz w:val="32"/>
          <w:szCs w:val="32"/>
        </w:rPr>
        <w:t>价格联动机制。</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kern w:val="2"/>
          <w:sz w:val="32"/>
          <w:szCs w:val="32"/>
          <w:lang w:eastAsia="zh-CN"/>
        </w:rPr>
        <w:t>（三）联动机制</w:t>
      </w:r>
      <w:r>
        <w:rPr>
          <w:rFonts w:hint="default" w:ascii="Times New Roman" w:hAnsi="Times New Roman" w:eastAsia="楷体_GB2312" w:cs="Times New Roman"/>
          <w:kern w:val="2"/>
          <w:sz w:val="32"/>
          <w:szCs w:val="32"/>
        </w:rPr>
        <w:t>制定过程。</w:t>
      </w:r>
      <w:r>
        <w:rPr>
          <w:rFonts w:hint="default" w:ascii="Times New Roman" w:hAnsi="Times New Roman" w:eastAsia="仿宋_GB2312" w:cs="Times New Roman"/>
          <w:kern w:val="2"/>
          <w:sz w:val="32"/>
          <w:szCs w:val="32"/>
        </w:rPr>
        <w:t>结合我市实际，我局草拟了《联动机制》，通过书面</w:t>
      </w:r>
      <w:r>
        <w:rPr>
          <w:rFonts w:hint="default" w:ascii="Times New Roman" w:hAnsi="Times New Roman" w:eastAsia="仿宋_GB2312" w:cs="Times New Roman"/>
          <w:kern w:val="2"/>
          <w:sz w:val="32"/>
          <w:szCs w:val="32"/>
          <w:lang w:eastAsia="zh-CN"/>
        </w:rPr>
        <w:t>、政府网和</w:t>
      </w:r>
      <w:r>
        <w:rPr>
          <w:rFonts w:hint="default" w:ascii="Times New Roman" w:hAnsi="Times New Roman" w:eastAsia="仿宋_GB2312" w:cs="Times New Roman"/>
          <w:kern w:val="2"/>
          <w:sz w:val="32"/>
          <w:szCs w:val="32"/>
        </w:rPr>
        <w:t>召开</w:t>
      </w:r>
      <w:r>
        <w:rPr>
          <w:rFonts w:hint="default" w:ascii="Times New Roman" w:hAnsi="Times New Roman" w:eastAsia="仿宋_GB2312" w:cs="Times New Roman"/>
          <w:kern w:val="2"/>
          <w:sz w:val="32"/>
          <w:szCs w:val="32"/>
          <w:lang w:eastAsia="zh-CN"/>
        </w:rPr>
        <w:t>专题</w:t>
      </w:r>
      <w:r>
        <w:rPr>
          <w:rFonts w:hint="default" w:ascii="Times New Roman" w:hAnsi="Times New Roman" w:eastAsia="仿宋_GB2312" w:cs="Times New Roman"/>
          <w:kern w:val="2"/>
          <w:sz w:val="32"/>
          <w:szCs w:val="32"/>
        </w:rPr>
        <w:t>座谈会</w:t>
      </w:r>
      <w:r>
        <w:rPr>
          <w:rFonts w:hint="default" w:ascii="Times New Roman" w:hAnsi="Times New Roman" w:eastAsia="仿宋_GB2312" w:cs="Times New Roman"/>
          <w:kern w:val="2"/>
          <w:sz w:val="32"/>
          <w:szCs w:val="32"/>
          <w:lang w:eastAsia="zh-CN"/>
        </w:rPr>
        <w:t>等形式</w:t>
      </w:r>
      <w:r>
        <w:rPr>
          <w:rFonts w:hint="default" w:ascii="Times New Roman" w:hAnsi="Times New Roman" w:eastAsia="仿宋_GB2312" w:cs="Times New Roman"/>
          <w:kern w:val="2"/>
          <w:sz w:val="32"/>
          <w:szCs w:val="32"/>
        </w:rPr>
        <w:t>征求市有关单位</w:t>
      </w:r>
      <w:r>
        <w:rPr>
          <w:rFonts w:hint="default" w:ascii="Times New Roman" w:hAnsi="Times New Roman" w:eastAsia="仿宋_GB2312" w:cs="Times New Roman"/>
          <w:kern w:val="2"/>
          <w:sz w:val="32"/>
          <w:szCs w:val="32"/>
          <w:lang w:eastAsia="zh-CN"/>
        </w:rPr>
        <w:t>和社会公众</w:t>
      </w:r>
      <w:r>
        <w:rPr>
          <w:rFonts w:hint="default" w:ascii="Times New Roman" w:hAnsi="Times New Roman" w:eastAsia="仿宋_GB2312" w:cs="Times New Roman"/>
          <w:kern w:val="2"/>
          <w:sz w:val="32"/>
          <w:szCs w:val="32"/>
        </w:rPr>
        <w:t>意见</w:t>
      </w:r>
      <w:r>
        <w:rPr>
          <w:rFonts w:hint="default" w:ascii="Times New Roman" w:hAnsi="Times New Roman" w:eastAsia="仿宋_GB2312"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1.书面征求意见情况。</w:t>
      </w:r>
      <w:r>
        <w:rPr>
          <w:rFonts w:hint="default" w:ascii="Times New Roman" w:hAnsi="Times New Roman" w:eastAsia="仿宋_GB2312" w:cs="Times New Roman"/>
          <w:sz w:val="32"/>
          <w:szCs w:val="32"/>
          <w:lang w:val="en-US" w:eastAsia="zh-CN"/>
        </w:rPr>
        <w:t>2025年12月22日，我局发函书面征求</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US" w:eastAsia="zh-CN"/>
        </w:rPr>
        <w:t>工业和信息化局、</w:t>
      </w:r>
      <w:r>
        <w:rPr>
          <w:rFonts w:hint="default" w:ascii="Times New Roman" w:hAnsi="Times New Roman" w:eastAsia="仿宋_GB2312" w:cs="Times New Roman"/>
          <w:spacing w:val="0"/>
          <w:sz w:val="32"/>
          <w:szCs w:val="32"/>
          <w:lang w:val="en-US" w:eastAsia="zh-CN"/>
        </w:rPr>
        <w:t>住房城乡建设局、</w:t>
      </w:r>
      <w:r>
        <w:rPr>
          <w:rFonts w:hint="default" w:ascii="Times New Roman" w:hAnsi="Times New Roman" w:eastAsia="仿宋_GB2312" w:cs="Times New Roman"/>
          <w:sz w:val="32"/>
          <w:szCs w:val="32"/>
          <w:lang w:val="en-US" w:eastAsia="zh-CN"/>
        </w:rPr>
        <w:t>市场监管局</w:t>
      </w:r>
      <w:r>
        <w:rPr>
          <w:rFonts w:hint="default" w:ascii="Times New Roman" w:hAnsi="Times New Roman" w:eastAsia="仿宋_GB2312" w:cs="Times New Roman"/>
          <w:spacing w:val="0"/>
          <w:sz w:val="32"/>
          <w:szCs w:val="32"/>
          <w:lang w:val="en-US" w:eastAsia="zh-CN"/>
        </w:rPr>
        <w:t>，各区（县）</w:t>
      </w:r>
      <w:r>
        <w:rPr>
          <w:rFonts w:hint="default" w:ascii="Times New Roman" w:hAnsi="Times New Roman" w:eastAsia="仿宋_GB2312" w:cs="Times New Roman"/>
          <w:sz w:val="32"/>
          <w:szCs w:val="32"/>
          <w:lang w:eastAsia="zh-CN"/>
        </w:rPr>
        <w:t>发展改革</w:t>
      </w:r>
      <w:r>
        <w:rPr>
          <w:rFonts w:hint="default" w:ascii="Times New Roman" w:hAnsi="Times New Roman" w:eastAsia="仿宋_GB2312" w:cs="Times New Roman"/>
          <w:kern w:val="2"/>
          <w:sz w:val="32"/>
          <w:szCs w:val="32"/>
          <w:lang w:val="en-US" w:eastAsia="zh-CN" w:bidi="ar-SA"/>
        </w:rPr>
        <w:t>局，市华润新奥燃气有限公司意见，潮阳发展改革局反馈依据</w:t>
      </w:r>
      <w:r>
        <w:rPr>
          <w:rFonts w:hint="default" w:ascii="Times New Roman" w:hAnsi="Times New Roman" w:eastAsia="仿宋_GB2312" w:cs="Times New Roman"/>
          <w:kern w:val="2"/>
          <w:sz w:val="32"/>
          <w:szCs w:val="32"/>
          <w:lang w:val="en" w:eastAsia="zh-CN" w:bidi="ar-SA"/>
        </w:rPr>
        <w:t>《管理办法》相关规定</w:t>
      </w:r>
      <w:r>
        <w:rPr>
          <w:rFonts w:hint="default" w:ascii="Times New Roman" w:hAnsi="Times New Roman" w:eastAsia="仿宋_GB2312" w:cs="Times New Roman"/>
          <w:kern w:val="2"/>
          <w:sz w:val="32"/>
          <w:szCs w:val="32"/>
          <w:lang w:val="en-US" w:eastAsia="zh-CN" w:bidi="ar-SA"/>
        </w:rPr>
        <w:t>，建议将机制的后段：“汕头市中心城区以外的其他区县的非居民管道燃气价格，可参照本联动机制有关规定，自行制定属地非居民管道燃气价格联动机制。”修改为：“汕头市中心城区以外的其他区县的非居民管道天然气价格，由同一个燃气企业经营，可按本联动机制执行。”汕头市华润新奥燃气有限公司建议删除联动机制起草说明中涉及的价格敏感信息，其他单位反馈无意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2.公开</w:t>
      </w:r>
      <w:r>
        <w:rPr>
          <w:rFonts w:hint="default" w:ascii="Times New Roman" w:hAnsi="Times New Roman" w:eastAsia="仿宋_GB2312" w:cs="Times New Roman"/>
          <w:b/>
          <w:bCs/>
          <w:sz w:val="32"/>
          <w:szCs w:val="32"/>
          <w:lang w:eastAsia="zh-CN"/>
        </w:rPr>
        <w:t>征求</w:t>
      </w:r>
      <w:r>
        <w:rPr>
          <w:rFonts w:hint="default" w:ascii="Times New Roman" w:hAnsi="Times New Roman" w:eastAsia="仿宋_GB2312" w:cs="Times New Roman"/>
          <w:b/>
          <w:bCs/>
          <w:sz w:val="32"/>
          <w:szCs w:val="32"/>
          <w:lang w:val="en-US" w:eastAsia="zh-CN"/>
        </w:rPr>
        <w:t>社会公众意见情况。</w:t>
      </w:r>
      <w:r>
        <w:rPr>
          <w:rFonts w:hint="default" w:ascii="Times New Roman" w:hAnsi="Times New Roman" w:eastAsia="仿宋_GB2312" w:cs="Times New Roman"/>
          <w:sz w:val="32"/>
          <w:szCs w:val="32"/>
          <w:lang w:val="en-US" w:eastAsia="zh-CN"/>
        </w:rPr>
        <w:t>2025年12月23日于我局官网向社会</w:t>
      </w:r>
      <w:r>
        <w:rPr>
          <w:rFonts w:hint="default" w:ascii="Times New Roman" w:hAnsi="Times New Roman" w:eastAsia="仿宋_GB2312" w:cs="Times New Roman"/>
          <w:sz w:val="32"/>
          <w:szCs w:val="32"/>
          <w:lang w:eastAsia="zh-CN"/>
        </w:rPr>
        <w:t>征求《汕头市中心城区非居民管道天然气价格联动机制（征求意见稿）》意见，未收到有关意见。</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3.召开</w:t>
      </w:r>
      <w:r>
        <w:rPr>
          <w:rFonts w:hint="default" w:ascii="Times New Roman" w:hAnsi="Times New Roman" w:eastAsia="仿宋_GB2312" w:cs="Times New Roman"/>
          <w:b/>
          <w:bCs/>
          <w:kern w:val="2"/>
          <w:sz w:val="32"/>
          <w:szCs w:val="32"/>
          <w:lang w:eastAsia="zh-CN"/>
        </w:rPr>
        <w:t>专题</w:t>
      </w:r>
      <w:r>
        <w:rPr>
          <w:rFonts w:hint="default" w:ascii="Times New Roman" w:hAnsi="Times New Roman" w:eastAsia="仿宋_GB2312" w:cs="Times New Roman"/>
          <w:b/>
          <w:bCs/>
          <w:kern w:val="2"/>
          <w:sz w:val="32"/>
          <w:szCs w:val="32"/>
        </w:rPr>
        <w:t>座谈会</w:t>
      </w:r>
      <w:r>
        <w:rPr>
          <w:rFonts w:hint="default" w:ascii="Times New Roman" w:hAnsi="Times New Roman" w:eastAsia="仿宋_GB2312" w:cs="Times New Roman"/>
          <w:b/>
          <w:bCs/>
          <w:kern w:val="2"/>
          <w:sz w:val="32"/>
          <w:szCs w:val="32"/>
          <w:lang w:eastAsia="zh-CN"/>
        </w:rPr>
        <w:t>情况。</w:t>
      </w:r>
      <w:r>
        <w:rPr>
          <w:rFonts w:hint="default" w:ascii="Times New Roman" w:hAnsi="Times New Roman" w:eastAsia="仿宋_GB2312" w:cs="Times New Roman"/>
          <w:sz w:val="32"/>
          <w:szCs w:val="32"/>
          <w:lang w:val="en-US" w:eastAsia="zh-CN"/>
        </w:rPr>
        <w:t>2026年1月29日，</w:t>
      </w:r>
      <w:r>
        <w:rPr>
          <w:rFonts w:hint="default" w:ascii="Times New Roman" w:hAnsi="Times New Roman" w:eastAsia="仿宋_GB2312" w:cs="Times New Roman"/>
          <w:kern w:val="2"/>
          <w:sz w:val="32"/>
          <w:szCs w:val="32"/>
          <w:lang w:val="en-US" w:eastAsia="zh-CN" w:bidi="ar-SA"/>
        </w:rPr>
        <w:t>我局召开专题座谈会，市有关单位、燃气协会和用气企业代表认为，制定联动机制很有必要，维护了企业和消费者合法权益，也助推城镇燃气安全稳定供应，同时提出了加快推进管输气接通、提供低价优质气源和保障措施等意见建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rPr>
        <w:t>4.与省发改委相关处室协调情况。</w:t>
      </w:r>
      <w:r>
        <w:rPr>
          <w:rFonts w:hint="default" w:ascii="Times New Roman" w:hAnsi="Times New Roman" w:eastAsia="仿宋_GB2312" w:cs="Times New Roman"/>
          <w:kern w:val="2"/>
          <w:sz w:val="32"/>
          <w:szCs w:val="32"/>
          <w:lang w:val="en-US" w:eastAsia="zh-CN" w:bidi="ar-SA"/>
        </w:rPr>
        <w:t>3月中下旬，联动机制完成局内部合法性审查后，为确保联动机制的合规性和合理性，我局与省发改委相关处室对接，省发改委提出要在联动机制中明确基准价及上浮幅度，才能计算下一周期内上下浮动幅度是否达到或超过的规定幅度。我局按照省发改委要求，测算核实气源价格、配气价格，并重新完善相关内容。</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下来我局将再次征求有关部门和社会公众意见，按照制定价格政策程序进行公平竞争审查、合法性审查、召开价审会、局长办公会议研究，并报市司法部门进行备案审查，力争6月</w:t>
      </w:r>
      <w:r>
        <w:rPr>
          <w:rFonts w:hint="eastAsia" w:ascii="Times New Roman" w:hAnsi="Times New Roman" w:eastAsia="仿宋_GB2312" w:cs="Times New Roman"/>
          <w:kern w:val="2"/>
          <w:sz w:val="32"/>
          <w:szCs w:val="32"/>
          <w:lang w:val="en-US" w:eastAsia="zh-CN" w:bidi="ar-SA"/>
        </w:rPr>
        <w:t>底</w:t>
      </w:r>
      <w:r>
        <w:rPr>
          <w:rFonts w:hint="default" w:ascii="Times New Roman" w:hAnsi="Times New Roman" w:eastAsia="仿宋_GB2312" w:cs="Times New Roman"/>
          <w:kern w:val="2"/>
          <w:sz w:val="32"/>
          <w:szCs w:val="32"/>
          <w:lang w:val="en-US" w:eastAsia="zh-CN" w:bidi="ar-SA"/>
        </w:rPr>
        <w:t>前报请市政府审定，7月上旬前印发实施。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二</w:t>
      </w:r>
      <w:r>
        <w:rPr>
          <w:rFonts w:hint="default" w:ascii="Times New Roman" w:hAnsi="Times New Roman" w:eastAsia="黑体" w:cs="Times New Roman"/>
          <w:kern w:val="2"/>
          <w:sz w:val="32"/>
          <w:szCs w:val="32"/>
        </w:rPr>
        <w:t>、制定机制的必要性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制定价格联动机制符合相关政策要求。《广东省发展改革委关于印发&lt;广东省“十四五”时期深化价格机制改革实施方案&gt;的通知》（粤发改价格〔2021〕470号）规定：“稳步推进燃气价格市场化改革。结合燃气建设运营机制和价格机制改革进程，完善终端销售价格与气源采购价格联动机制，探索推进终端非居民用户销售价格市场化；</w:t>
      </w:r>
      <w:r>
        <w:rPr>
          <w:rFonts w:hint="default" w:ascii="Times New Roman" w:hAnsi="Times New Roman" w:eastAsia="仿宋_GB2312" w:cs="Times New Roman"/>
          <w:kern w:val="2"/>
          <w:sz w:val="32"/>
          <w:szCs w:val="32"/>
          <w:lang w:val="en" w:eastAsia="zh-CN" w:bidi="ar-SA"/>
        </w:rPr>
        <w:t>《指导意见》</w:t>
      </w:r>
      <w:r>
        <w:rPr>
          <w:rFonts w:hint="default" w:ascii="Times New Roman" w:hAnsi="Times New Roman" w:eastAsia="仿宋_GB2312" w:cs="Times New Roman"/>
          <w:kern w:val="2"/>
          <w:sz w:val="32"/>
          <w:szCs w:val="32"/>
          <w:lang w:val="en-US" w:eastAsia="zh-CN" w:bidi="ar-SA"/>
        </w:rPr>
        <w:t>规定：“天然气上下游价格联动由各地按照价格管理权限实施。各地可综合考虑当地气源特点、用户结构和市场状况，合理设立实施联动的工作程序及具体操作细则，报当地政府同意后，可在规定调整金额或幅度内，由发展改革部门按机制调整销售价格，提高联动时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避免因气源价格波动大而频繁调整销售价格。受国内外形势的影响，2021-2022年出现气源紧张、价格波动大、价格上涨速度快，我市中心城区2021年5-12月气源采购价格从3490元/吨逐步上涨至8000元/吨（5.79元/m³），共计调整34次；2022年最高涨至9600元/吨（7.04元/m³），共计调整32次，全年平均仍维持在7700元/吨（5.58元/m³）的高位采购价格。2023年-2024年采购成本略有回落，但采购均价仍保持在5244元/吨（3.80元/m³），整体气价成本仍处于高位，且呈现涨跌交替、变动频繁的情况，按照现行的管理模式，需要实行动态联动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是有利于用气企业控制终端成本。近年来，因价格波动频繁、变动周期不稳定等原因，用气企业控制终端成本难，影响企业生产，出现用户改用其他替代能源或减产的情况。燃气作为清洁能源，其经济性逐步显现，但价格波动对企业成本构成挑战，需建立长效调节机制，将终端销售价格与气源采购成本动态挂钩，确保企业合理收益，预留统筹空间。同时减少对用户的短期冲击，建立联动机制促进资源合理利用，保障燃气供应安全，实现供需平衡。</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420" w:leftChars="200" w:firstLine="320" w:firstLineChars="100"/>
        <w:jc w:val="left"/>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三</w:t>
      </w:r>
      <w:r>
        <w:rPr>
          <w:rFonts w:hint="default" w:ascii="Times New Roman" w:hAnsi="Times New Roman" w:eastAsia="黑体" w:cs="Times New Roman"/>
          <w:kern w:val="2"/>
          <w:sz w:val="32"/>
          <w:szCs w:val="32"/>
        </w:rPr>
        <w:t>、近年来我市用气价格情况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前几年，因国际气源价格大幅上涨，同时受“三桶油”划片区管理的规则限制，华润公司无法享受到华润燃气公司华南总部与中海油签订的长协合同优惠，导致目前我市大部分气源只能采用临时协议价格，通过二级气源供应商从惠来LNG接收站购买，在气价上涨时无长协合同保障，价格受市场影响大，特别是自2022—2024年以来，全省非居民燃气价格持续上涨，我市2022年天然气销售价格比2020年增长了近90%，增幅在全省最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
        </w:rPr>
      </w:pPr>
      <w:r>
        <w:rPr>
          <w:rFonts w:hint="default" w:ascii="Times New Roman" w:hAnsi="Times New Roman" w:eastAsia="楷体_GB2312" w:cs="Times New Roman"/>
          <w:sz w:val="32"/>
          <w:szCs w:val="32"/>
        </w:rPr>
        <w:t>（一）</w:t>
      </w:r>
      <w:r>
        <w:rPr>
          <w:rFonts w:hint="default" w:ascii="Times New Roman" w:hAnsi="Times New Roman" w:eastAsia="仿宋_GB2312" w:cs="Times New Roman"/>
          <w:sz w:val="32"/>
          <w:szCs w:val="32"/>
        </w:rPr>
        <w:t>2024年</w:t>
      </w:r>
      <w:r>
        <w:rPr>
          <w:rFonts w:hint="default" w:ascii="Times New Roman" w:hAnsi="Times New Roman" w:eastAsia="楷体_GB2312" w:cs="Times New Roman"/>
          <w:sz w:val="32"/>
          <w:szCs w:val="32"/>
        </w:rPr>
        <w:t>我市与省内城市天然气价格情况对比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11月份调查数据显示，对比珠三角和周边地市，我市天然气非居用户销售价格在全省21个地市中属较高位，汕头地区平均非居销售价格在全省排第8名（价格排序从高往低），我市工业天然气销售价格（4.54元/m³）比广州、东莞、湛江、揭阳、潮州等13市高，比韶关、茂名、深圳、河源、汕尾、云浮、梅州7市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
        </w:rPr>
      </w:pPr>
      <w:r>
        <w:rPr>
          <w:rFonts w:hint="default" w:ascii="Times New Roman" w:hAnsi="Times New Roman" w:eastAsia="楷体_GB2312" w:cs="Times New Roman"/>
          <w:sz w:val="32"/>
          <w:szCs w:val="32"/>
        </w:rPr>
        <w:t>（二）</w:t>
      </w:r>
      <w:r>
        <w:rPr>
          <w:rFonts w:hint="default" w:ascii="Times New Roman" w:hAnsi="Times New Roman" w:eastAsia="仿宋_GB2312" w:cs="Times New Roman"/>
          <w:sz w:val="32"/>
          <w:szCs w:val="32"/>
        </w:rPr>
        <w:t>2025</w:t>
      </w:r>
      <w:r>
        <w:rPr>
          <w:rFonts w:hint="default" w:ascii="Times New Roman" w:hAnsi="Times New Roman" w:eastAsia="楷体_GB2312" w:cs="Times New Roman"/>
          <w:sz w:val="32"/>
          <w:szCs w:val="32"/>
        </w:rPr>
        <w:t>年我市与省内城市天然气价格情况对比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近年来，汕头市华润新奥燃气有限公司通过积极筹划多方资源，力争获取低成本气源，</w:t>
      </w:r>
      <w:bookmarkStart w:id="0" w:name="OLE_LINK7"/>
      <w:r>
        <w:rPr>
          <w:rFonts w:hint="default" w:ascii="Times New Roman" w:hAnsi="Times New Roman" w:eastAsia="仿宋_GB2312" w:cs="Times New Roman"/>
          <w:kern w:val="2"/>
          <w:sz w:val="32"/>
          <w:szCs w:val="32"/>
          <w:lang w:val="en-US" w:eastAsia="zh-CN" w:bidi="ar-SA"/>
        </w:rPr>
        <w:t>采购成本得到优化</w:t>
      </w:r>
      <w:bookmarkEnd w:id="0"/>
      <w:r>
        <w:rPr>
          <w:rFonts w:hint="default" w:ascii="Times New Roman" w:hAnsi="Times New Roman" w:eastAsia="仿宋_GB2312" w:cs="Times New Roman"/>
          <w:kern w:val="2"/>
          <w:sz w:val="32"/>
          <w:szCs w:val="32"/>
          <w:lang w:val="en-US" w:eastAsia="zh-CN" w:bidi="ar-SA"/>
        </w:rPr>
        <w:t>，销售价格逐步走低。以11月份调查数据显示，对比珠三角和周边地市，我市天然气非居用户销售价格在全省21个地市中属中等水平，汕头地区平均非居销售价格在全省排第13名（价格排序从高往低），我市天然气非居用户销售价格（4.27元/m³）比清远、佛山、江门、惠州、潮州市等8市高，比广州、深圳、茂名、汕尾、梅州市等12市低。</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四、主要政策依据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（一）《广东省发展改革委关于印发&lt;广东省“十四五”时期深化价格机制改革实施方案&gt;的通知》（粤发改价格〔2021〕470号）；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（二）《广东省人民政府办公厅关于印发&lt;广东省定价目录（2022年版）&gt;的通知》（粤府办〔2022〕5号）；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（三）《广东省发展改革委关于建立健全城镇管道天然气上下游价格联动机制的指导意见》（粤发改价格〔2023〕258号）；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 w:eastAsia="zh-CN" w:bidi="ar-SA"/>
        </w:rPr>
      </w:pPr>
      <w:r>
        <w:rPr>
          <w:rFonts w:hint="default"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 w:eastAsia="zh-CN" w:bidi="ar-SA"/>
        </w:rPr>
        <w:t>《广东省发展改革委关于印发〈广东省发展改革委城镇管道燃气价格管理办法〉的通知》（粤发改规〔2025〕5号）；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五、机制主要内容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该机制在</w:t>
      </w:r>
      <w:r>
        <w:rPr>
          <w:rFonts w:hint="default" w:ascii="Times New Roman" w:hAnsi="Times New Roman" w:eastAsia="仿宋_GB2312" w:cs="Times New Roman"/>
          <w:kern w:val="2"/>
          <w:sz w:val="32"/>
          <w:szCs w:val="32"/>
          <w:lang w:val="en" w:eastAsia="zh-CN" w:bidi="ar-SA"/>
        </w:rPr>
        <w:t>《指导意见》</w:t>
      </w:r>
      <w:r>
        <w:rPr>
          <w:rFonts w:hint="default" w:ascii="Times New Roman" w:hAnsi="Times New Roman" w:eastAsia="仿宋_GB2312" w:cs="Times New Roman"/>
          <w:kern w:val="2"/>
          <w:sz w:val="32"/>
          <w:szCs w:val="32"/>
          <w:lang w:val="en-US" w:eastAsia="zh-CN" w:bidi="ar-SA"/>
        </w:rPr>
        <w:t>的基础上，借鉴其周边市已有机制的工作经验，结合汕头实际情况进行了优化完善。主要有：</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建立的联动机制的范围为龙湖区、金平区、濠江区范围内非居民管道燃气终端销售价格。主要考虑：根据《管理办法》第六条规定：“城镇管道燃气价格授权市、县人民政府制定和调整，市管所辖城区及跨县（市）的城镇管道燃气价格，县管辖区内的城镇管道燃气价格。若整个地级以上市辖区内均由同一个管道燃气经营企业经营，则由地级以上市统一制定管道燃气价格”。目前汕头市中心城区（金平区、龙湖区、濠江区）由汕头市华润新奥燃气公司统一经营，已建成市政燃气管线640多公里，低压燃气管线460多公里，与潮阳、潮南区取得特许经营权的公司系同一控股方，有利于后期形成供气“一张网”，且华润燃气的气源采购业务是由汕头区域调度中心统一采购、统一调度、统一与上游结算。因此，由华润燃气供应的汕头市中心城区城镇管道燃气销售价格机制由市统一制定。</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联动公式</w:t>
      </w: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我市联动公式与</w:t>
      </w:r>
      <w:r>
        <w:rPr>
          <w:rFonts w:hint="eastAsia" w:ascii="仿宋_GB2312" w:hAnsi="仿宋_GB2312" w:eastAsia="仿宋_GB2312" w:cs="仿宋_GB2312"/>
          <w:kern w:val="2"/>
          <w:sz w:val="32"/>
          <w:szCs w:val="32"/>
          <w:lang w:val="en" w:eastAsia="zh-CN"/>
        </w:rPr>
        <w:t>《指导意见》</w:t>
      </w:r>
      <w:r>
        <w:rPr>
          <w:rFonts w:hint="eastAsia" w:ascii="仿宋_GB2312" w:hAnsi="仿宋_GB2312" w:eastAsia="仿宋_GB2312" w:cs="仿宋_GB2312"/>
          <w:sz w:val="32"/>
          <w:szCs w:val="32"/>
        </w:rPr>
        <w:t>的联动公式基本一致，调整后非居民管道</w:t>
      </w:r>
      <w:r>
        <w:rPr>
          <w:rFonts w:hint="eastAsia" w:ascii="仿宋_GB2312" w:hAnsi="仿宋_GB2312" w:eastAsia="仿宋_GB2312" w:cs="仿宋_GB2312"/>
          <w:sz w:val="32"/>
          <w:szCs w:val="32"/>
          <w:lang w:eastAsia="zh-CN"/>
        </w:rPr>
        <w:t>燃气</w:t>
      </w:r>
      <w:r>
        <w:rPr>
          <w:rFonts w:hint="eastAsia" w:ascii="仿宋_GB2312" w:hAnsi="仿宋_GB2312" w:eastAsia="仿宋_GB2312" w:cs="仿宋_GB2312"/>
          <w:sz w:val="32"/>
          <w:szCs w:val="32"/>
        </w:rPr>
        <w:t>基准销售价格=现行非居民管道</w:t>
      </w:r>
      <w:r>
        <w:rPr>
          <w:rFonts w:hint="eastAsia" w:ascii="仿宋_GB2312" w:hAnsi="仿宋_GB2312" w:eastAsia="仿宋_GB2312" w:cs="仿宋_GB2312"/>
          <w:sz w:val="32"/>
          <w:szCs w:val="32"/>
          <w:lang w:eastAsia="zh-CN"/>
        </w:rPr>
        <w:t>燃气</w:t>
      </w:r>
      <w:r>
        <w:rPr>
          <w:rFonts w:hint="eastAsia" w:ascii="仿宋_GB2312" w:hAnsi="仿宋_GB2312" w:eastAsia="仿宋_GB2312" w:cs="仿宋_GB2312"/>
          <w:sz w:val="32"/>
          <w:szCs w:val="32"/>
        </w:rPr>
        <w:t>基准销售价格+非居民用气价格联动调整额，非居民用气价格联动调整额=（本期加权平均气源采购价格-上期加权平均气源采购价格）/（1-供销差率）±上期应调未调影响单价及偏差价格。优化的地方主要是</w:t>
      </w:r>
      <w:r>
        <w:rPr>
          <w:rFonts w:hint="eastAsia" w:ascii="仿宋_GB2312" w:hAnsi="仿宋_GB2312" w:eastAsia="仿宋_GB2312" w:cs="仿宋_GB2312"/>
          <w:sz w:val="32"/>
          <w:szCs w:val="32"/>
          <w:lang w:val="en-US" w:eastAsia="zh-CN"/>
        </w:rPr>
        <w:t>供需双方</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lang w:val="en-US" w:eastAsia="zh-CN"/>
        </w:rPr>
        <w:t>基准</w:t>
      </w:r>
      <w:r>
        <w:rPr>
          <w:rFonts w:hint="eastAsia" w:ascii="仿宋_GB2312" w:hAnsi="仿宋_GB2312" w:eastAsia="仿宋_GB2312" w:cs="仿宋_GB2312"/>
          <w:sz w:val="32"/>
          <w:szCs w:val="32"/>
        </w:rPr>
        <w:t>销售价格</w:t>
      </w:r>
      <w:r>
        <w:rPr>
          <w:rFonts w:hint="eastAsia" w:ascii="仿宋_GB2312" w:hAnsi="仿宋_GB2312" w:eastAsia="仿宋_GB2312" w:cs="仿宋_GB2312"/>
          <w:sz w:val="32"/>
          <w:szCs w:val="32"/>
          <w:lang w:val="en-US" w:eastAsia="zh-CN"/>
        </w:rPr>
        <w:t>为基础，在上浮不得超过</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，下浮不限的范围内协商确定具体价格。</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联动周期</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启动条件</w:t>
      </w:r>
      <w:r>
        <w:rPr>
          <w:rFonts w:hint="eastAsia" w:ascii="Times New Roman" w:hAnsi="Times New Roman" w:eastAsia="楷体_GB2312" w:cs="Times New Roman"/>
          <w:sz w:val="32"/>
          <w:szCs w:val="32"/>
          <w:lang w:eastAsia="zh-CN"/>
        </w:rPr>
        <w:t>及调价程序</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1.联动周期</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非居民管道</w:t>
      </w:r>
      <w:r>
        <w:rPr>
          <w:rFonts w:hint="default" w:ascii="Times New Roman" w:hAnsi="Times New Roman" w:eastAsia="仿宋_GB2312" w:cs="Times New Roman"/>
          <w:sz w:val="32"/>
          <w:szCs w:val="32"/>
          <w:lang w:eastAsia="zh-CN"/>
        </w:rPr>
        <w:t>燃气</w:t>
      </w:r>
      <w:r>
        <w:rPr>
          <w:rFonts w:hint="default" w:ascii="Times New Roman" w:hAnsi="Times New Roman" w:eastAsia="仿宋_GB2312" w:cs="Times New Roman"/>
          <w:sz w:val="32"/>
          <w:szCs w:val="32"/>
        </w:rPr>
        <w:t>原则上以90天为一个联动实施周期。根据</w:t>
      </w:r>
      <w:r>
        <w:rPr>
          <w:rFonts w:hint="default" w:ascii="Times New Roman" w:hAnsi="Times New Roman" w:eastAsia="仿宋_GB2312" w:cs="Times New Roman"/>
          <w:kern w:val="2"/>
          <w:sz w:val="32"/>
          <w:szCs w:val="32"/>
          <w:lang w:val="en" w:eastAsia="zh-CN"/>
        </w:rPr>
        <w:t>《指导意见》</w:t>
      </w:r>
      <w:r>
        <w:rPr>
          <w:rFonts w:hint="default" w:ascii="Times New Roman" w:hAnsi="Times New Roman" w:eastAsia="仿宋_GB2312" w:cs="Times New Roman"/>
          <w:sz w:val="32"/>
          <w:szCs w:val="32"/>
        </w:rPr>
        <w:t>要求，非居民用气终端销售价格可按月、季度或半年联动。建议以90天为一个联动实施周期。主要考虑：联动周期过短、调价过于频繁不利于企业提前安排生产销售和制定发展计划，大部分企业倾向于稳定气价。经调研，潮州市、深圳市、梅州兴宁市联动周期90天，广州市、惠州市、江门市、揭阳市联动周期为6个月。根据终端企业需求，结合汕头市区的实际情况及与汕头市区接壤的潮州市的联动机制，联动周期定为90天较合理。</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2.启动条件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当前周期结束时，如果下一个周期非居民管道</w:t>
      </w:r>
      <w:r>
        <w:rPr>
          <w:rFonts w:hint="default" w:ascii="Times New Roman" w:hAnsi="Times New Roman" w:eastAsia="仿宋_GB2312" w:cs="Times New Roman"/>
          <w:sz w:val="32"/>
          <w:szCs w:val="32"/>
          <w:lang w:eastAsia="zh-CN"/>
        </w:rPr>
        <w:t>燃气</w:t>
      </w:r>
      <w:r>
        <w:rPr>
          <w:rFonts w:hint="default" w:ascii="Times New Roman" w:hAnsi="Times New Roman" w:eastAsia="仿宋_GB2312" w:cs="Times New Roman"/>
          <w:sz w:val="32"/>
          <w:szCs w:val="32"/>
        </w:rPr>
        <w:t>综合采购价格相比上一周期基期价格上下浮动幅度达到或超过5%以上时，实行价格联动，终端销售价格同向调整；未达到5%的，价格不联动，即当前周期终端销售价格继续沿用。主要考虑：省内已建立联动机制的地市设置幅度主要在3%-8%，其中清远设3%、广州、佛山设4%，深圳、惠州、江门设5%，珠海、茂名设8% 。考虑设置3%的幅度较低，8%较高，建议设置5%较为合适。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联动机制举例如下：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a.某企业2025年12月采购成本为3.5元/m³，现行非居民管道天然气基准销售价格则=3.5+1=4.5元/m³；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b.某企业2026年3月（一个监管周期），若采购成本较3.5元/m³上下浮动幅度小于5%，则不调整，若采购成本上下浮动幅度达到或超过5%，则启动联动调整机制（详见表格）。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 w:name="_GoBack"/>
      <w:bookmarkEnd w:id="1"/>
    </w:p>
    <w:tbl>
      <w:tblPr>
        <w:tblStyle w:val="11"/>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983"/>
        <w:gridCol w:w="990"/>
        <w:gridCol w:w="1160"/>
        <w:gridCol w:w="25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70" w:type="dxa"/>
            <w:gridSpan w:val="6"/>
            <w:tcBorders>
              <w:top w:val="nil"/>
              <w:left w:val="nil"/>
              <w:right w:val="nil"/>
            </w:tcBorders>
            <w:vAlign w:val="center"/>
          </w:tcPr>
          <w:p>
            <w:pPr>
              <w:jc w:val="right"/>
              <w:rPr>
                <w:rFonts w:hint="default" w:ascii="Times New Roman" w:hAnsi="Times New Roman" w:eastAsia="仿宋_GB2312" w:cs="Times New Roman"/>
                <w:sz w:val="18"/>
                <w:szCs w:val="18"/>
              </w:rPr>
            </w:pPr>
            <w:r>
              <w:rPr>
                <w:rFonts w:hint="default" w:ascii="Times New Roman" w:hAnsi="Times New Roman" w:eastAsia="仿宋_GB2312" w:cs="Times New Roman"/>
                <w:sz w:val="24"/>
              </w:rPr>
              <w:t>单位：元/m³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57"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假设调整期成本单价</w:t>
            </w:r>
          </w:p>
        </w:tc>
        <w:tc>
          <w:tcPr>
            <w:tcW w:w="983"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成本变动幅度</w:t>
            </w:r>
          </w:p>
        </w:tc>
        <w:tc>
          <w:tcPr>
            <w:tcW w:w="99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是否启动调整</w:t>
            </w:r>
          </w:p>
        </w:tc>
        <w:tc>
          <w:tcPr>
            <w:tcW w:w="116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假定供销差</w:t>
            </w:r>
          </w:p>
        </w:tc>
        <w:tc>
          <w:tcPr>
            <w:tcW w:w="258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联动调整额</w:t>
            </w:r>
          </w:p>
        </w:tc>
        <w:tc>
          <w:tcPr>
            <w:tcW w:w="180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调整后基准</w:t>
            </w:r>
          </w:p>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57"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3.4</w:t>
            </w:r>
          </w:p>
        </w:tc>
        <w:tc>
          <w:tcPr>
            <w:tcW w:w="983"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-2.8%</w:t>
            </w:r>
          </w:p>
        </w:tc>
        <w:tc>
          <w:tcPr>
            <w:tcW w:w="99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否</w:t>
            </w:r>
          </w:p>
        </w:tc>
        <w:tc>
          <w:tcPr>
            <w:tcW w:w="116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w:t>
            </w:r>
          </w:p>
        </w:tc>
        <w:tc>
          <w:tcPr>
            <w:tcW w:w="258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w:t>
            </w:r>
          </w:p>
        </w:tc>
        <w:tc>
          <w:tcPr>
            <w:tcW w:w="180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57"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3.2</w:t>
            </w:r>
          </w:p>
        </w:tc>
        <w:tc>
          <w:tcPr>
            <w:tcW w:w="983"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-8.5%</w:t>
            </w:r>
          </w:p>
        </w:tc>
        <w:tc>
          <w:tcPr>
            <w:tcW w:w="99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是</w:t>
            </w:r>
          </w:p>
        </w:tc>
        <w:tc>
          <w:tcPr>
            <w:tcW w:w="116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2%</w:t>
            </w:r>
          </w:p>
        </w:tc>
        <w:tc>
          <w:tcPr>
            <w:tcW w:w="258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（3.2-3.5）/（1-2%）=-0.29</w:t>
            </w:r>
          </w:p>
        </w:tc>
        <w:tc>
          <w:tcPr>
            <w:tcW w:w="180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4.5-0.29=4.21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57"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3.8</w:t>
            </w:r>
          </w:p>
        </w:tc>
        <w:tc>
          <w:tcPr>
            <w:tcW w:w="983"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8.5%</w:t>
            </w:r>
          </w:p>
        </w:tc>
        <w:tc>
          <w:tcPr>
            <w:tcW w:w="99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是</w:t>
            </w:r>
          </w:p>
        </w:tc>
        <w:tc>
          <w:tcPr>
            <w:tcW w:w="116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2%</w:t>
            </w:r>
          </w:p>
        </w:tc>
        <w:tc>
          <w:tcPr>
            <w:tcW w:w="258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（3.8-3.5）/（1-2%）=0.29</w:t>
            </w:r>
          </w:p>
        </w:tc>
        <w:tc>
          <w:tcPr>
            <w:tcW w:w="1800" w:type="dxa"/>
            <w:vAlign w:val="center"/>
          </w:tcPr>
          <w:p>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Cs w:val="21"/>
              </w:rPr>
              <w:t>4.5+0.29=4.79</w:t>
            </w:r>
          </w:p>
        </w:tc>
      </w:tr>
    </w:tbl>
    <w:p>
      <w:pPr>
        <w:widowControl/>
        <w:numPr>
          <w:ilvl w:val="-1"/>
          <w:numId w:val="0"/>
        </w:numPr>
        <w:spacing w:before="312" w:beforeLines="100" w:line="600" w:lineRule="exact"/>
        <w:ind w:firstLine="642" w:firstLineChars="200"/>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b/>
          <w:bCs/>
          <w:sz w:val="32"/>
          <w:szCs w:val="32"/>
        </w:rPr>
        <w:t>3.调价程序</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达到启动条件时，由燃气企业向市价格主管部门提交调价</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，并报送周期内</w:t>
      </w:r>
      <w:r>
        <w:rPr>
          <w:rFonts w:hint="default" w:ascii="Times New Roman" w:hAnsi="Times New Roman" w:eastAsia="仿宋_GB2312" w:cs="Times New Roman"/>
          <w:sz w:val="32"/>
          <w:szCs w:val="32"/>
          <w:lang w:eastAsia="zh-CN"/>
        </w:rPr>
        <w:t>燃气</w:t>
      </w:r>
      <w:r>
        <w:rPr>
          <w:rFonts w:hint="default" w:ascii="Times New Roman" w:hAnsi="Times New Roman" w:eastAsia="仿宋_GB2312" w:cs="Times New Roman"/>
          <w:sz w:val="32"/>
          <w:szCs w:val="32"/>
        </w:rPr>
        <w:t>采购价格、气量及采购合同、发票等相关数据和资料</w:t>
      </w:r>
      <w:r>
        <w:rPr>
          <w:rFonts w:hint="default" w:ascii="Times New Roman" w:hAnsi="Times New Roman" w:eastAsia="仿宋_GB2312" w:cs="Times New Roman"/>
          <w:sz w:val="32"/>
          <w:szCs w:val="32"/>
          <w:lang w:eastAsia="zh-CN"/>
        </w:rPr>
        <w:t>，经市价格主管部门审核后调整终端销售价格，并报请市人民政府备案。</w:t>
      </w:r>
      <w:r>
        <w:rPr>
          <w:rFonts w:hint="default" w:ascii="Times New Roman" w:hAnsi="Times New Roman" w:eastAsia="仿宋_GB2312" w:cs="Times New Roman"/>
          <w:sz w:val="32"/>
          <w:szCs w:val="32"/>
        </w:rPr>
        <w:t>当上游气源价格下浮幅度超过5%，燃气企业未及时提交调价备案，即可由价格主管部门直接启动调价程序，下调终端销售价格。</w:t>
      </w:r>
    </w:p>
    <w:p>
      <w:pPr>
        <w:widowControl/>
        <w:numPr>
          <w:ilvl w:val="-1"/>
          <w:numId w:val="0"/>
        </w:numPr>
        <w:spacing w:line="600" w:lineRule="exact"/>
        <w:ind w:left="630" w:firstLine="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保障措施</w:t>
      </w:r>
    </w:p>
    <w:p>
      <w:pPr>
        <w:pStyle w:val="9"/>
        <w:widowControl/>
        <w:spacing w:before="0" w:beforeAutospacing="0" w:after="0" w:afterAutospacing="0" w:line="600" w:lineRule="exact"/>
        <w:ind w:firstLine="645"/>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保障措施具体为建立报备制度、控制采购成本、储备充足气源和做好宣传解释。根据我市实际情况，强调</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控制采购成本</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和</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储备充足气源</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，要求燃气</w:t>
      </w:r>
      <w:r>
        <w:rPr>
          <w:rFonts w:hint="default" w:ascii="Times New Roman" w:hAnsi="Times New Roman" w:eastAsia="仿宋_GB2312" w:cs="Times New Roman"/>
          <w:sz w:val="32"/>
          <w:szCs w:val="32"/>
        </w:rPr>
        <w:t>经营</w:t>
      </w:r>
      <w:r>
        <w:rPr>
          <w:rFonts w:hint="default" w:ascii="Times New Roman" w:hAnsi="Times New Roman" w:eastAsia="仿宋_GB2312" w:cs="Times New Roman"/>
          <w:kern w:val="2"/>
          <w:sz w:val="32"/>
          <w:szCs w:val="32"/>
        </w:rPr>
        <w:t>企业严格控制气源采购成本，落实城镇燃气保供应主体责任，确保燃气安全稳定足量供应。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E1D6"/>
    <w:multiLevelType w:val="singleLevel"/>
    <w:tmpl w:val="B7F6E1D6"/>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ZDk1YTYxYmJhYjBlNjc0YTBkMWZjNTdmMTIxNDUifQ=="/>
  </w:docVars>
  <w:rsids>
    <w:rsidRoot w:val="F63BD23F"/>
    <w:rsid w:val="00012234"/>
    <w:rsid w:val="0002273C"/>
    <w:rsid w:val="00057AF5"/>
    <w:rsid w:val="0006186B"/>
    <w:rsid w:val="00066A4B"/>
    <w:rsid w:val="0009380B"/>
    <w:rsid w:val="000D6914"/>
    <w:rsid w:val="000E76D2"/>
    <w:rsid w:val="000F53CF"/>
    <w:rsid w:val="001241AF"/>
    <w:rsid w:val="0013075A"/>
    <w:rsid w:val="00130815"/>
    <w:rsid w:val="001327FE"/>
    <w:rsid w:val="0016218C"/>
    <w:rsid w:val="001B3BA7"/>
    <w:rsid w:val="001F4176"/>
    <w:rsid w:val="0020690B"/>
    <w:rsid w:val="002158CF"/>
    <w:rsid w:val="00231A3E"/>
    <w:rsid w:val="00241F11"/>
    <w:rsid w:val="00250ED7"/>
    <w:rsid w:val="002765D4"/>
    <w:rsid w:val="00342E1B"/>
    <w:rsid w:val="00373601"/>
    <w:rsid w:val="00403D15"/>
    <w:rsid w:val="00414C1B"/>
    <w:rsid w:val="00433EAF"/>
    <w:rsid w:val="00465BB3"/>
    <w:rsid w:val="004D44A7"/>
    <w:rsid w:val="004E7CB7"/>
    <w:rsid w:val="004F0B80"/>
    <w:rsid w:val="00573664"/>
    <w:rsid w:val="00591163"/>
    <w:rsid w:val="005A20CC"/>
    <w:rsid w:val="005B338B"/>
    <w:rsid w:val="005F52AC"/>
    <w:rsid w:val="00614C96"/>
    <w:rsid w:val="006209B2"/>
    <w:rsid w:val="006A4712"/>
    <w:rsid w:val="006F72A8"/>
    <w:rsid w:val="00704E01"/>
    <w:rsid w:val="00706910"/>
    <w:rsid w:val="007077DD"/>
    <w:rsid w:val="00715EDF"/>
    <w:rsid w:val="00743CA2"/>
    <w:rsid w:val="00786A3A"/>
    <w:rsid w:val="007F327E"/>
    <w:rsid w:val="008275B4"/>
    <w:rsid w:val="008A66AC"/>
    <w:rsid w:val="008E527C"/>
    <w:rsid w:val="008F29EB"/>
    <w:rsid w:val="00916CD0"/>
    <w:rsid w:val="0092367D"/>
    <w:rsid w:val="0095425F"/>
    <w:rsid w:val="00987889"/>
    <w:rsid w:val="009A088C"/>
    <w:rsid w:val="009B6777"/>
    <w:rsid w:val="009F35AB"/>
    <w:rsid w:val="00A177C7"/>
    <w:rsid w:val="00A201C3"/>
    <w:rsid w:val="00A43B98"/>
    <w:rsid w:val="00A53FC2"/>
    <w:rsid w:val="00A62A18"/>
    <w:rsid w:val="00AC1795"/>
    <w:rsid w:val="00AE44F6"/>
    <w:rsid w:val="00B51DB2"/>
    <w:rsid w:val="00B75750"/>
    <w:rsid w:val="00BF6951"/>
    <w:rsid w:val="00C235EF"/>
    <w:rsid w:val="00C52F7C"/>
    <w:rsid w:val="00C531EA"/>
    <w:rsid w:val="00C8179B"/>
    <w:rsid w:val="00C834B4"/>
    <w:rsid w:val="00CB69A5"/>
    <w:rsid w:val="00CC480F"/>
    <w:rsid w:val="00CE72F6"/>
    <w:rsid w:val="00CE782E"/>
    <w:rsid w:val="00D6268F"/>
    <w:rsid w:val="00D866B7"/>
    <w:rsid w:val="00D86B4B"/>
    <w:rsid w:val="00DC47F4"/>
    <w:rsid w:val="00DF0AA5"/>
    <w:rsid w:val="00E1199B"/>
    <w:rsid w:val="00E35AD3"/>
    <w:rsid w:val="00E77C64"/>
    <w:rsid w:val="00EF32F1"/>
    <w:rsid w:val="00F24AD3"/>
    <w:rsid w:val="00F52E2D"/>
    <w:rsid w:val="00F801DF"/>
    <w:rsid w:val="00F9743F"/>
    <w:rsid w:val="00FD5A15"/>
    <w:rsid w:val="04176D3A"/>
    <w:rsid w:val="06E3665F"/>
    <w:rsid w:val="0AFC11C6"/>
    <w:rsid w:val="0EFE1CEF"/>
    <w:rsid w:val="0F8FE9E2"/>
    <w:rsid w:val="1B5BC9A8"/>
    <w:rsid w:val="1BFF3809"/>
    <w:rsid w:val="1EB5C2EE"/>
    <w:rsid w:val="1F9BAB7F"/>
    <w:rsid w:val="1FCFD898"/>
    <w:rsid w:val="1FDFB980"/>
    <w:rsid w:val="22F31088"/>
    <w:rsid w:val="24BD5AE1"/>
    <w:rsid w:val="25BE06B9"/>
    <w:rsid w:val="2AF6DBB6"/>
    <w:rsid w:val="2BDF5D13"/>
    <w:rsid w:val="2D5F2AAA"/>
    <w:rsid w:val="2F7A5AFF"/>
    <w:rsid w:val="2FAD725F"/>
    <w:rsid w:val="307D0D27"/>
    <w:rsid w:val="33DBF68B"/>
    <w:rsid w:val="37F78EBC"/>
    <w:rsid w:val="39BFCB9F"/>
    <w:rsid w:val="39C7D623"/>
    <w:rsid w:val="3A73F17B"/>
    <w:rsid w:val="3ABF3DC9"/>
    <w:rsid w:val="3AC35DC0"/>
    <w:rsid w:val="3B8B30EE"/>
    <w:rsid w:val="3BDE52AF"/>
    <w:rsid w:val="3D11122F"/>
    <w:rsid w:val="3D1953EF"/>
    <w:rsid w:val="3DEFB83B"/>
    <w:rsid w:val="3DFB13E4"/>
    <w:rsid w:val="3DFD574A"/>
    <w:rsid w:val="3E743B45"/>
    <w:rsid w:val="3EFF1839"/>
    <w:rsid w:val="3F4DF642"/>
    <w:rsid w:val="3F721AC3"/>
    <w:rsid w:val="3F7B74F7"/>
    <w:rsid w:val="3FBBCFB5"/>
    <w:rsid w:val="3FD9B8F9"/>
    <w:rsid w:val="3FDDBE2E"/>
    <w:rsid w:val="3FFF05A5"/>
    <w:rsid w:val="43FEED7C"/>
    <w:rsid w:val="4BFED2F6"/>
    <w:rsid w:val="4EEF60AC"/>
    <w:rsid w:val="4FFEE12A"/>
    <w:rsid w:val="50FB4B23"/>
    <w:rsid w:val="53FFD12C"/>
    <w:rsid w:val="56FAC6BD"/>
    <w:rsid w:val="57DB2008"/>
    <w:rsid w:val="57E24258"/>
    <w:rsid w:val="5AEE4575"/>
    <w:rsid w:val="5B3FCD2E"/>
    <w:rsid w:val="5BF98910"/>
    <w:rsid w:val="5ECB7AF4"/>
    <w:rsid w:val="5F7BBD84"/>
    <w:rsid w:val="5F7C08F7"/>
    <w:rsid w:val="5FDEF821"/>
    <w:rsid w:val="5FFAAE81"/>
    <w:rsid w:val="5FFD98CC"/>
    <w:rsid w:val="5FFDB7FE"/>
    <w:rsid w:val="5FFFC089"/>
    <w:rsid w:val="62514EEA"/>
    <w:rsid w:val="62657FD1"/>
    <w:rsid w:val="6293E4D7"/>
    <w:rsid w:val="63FB3876"/>
    <w:rsid w:val="64FFC19B"/>
    <w:rsid w:val="65FE49B3"/>
    <w:rsid w:val="66ED40FD"/>
    <w:rsid w:val="67FF1125"/>
    <w:rsid w:val="6AFFA1A8"/>
    <w:rsid w:val="6B3DAC08"/>
    <w:rsid w:val="6BFF331F"/>
    <w:rsid w:val="6CAACCD6"/>
    <w:rsid w:val="6DFFB0DC"/>
    <w:rsid w:val="6E3B997D"/>
    <w:rsid w:val="6EBF7379"/>
    <w:rsid w:val="6EF7B53C"/>
    <w:rsid w:val="6FBFA7D2"/>
    <w:rsid w:val="6FBFCE92"/>
    <w:rsid w:val="6FDF55E9"/>
    <w:rsid w:val="6FFCFE10"/>
    <w:rsid w:val="6FFD61A9"/>
    <w:rsid w:val="6FFFFE10"/>
    <w:rsid w:val="736FC586"/>
    <w:rsid w:val="73BB7AAD"/>
    <w:rsid w:val="74FDD213"/>
    <w:rsid w:val="759D486A"/>
    <w:rsid w:val="76B5C831"/>
    <w:rsid w:val="777F3FE4"/>
    <w:rsid w:val="777FC8B6"/>
    <w:rsid w:val="77D9C082"/>
    <w:rsid w:val="77F35E25"/>
    <w:rsid w:val="77FF0F10"/>
    <w:rsid w:val="792C1FFA"/>
    <w:rsid w:val="793B59A3"/>
    <w:rsid w:val="79FD7DEA"/>
    <w:rsid w:val="7A7745A9"/>
    <w:rsid w:val="7AFE5CC7"/>
    <w:rsid w:val="7BD7DE99"/>
    <w:rsid w:val="7BD870C2"/>
    <w:rsid w:val="7BF525C7"/>
    <w:rsid w:val="7BF923A2"/>
    <w:rsid w:val="7BFA5E55"/>
    <w:rsid w:val="7BFF9127"/>
    <w:rsid w:val="7CDF4ADC"/>
    <w:rsid w:val="7CFB8AA3"/>
    <w:rsid w:val="7D4FB0CD"/>
    <w:rsid w:val="7D5B4E67"/>
    <w:rsid w:val="7D5DDAA3"/>
    <w:rsid w:val="7D7F7A44"/>
    <w:rsid w:val="7DB79BB6"/>
    <w:rsid w:val="7DDEE45A"/>
    <w:rsid w:val="7DFBFF87"/>
    <w:rsid w:val="7DFEC154"/>
    <w:rsid w:val="7DFF6A1E"/>
    <w:rsid w:val="7E3DC956"/>
    <w:rsid w:val="7E463261"/>
    <w:rsid w:val="7E6A6091"/>
    <w:rsid w:val="7E7BBC1C"/>
    <w:rsid w:val="7ECFEEA6"/>
    <w:rsid w:val="7EF371F9"/>
    <w:rsid w:val="7EFC136A"/>
    <w:rsid w:val="7EFF6228"/>
    <w:rsid w:val="7F2E14F9"/>
    <w:rsid w:val="7F5F9CA5"/>
    <w:rsid w:val="7F653386"/>
    <w:rsid w:val="7F66D741"/>
    <w:rsid w:val="7F6FF5BD"/>
    <w:rsid w:val="7FAB9B83"/>
    <w:rsid w:val="7FB6314E"/>
    <w:rsid w:val="7FBF904A"/>
    <w:rsid w:val="7FCF4F8A"/>
    <w:rsid w:val="7FD55569"/>
    <w:rsid w:val="7FD7DB06"/>
    <w:rsid w:val="7FDF0A25"/>
    <w:rsid w:val="7FDFD726"/>
    <w:rsid w:val="7FE71290"/>
    <w:rsid w:val="7FE7595A"/>
    <w:rsid w:val="7FE7D66E"/>
    <w:rsid w:val="7FEBCFD7"/>
    <w:rsid w:val="7FEF7FDA"/>
    <w:rsid w:val="7FF88CDE"/>
    <w:rsid w:val="7FFAEF9E"/>
    <w:rsid w:val="7FFBC5EE"/>
    <w:rsid w:val="7FFBC67D"/>
    <w:rsid w:val="7FFD9605"/>
    <w:rsid w:val="7FFDAAB3"/>
    <w:rsid w:val="8ECE2E37"/>
    <w:rsid w:val="8FEF6CC6"/>
    <w:rsid w:val="97BE8DEA"/>
    <w:rsid w:val="97BF00D4"/>
    <w:rsid w:val="97F21E2A"/>
    <w:rsid w:val="99DFED12"/>
    <w:rsid w:val="9F3755BA"/>
    <w:rsid w:val="9FAA34B7"/>
    <w:rsid w:val="9FF7A2D3"/>
    <w:rsid w:val="A7FBADBD"/>
    <w:rsid w:val="ABDF8D2A"/>
    <w:rsid w:val="ACCD2358"/>
    <w:rsid w:val="ADF73E60"/>
    <w:rsid w:val="AF1FE822"/>
    <w:rsid w:val="AFB6EF51"/>
    <w:rsid w:val="AFF86804"/>
    <w:rsid w:val="B30A46AE"/>
    <w:rsid w:val="B36ED1DD"/>
    <w:rsid w:val="B3F777BD"/>
    <w:rsid w:val="B76E6931"/>
    <w:rsid w:val="B7966BE2"/>
    <w:rsid w:val="B7C3BAE6"/>
    <w:rsid w:val="B9FF9469"/>
    <w:rsid w:val="BA9F065A"/>
    <w:rsid w:val="BB4F62AC"/>
    <w:rsid w:val="BB6BD4A6"/>
    <w:rsid w:val="BB998DFC"/>
    <w:rsid w:val="BBB7DF27"/>
    <w:rsid w:val="BBCA0FB3"/>
    <w:rsid w:val="BBDAE9CE"/>
    <w:rsid w:val="BBE36D22"/>
    <w:rsid w:val="BBEB8BE2"/>
    <w:rsid w:val="BBEDC582"/>
    <w:rsid w:val="BBFBAB23"/>
    <w:rsid w:val="BBFF4233"/>
    <w:rsid w:val="BCDBE0C8"/>
    <w:rsid w:val="BD7F7428"/>
    <w:rsid w:val="BDCF1118"/>
    <w:rsid w:val="BEA4ABFC"/>
    <w:rsid w:val="BEF1C68A"/>
    <w:rsid w:val="BF5EF297"/>
    <w:rsid w:val="BFBC7EAF"/>
    <w:rsid w:val="BFF368B3"/>
    <w:rsid w:val="BFFFA45B"/>
    <w:rsid w:val="C1814434"/>
    <w:rsid w:val="C6F7D971"/>
    <w:rsid w:val="C776F428"/>
    <w:rsid w:val="CEDE01C0"/>
    <w:rsid w:val="CEDFCDB6"/>
    <w:rsid w:val="CEFC1633"/>
    <w:rsid w:val="CF8BCCB6"/>
    <w:rsid w:val="CFEFB3FF"/>
    <w:rsid w:val="D1EEBB2F"/>
    <w:rsid w:val="D4FB05DB"/>
    <w:rsid w:val="D4FF6C1A"/>
    <w:rsid w:val="D79F60C0"/>
    <w:rsid w:val="D7A790E0"/>
    <w:rsid w:val="D7FB065C"/>
    <w:rsid w:val="DAF687A7"/>
    <w:rsid w:val="DAFF4496"/>
    <w:rsid w:val="DB9F7370"/>
    <w:rsid w:val="DBDC21E6"/>
    <w:rsid w:val="DBFEEC57"/>
    <w:rsid w:val="DBFFB782"/>
    <w:rsid w:val="DCFF97E7"/>
    <w:rsid w:val="DD1EA230"/>
    <w:rsid w:val="DD3B426C"/>
    <w:rsid w:val="DDC3C267"/>
    <w:rsid w:val="DE5F1093"/>
    <w:rsid w:val="DEE98A37"/>
    <w:rsid w:val="DF766FF3"/>
    <w:rsid w:val="DF7F4DFB"/>
    <w:rsid w:val="DF9BAAA8"/>
    <w:rsid w:val="DFBE7122"/>
    <w:rsid w:val="DFBFF98A"/>
    <w:rsid w:val="DFF77007"/>
    <w:rsid w:val="DFF7B728"/>
    <w:rsid w:val="DFFE8374"/>
    <w:rsid w:val="DFFFA07C"/>
    <w:rsid w:val="DFFFA0E7"/>
    <w:rsid w:val="E01F96DD"/>
    <w:rsid w:val="E3FBE5F4"/>
    <w:rsid w:val="E5BF97FA"/>
    <w:rsid w:val="E5EDA35E"/>
    <w:rsid w:val="E9AF7F85"/>
    <w:rsid w:val="E9CF2D82"/>
    <w:rsid w:val="EB8BFB98"/>
    <w:rsid w:val="EBFFD02C"/>
    <w:rsid w:val="EDAF4A38"/>
    <w:rsid w:val="EEBB1AC7"/>
    <w:rsid w:val="EEEF2AEB"/>
    <w:rsid w:val="EF6FAED6"/>
    <w:rsid w:val="EF991127"/>
    <w:rsid w:val="EFB597F6"/>
    <w:rsid w:val="EFBDA955"/>
    <w:rsid w:val="EFD7CF7F"/>
    <w:rsid w:val="EFF14359"/>
    <w:rsid w:val="EFF7727E"/>
    <w:rsid w:val="EFFC1FC2"/>
    <w:rsid w:val="EFFFB472"/>
    <w:rsid w:val="EFFFBBDF"/>
    <w:rsid w:val="F1B79828"/>
    <w:rsid w:val="F23F3A42"/>
    <w:rsid w:val="F31F5D36"/>
    <w:rsid w:val="F3CF353D"/>
    <w:rsid w:val="F5BD5524"/>
    <w:rsid w:val="F63BD23F"/>
    <w:rsid w:val="F64DDCE6"/>
    <w:rsid w:val="F6E7CDBE"/>
    <w:rsid w:val="F6FAC4CC"/>
    <w:rsid w:val="F7DBDB0F"/>
    <w:rsid w:val="F7DFC757"/>
    <w:rsid w:val="F7F71664"/>
    <w:rsid w:val="F97E3F98"/>
    <w:rsid w:val="F9BF6E65"/>
    <w:rsid w:val="F9DD9C6A"/>
    <w:rsid w:val="FA6F738E"/>
    <w:rsid w:val="FB04A0C3"/>
    <w:rsid w:val="FB6BF74E"/>
    <w:rsid w:val="FB7BB5A9"/>
    <w:rsid w:val="FB7F78CD"/>
    <w:rsid w:val="FBB92A3C"/>
    <w:rsid w:val="FBBDA53A"/>
    <w:rsid w:val="FC8FEEE6"/>
    <w:rsid w:val="FCB7A09E"/>
    <w:rsid w:val="FCEA7A26"/>
    <w:rsid w:val="FD7CA19E"/>
    <w:rsid w:val="FD7F9573"/>
    <w:rsid w:val="FD8F89E1"/>
    <w:rsid w:val="FD9EA451"/>
    <w:rsid w:val="FDDF4DE6"/>
    <w:rsid w:val="FDDFD4EA"/>
    <w:rsid w:val="FDDFFE7A"/>
    <w:rsid w:val="FDE3DC23"/>
    <w:rsid w:val="FDFA20F0"/>
    <w:rsid w:val="FE6798F2"/>
    <w:rsid w:val="FE7FDF5B"/>
    <w:rsid w:val="FE85FCB8"/>
    <w:rsid w:val="FEF3514E"/>
    <w:rsid w:val="FEF57DFD"/>
    <w:rsid w:val="FEF63783"/>
    <w:rsid w:val="FEF77F34"/>
    <w:rsid w:val="FF0F00E5"/>
    <w:rsid w:val="FF7AE91E"/>
    <w:rsid w:val="FF7BA23C"/>
    <w:rsid w:val="FF7FD613"/>
    <w:rsid w:val="FF8FAE45"/>
    <w:rsid w:val="FF938611"/>
    <w:rsid w:val="FF95C145"/>
    <w:rsid w:val="FFAEA3FA"/>
    <w:rsid w:val="FFAFF917"/>
    <w:rsid w:val="FFBD7472"/>
    <w:rsid w:val="FFBDF609"/>
    <w:rsid w:val="FFBFF5E4"/>
    <w:rsid w:val="FFCFFACC"/>
    <w:rsid w:val="FFD5C378"/>
    <w:rsid w:val="FFE59725"/>
    <w:rsid w:val="FFED67C4"/>
    <w:rsid w:val="FFEE801E"/>
    <w:rsid w:val="FFEF96C7"/>
    <w:rsid w:val="FFF560EC"/>
    <w:rsid w:val="FFF9D6AB"/>
    <w:rsid w:val="FFFBB75D"/>
    <w:rsid w:val="FFFD7F3D"/>
    <w:rsid w:val="FFF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ind w:firstLine="643"/>
      <w:outlineLvl w:val="2"/>
    </w:pPr>
    <w:rPr>
      <w:b/>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40" w:line="276" w:lineRule="auto"/>
    </w:pPr>
  </w:style>
  <w:style w:type="paragraph" w:styleId="4">
    <w:name w:val="Block Text"/>
    <w:basedOn w:val="1"/>
    <w:next w:val="1"/>
    <w:qFormat/>
    <w:uiPriority w:val="0"/>
    <w:pPr>
      <w:wordWrap w:val="0"/>
      <w:spacing w:before="200" w:beforeLines="0" w:after="160" w:afterLines="0"/>
      <w:ind w:left="864" w:right="864"/>
      <w:jc w:val="center"/>
    </w:pPr>
    <w:rPr>
      <w:rFonts w:eastAsia="Calibri"/>
      <w:i/>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39"/>
    <w:pPr>
      <w:tabs>
        <w:tab w:val="right" w:leader="dot" w:pos="8494"/>
      </w:tabs>
      <w:adjustRightInd w:val="0"/>
      <w:snapToGrid w:val="0"/>
      <w:spacing w:line="480" w:lineRule="exact"/>
      <w:ind w:left="313" w:leftChars="149" w:firstLine="140" w:firstLineChars="50"/>
    </w:pPr>
    <w:rPr>
      <w:rFonts w:ascii="楷体_GB2312" w:hAnsi="宋体" w:eastAsia="楷体_GB2312"/>
      <w:sz w:val="28"/>
      <w:szCs w:val="2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font11"/>
    <w:basedOn w:val="12"/>
    <w:qFormat/>
    <w:uiPriority w:val="0"/>
    <w:rPr>
      <w:rFonts w:hint="default" w:ascii="Times New Roman" w:hAnsi="Times New Roman" w:cs="Times New Roman"/>
      <w:color w:val="000000"/>
      <w:sz w:val="22"/>
      <w:szCs w:val="22"/>
      <w:u w:val="none"/>
    </w:rPr>
  </w:style>
  <w:style w:type="character" w:customStyle="1" w:styleId="15">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2515</Words>
  <Characters>2541</Characters>
  <Lines>149</Lines>
  <Paragraphs>163</Paragraphs>
  <TotalTime>11</TotalTime>
  <ScaleCrop>false</ScaleCrop>
  <LinksUpToDate>false</LinksUpToDate>
  <CharactersWithSpaces>4893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2026-01-04T10:07:00Z</dcterms:created>
  <dc:creator>uos</dc:creator>
  <cp:lastModifiedBy>ht706</cp:lastModifiedBy>
  <cp:lastPrinted>2026-06-10T17:12:00Z</cp:lastPrinted>
  <dcterms:modified xsi:type="dcterms:W3CDTF">2026-06-11T08:25:18Z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0460BF46F9BA26018162CB680190C30D_43</vt:lpwstr>
  </property>
</Properties>
</file>