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p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</w:p>
    <w:tbl>
      <w:tblPr>
        <w:tblStyle w:val="7"/>
        <w:tblW w:w="901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5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eastAsia="zh-CN"/>
              </w:rPr>
              <w:t>汕头市澄海区伟翔玩具厂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eastAsia="zh-CN"/>
              </w:rPr>
              <w:t>卡通音乐玩具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eastAsia="zh-CN"/>
              </w:rPr>
              <w:t>伟翔达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198只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377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2025.7.3-2025.7.8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2025.7.3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卡通音乐玩具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31"/>
                <w:sz w:val="72"/>
                <w:szCs w:val="72"/>
                <w:lang w:val="en-US" w:eastAsia="zh-CN"/>
              </w:rPr>
            </w:pPr>
            <w:bookmarkStart w:id="0" w:name="_GoBack"/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31750</wp:posOffset>
                  </wp:positionV>
                  <wp:extent cx="1428115" cy="1905000"/>
                  <wp:effectExtent l="0" t="0" r="0" b="0"/>
                  <wp:wrapTight wrapText="bothSides">
                    <wp:wrapPolygon>
                      <wp:start x="0" y="0"/>
                      <wp:lineTo x="0" y="21384"/>
                      <wp:lineTo x="21321" y="21384"/>
                      <wp:lineTo x="21321" y="0"/>
                      <wp:lineTo x="0" y="0"/>
                    </wp:wrapPolygon>
                  </wp:wrapTight>
                  <wp:docPr id="1" name="图片 1" descr="43fa9d4006afa206c8fc9a851856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3fa9d4006afa206c8fc9a85185612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供36个月以下儿童使用的玩具，存在小零件，不符合GB6675.2-2014标准要求。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若儿童误吞，可能会堵塞呼吸道，存在窒息危险。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1.通知销售商立即停止销售缺陷产品，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对库存产品退回；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汕头市澄海区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伟翔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玩具厂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全新的符合安全要求的产品或退货处理。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eastAsia="zh-CN"/>
              </w:rPr>
              <w:t>汕头市澄海区伟翔玩具厂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：13825846987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相关用户也可以登录汕头市场监督管理局网站“政务公开-重点领域信息公开-产品质量信息”栏目，或拨打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电话（0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3FF4682"/>
    <w:rsid w:val="0D7B7EB5"/>
    <w:rsid w:val="1052298B"/>
    <w:rsid w:val="12100B5E"/>
    <w:rsid w:val="12851EC3"/>
    <w:rsid w:val="1C8410F7"/>
    <w:rsid w:val="1CE7330F"/>
    <w:rsid w:val="285E2475"/>
    <w:rsid w:val="3629204B"/>
    <w:rsid w:val="4DBE08DC"/>
    <w:rsid w:val="4DFA3E06"/>
    <w:rsid w:val="59184EC5"/>
    <w:rsid w:val="7AC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379</Words>
  <Characters>431</Characters>
  <Lines>5</Lines>
  <Paragraphs>1</Paragraphs>
  <TotalTime>6</TotalTime>
  <ScaleCrop>false</ScaleCrop>
  <LinksUpToDate>false</LinksUpToDate>
  <CharactersWithSpaces>431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2022-05-12T01:34:00Z</dcterms:created>
  <dc:creator>张豪哲</dc:creator>
  <cp:lastModifiedBy>user</cp:lastModifiedBy>
  <cp:lastPrinted>2022-12-01T01:44:00Z</cp:lastPrinted>
  <dcterms:modified xsi:type="dcterms:W3CDTF">2026-06-02T04:31:25Z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6757BB5F7AFC4E0587D8C584C442EC3C_13</vt:lpwstr>
  </property>
  <property fmtid="{D5CDD505-2E9C-101B-9397-08002B2CF9AE}" pid="4" name="KSOTemplateDocerSaveRecord">
    <vt:lpwstr>eyJoZGlkIjoiZTA4NzIyN2MxYTlmMzQ1NGE2MjU5NWRkMjhlOGMxYTAiLCJ1c2VySWQiOiIxNTEzNTQ0NjQwIn0=</vt:lpwstr>
  </property>
</Properties>
</file>